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Stepanyan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Decided; August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2:20-cv-01774-CAS(PLAx); 2:20-cv-10868-CAS(PLAx)</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171525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6151728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ANAIT STEPANYAN, ET AL. v. UNITED STATES OF AMERICA, ET AL.; consolidated with ANAIT STEPANYAN, ET AL. v. COUNTY OF LOS ANGELES, ET AL.</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Stepanyan v. United States, 2020 U.S. Dist. LEXIS 250431, 2020 WL 8365242 (C.D. Cal., Dec. 14,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economic damages, motion in limine, plaintiffs', disclosure, discovery, in limine, documents, defense motion, expert testimony, criminal record, circumstances, damages, per year, impeachment, outweighed, computation, references, calculate, requests, forgery, funeral, parties, argues, unfair, costs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Attorneys for Plaintiffs: Not Present.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Defendants: Not Present.</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CHRISTINA A. SNYDER.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CHRISTINA A. SNYDER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CIVIL MINUTES — 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Proceedings</w:t>
      </w:r>
      <w:r>
        <w:rPr>
          <w:rFonts w:ascii="arial" w:eastAsia="arial" w:hAnsi="arial" w:cs="arial"/>
          <w:b w:val="0"/>
          <w:i w:val="0"/>
          <w:strike w:val="0"/>
          <w:noProof w:val="0"/>
          <w:color w:val="000000"/>
          <w:position w:val="0"/>
          <w:sz w:val="20"/>
          <w:u w:val="none"/>
          <w:vertAlign w:val="baseline"/>
        </w:rPr>
        <w:t>: (IN CHAMBER) - DEFENDANT'S MOTION IN LIMINE #1 TO EXCLUDE EXPERT TESTIMONY OF CHARLES 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STEPHENSON (Dkt. 90, filed on July 31,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DEFENDANT'S MOTION IN LIMINE #2 TO EXCLUDE PLAINTIFFS' CLAIMS OF ECONOMIC DAMAGES (Dkt. 91, filed on July 31,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PLAINTIFFS' MOTION IN LIMINE #1 TO EXCLUDE EXPERT TESTIMONY OF JENNIFER COFFINDAFFER (Dkt. 92, filed on July 31,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PLAINTIFFS' MOTION IN LIMINE #2 EXCLUDE ALL EVIDENCE OF KIRAKOS KESABLYAN'S PAST CRIMINAL HISTORY (Dkt. 93, filed on July 31,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 AND BACKGROUND</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March 22, 2021, the Court consolidated two cases before it, </w:t>
      </w:r>
      <w:r>
        <w:rPr>
          <w:rFonts w:ascii="arial" w:eastAsia="arial" w:hAnsi="arial" w:cs="arial"/>
          <w:b w:val="0"/>
          <w:i w:val="0"/>
          <w:strike w:val="0"/>
          <w:noProof w:val="0"/>
          <w:color w:val="000000"/>
          <w:position w:val="0"/>
          <w:sz w:val="20"/>
          <w:u w:val="single"/>
          <w:vertAlign w:val="baseline"/>
        </w:rPr>
        <w:t>Anait Stepanyan v. United States of America</w:t>
      </w:r>
      <w:r>
        <w:rPr>
          <w:rFonts w:ascii="arial" w:eastAsia="arial" w:hAnsi="arial" w:cs="arial"/>
          <w:b w:val="0"/>
          <w:i w:val="0"/>
          <w:strike w:val="0"/>
          <w:noProof w:val="0"/>
          <w:color w:val="000000"/>
          <w:position w:val="0"/>
          <w:sz w:val="20"/>
          <w:u w:val="none"/>
          <w:vertAlign w:val="baseline"/>
        </w:rPr>
        <w:t xml:space="preserve">, No. 2:20-cv-01774-CAS(PLAx), and </w:t>
      </w:r>
      <w:r>
        <w:rPr>
          <w:rFonts w:ascii="arial" w:eastAsia="arial" w:hAnsi="arial" w:cs="arial"/>
          <w:b w:val="0"/>
          <w:i w:val="0"/>
          <w:strike w:val="0"/>
          <w:noProof w:val="0"/>
          <w:color w:val="000000"/>
          <w:position w:val="0"/>
          <w:sz w:val="20"/>
          <w:u w:val="single"/>
          <w:vertAlign w:val="baseline"/>
        </w:rPr>
        <w:t>Anait Stepanyan v. County of Los Angeles</w:t>
      </w:r>
      <w:r>
        <w:rPr>
          <w:rFonts w:ascii="arial" w:eastAsia="arial" w:hAnsi="arial" w:cs="arial"/>
          <w:b w:val="0"/>
          <w:i w:val="0"/>
          <w:strike w:val="0"/>
          <w:noProof w:val="0"/>
          <w:color w:val="000000"/>
          <w:position w:val="0"/>
          <w:sz w:val="20"/>
          <w:u w:val="none"/>
          <w:vertAlign w:val="baseline"/>
        </w:rPr>
        <w:t>, No. 2:20-cv-10868-CAS(PLAx). The procedural history of the two cases is lengthy and known the parties. For a full overview of the procedural history, see the Court's March 22, 2021 and July 24, 2023 orders. Dkts. 41, 89. The Court sets forth only the following relevant procedural background for the purpose of the instant motions in limine.</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December 28, 2020, plaintiffs Anait Stepanyan, Kirakos Kesablyan and Kadzhik Kesablyan, as the successor in interest and heirs to Vahram Kesablyan, filed their second amended complaint. Dkt. 27 ("SAC").</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Plaintiffs' claims arise from the fatal shooting of Vahram by Federal Bureau of Investigation ("FBI") agents on January 8, 2018, while they were executing a search and arrest warrant for Kirakos for an alleged violation of </w:t>
      </w:r>
      <w:hyperlink r:id="rId11" w:history="1">
        <w:r>
          <w:rPr>
            <w:rFonts w:ascii="arial" w:eastAsia="arial" w:hAnsi="arial" w:cs="arial"/>
            <w:b w:val="0"/>
            <w:i/>
            <w:strike w:val="0"/>
            <w:noProof w:val="0"/>
            <w:color w:val="0077CC"/>
            <w:position w:val="0"/>
            <w:sz w:val="20"/>
            <w:u w:val="single"/>
            <w:vertAlign w:val="baseline"/>
          </w:rPr>
          <w:t>18 U.S.C. § 912</w:t>
        </w:r>
      </w:hyperlink>
      <w:r>
        <w:rPr>
          <w:rFonts w:ascii="arial" w:eastAsia="arial" w:hAnsi="arial" w:cs="arial"/>
          <w:b w:val="0"/>
          <w:i w:val="0"/>
          <w:strike w:val="0"/>
          <w:noProof w:val="0"/>
          <w:color w:val="000000"/>
          <w:position w:val="0"/>
          <w:sz w:val="20"/>
          <w:u w:val="none"/>
          <w:vertAlign w:val="baseline"/>
        </w:rPr>
        <w:t xml:space="preserve"> (false impersonation of a federal officer while threatening an individual). At this juncture, the only remaining claims in the two consolidated cases are for (1) assault and battery; (2) wrongful death; (3) negligence; (4) violation of </w:t>
      </w:r>
      <w:hyperlink r:id="rId12" w:history="1">
        <w:r>
          <w:rPr>
            <w:rFonts w:ascii="arial" w:eastAsia="arial" w:hAnsi="arial" w:cs="arial"/>
            <w:b w:val="0"/>
            <w:i/>
            <w:strike w:val="0"/>
            <w:noProof w:val="0"/>
            <w:color w:val="0077CC"/>
            <w:position w:val="0"/>
            <w:sz w:val="20"/>
            <w:u w:val="single"/>
            <w:vertAlign w:val="baseline"/>
          </w:rPr>
          <w:t>California Civil Code Section 52.1</w:t>
        </w:r>
      </w:hyperlink>
      <w:r>
        <w:rPr>
          <w:rFonts w:ascii="arial" w:eastAsia="arial" w:hAnsi="arial" w:cs="arial"/>
          <w:b w:val="0"/>
          <w:i w:val="0"/>
          <w:strike w:val="0"/>
          <w:noProof w:val="0"/>
          <w:color w:val="000000"/>
          <w:position w:val="0"/>
          <w:sz w:val="20"/>
          <w:u w:val="none"/>
          <w:vertAlign w:val="baseline"/>
        </w:rPr>
        <w:t>; and (5) negligent infliction of emotional distress—all brought against the United States pursuant to the Federal Tort Claims Act ("FTCA").</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On July 31, 2023, the government filed two motions in limine, including (1) to exclude the expert testimony of Charles Stephenson and (2) to exclude plaintiffs' claims of economic damages. Dkts. 90 ("Defs.' MIL No. 1"), 91 ("Defs.' MIL No. 2"). That same day, plaintiffs filed two motions in limine, including (1) to exclude the expert testimony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Jennifer Coffindaffer, and (2) to exclude references to Kirakos' criminal record. Dkts. 92 ("Pls.' MIL No. 1"), 93 ("Pls.' MIL No. 2").</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On August 7, 2023, the government filed its opposition to plaintiffs' motions in dkts. 94, 95, and plaintiffs filed their oppositions to defendant's motions in dkts. 101, 102.</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August 28, 2023, the Court held a hearing. Having carefully considered the parties' arguments and submissions, the Court finds and concludes as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Motions in Limine</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"A motion in limine is a procedural mechanism to limit in advance testimony or evidence in a particular area." </w:t>
      </w:r>
      <w:hyperlink r:id="rId13" w:history="1">
        <w:r>
          <w:rPr>
            <w:rFonts w:ascii="arial" w:eastAsia="arial" w:hAnsi="arial" w:cs="arial"/>
            <w:b w:val="0"/>
            <w:i/>
            <w:strike w:val="0"/>
            <w:noProof w:val="0"/>
            <w:color w:val="0077CC"/>
            <w:position w:val="0"/>
            <w:sz w:val="20"/>
            <w:u w:val="single"/>
            <w:vertAlign w:val="baseline"/>
          </w:rPr>
          <w:t>United States v. Heller</w:t>
        </w:r>
      </w:hyperlink>
      <w:hyperlink r:id="rId13" w:history="1">
        <w:r>
          <w:rPr>
            <w:rFonts w:ascii="arial" w:eastAsia="arial" w:hAnsi="arial" w:cs="arial"/>
            <w:b w:val="0"/>
            <w:i/>
            <w:strike w:val="0"/>
            <w:noProof w:val="0"/>
            <w:color w:val="0077CC"/>
            <w:position w:val="0"/>
            <w:sz w:val="20"/>
            <w:u w:val="single"/>
            <w:vertAlign w:val="baseline"/>
          </w:rPr>
          <w:t>, 551 F.3d 1108, 1111 (9th Cir. 2009)</w:t>
        </w:r>
      </w:hyperlink>
      <w:r>
        <w:rPr>
          <w:rFonts w:ascii="arial" w:eastAsia="arial" w:hAnsi="arial" w:cs="arial"/>
          <w:b w:val="0"/>
          <w:i w:val="0"/>
          <w:strike w:val="0"/>
          <w:noProof w:val="0"/>
          <w:color w:val="000000"/>
          <w:position w:val="0"/>
          <w:sz w:val="20"/>
          <w:u w:val="none"/>
          <w:vertAlign w:val="baseline"/>
        </w:rPr>
        <w:t xml:space="preserve">. "[Motions in limine must identify the evidence at issue and state with specificity why such evidence is inadmissible." </w:t>
      </w:r>
      <w:hyperlink r:id="rId14" w:history="1">
        <w:r>
          <w:rPr>
            <w:rFonts w:ascii="arial" w:eastAsia="arial" w:hAnsi="arial" w:cs="arial"/>
            <w:b w:val="0"/>
            <w:i/>
            <w:strike w:val="0"/>
            <w:noProof w:val="0"/>
            <w:color w:val="0077CC"/>
            <w:position w:val="0"/>
            <w:sz w:val="20"/>
            <w:u w:val="single"/>
            <w:vertAlign w:val="baseline"/>
          </w:rPr>
          <w:t>Colton Crane Co., LLC v. Terex Cranes Wilmington, Inc.</w:t>
        </w:r>
      </w:hyperlink>
      <w:hyperlink r:id="rId14" w:history="1">
        <w:r>
          <w:rPr>
            <w:rFonts w:ascii="arial" w:eastAsia="arial" w:hAnsi="arial" w:cs="arial"/>
            <w:b w:val="0"/>
            <w:i/>
            <w:strike w:val="0"/>
            <w:noProof w:val="0"/>
            <w:color w:val="0077CC"/>
            <w:position w:val="0"/>
            <w:sz w:val="20"/>
            <w:u w:val="single"/>
            <w:vertAlign w:val="baseline"/>
          </w:rPr>
          <w:t>, No. 08-cv-08525-PSG (PJWx), 2010 U.S. Dist. LEXIS 141013, 2010 WL 2035800, at *1 (C.D. Cal. May 19, 2010)</w:t>
        </w:r>
      </w:hyperlink>
      <w:r>
        <w:rPr>
          <w:rFonts w:ascii="arial" w:eastAsia="arial" w:hAnsi="arial" w:cs="arial"/>
          <w:b w:val="0"/>
          <w:i w:val="0"/>
          <w:strike w:val="0"/>
          <w:noProof w:val="0"/>
          <w:color w:val="000000"/>
          <w:position w:val="0"/>
          <w:sz w:val="20"/>
          <w:u w:val="none"/>
          <w:vertAlign w:val="baseline"/>
        </w:rPr>
        <w:t xml:space="preserve">. The "failure to specify the evidence" that a motion in limine "seek[s] to exclude constitutes a sufficient basis upon which to deny th[e] motion." </w:t>
      </w:r>
      <w:hyperlink r:id="rId15" w:history="1">
        <w:r>
          <w:rPr>
            <w:rFonts w:ascii="arial" w:eastAsia="arial" w:hAnsi="arial" w:cs="arial"/>
            <w:b w:val="0"/>
            <w:i/>
            <w:strike w:val="0"/>
            <w:noProof w:val="0"/>
            <w:color w:val="0077CC"/>
            <w:position w:val="0"/>
            <w:sz w:val="20"/>
            <w:u w:val="single"/>
            <w:vertAlign w:val="baseline"/>
          </w:rPr>
          <w:t>Bullard v. Wastequip Mfg. Co. LLC</w:t>
        </w:r>
      </w:hyperlink>
      <w:hyperlink r:id="rId15" w:history="1">
        <w:r>
          <w:rPr>
            <w:rFonts w:ascii="arial" w:eastAsia="arial" w:hAnsi="arial" w:cs="arial"/>
            <w:b w:val="0"/>
            <w:i/>
            <w:strike w:val="0"/>
            <w:noProof w:val="0"/>
            <w:color w:val="0077CC"/>
            <w:position w:val="0"/>
            <w:sz w:val="20"/>
            <w:u w:val="single"/>
            <w:vertAlign w:val="baseline"/>
          </w:rPr>
          <w:t>, No. 14-cv-01309-MMM, 2015 U.S. Dist. LEXIS 194351, 2015 WL 13757143, at *7 (C.D. Cal. May 4,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7"/>
      <w:bookmarkEnd w:id="17"/>
      <w:bookmarkStart w:id="18" w:name="Bookmark_I69J6D062N1RHG0020000400"/>
      <w:bookmarkEnd w:id="18"/>
      <w:r>
        <w:rPr>
          <w:rFonts w:ascii="arial" w:eastAsia="arial" w:hAnsi="arial" w:cs="arial"/>
          <w:b w:val="0"/>
          <w:i w:val="0"/>
          <w:strike w:val="0"/>
          <w:noProof w:val="0"/>
          <w:color w:val="000000"/>
          <w:position w:val="0"/>
          <w:sz w:val="20"/>
          <w:u w:val="none"/>
          <w:vertAlign w:val="baseline"/>
        </w:rPr>
        <w:t xml:space="preserve">"Trial courts have broad discretion when ruling on motions in limine." </w:t>
      </w:r>
      <w:bookmarkStart w:id="19" w:name="Bookmark_I69J6D062N1RHG0010000400"/>
      <w:bookmarkEnd w:id="19"/>
      <w:hyperlink r:id="rId16" w:history="1">
        <w:r>
          <w:rPr>
            <w:rFonts w:ascii="arial" w:eastAsia="arial" w:hAnsi="arial" w:cs="arial"/>
            <w:b w:val="0"/>
            <w:i/>
            <w:strike w:val="0"/>
            <w:noProof w:val="0"/>
            <w:color w:val="0077CC"/>
            <w:position w:val="0"/>
            <w:sz w:val="20"/>
            <w:u w:val="single"/>
            <w:vertAlign w:val="baseline"/>
          </w:rPr>
          <w:t>Matrix Int'l Textile, Inc. v. Monopoly Textile, Inc.</w:t>
        </w:r>
      </w:hyperlink>
      <w:hyperlink r:id="rId16" w:history="1">
        <w:r>
          <w:rPr>
            <w:rFonts w:ascii="arial" w:eastAsia="arial" w:hAnsi="arial" w:cs="arial"/>
            <w:b w:val="0"/>
            <w:i/>
            <w:strike w:val="0"/>
            <w:noProof w:val="0"/>
            <w:color w:val="0077CC"/>
            <w:position w:val="0"/>
            <w:sz w:val="20"/>
            <w:u w:val="single"/>
            <w:vertAlign w:val="baseline"/>
          </w:rPr>
          <w:t>, No. 2:16-cv-0084-FMO-AJW, 2017 U.S. Dist. LEXIS 171131, 2017 WL 2929377, at *1 (C.D. Cal. May 14, 2017)</w:t>
        </w:r>
      </w:hyperlink>
      <w:r>
        <w:rPr>
          <w:rFonts w:ascii="arial" w:eastAsia="arial" w:hAnsi="arial" w:cs="arial"/>
          <w:b w:val="0"/>
          <w:i w:val="0"/>
          <w:strike w:val="0"/>
          <w:noProof w:val="0"/>
          <w:color w:val="000000"/>
          <w:position w:val="0"/>
          <w:sz w:val="20"/>
          <w:u w:val="none"/>
          <w:vertAlign w:val="baseline"/>
        </w:rPr>
        <w:t xml:space="preserve">. </w:t>
      </w:r>
      <w:bookmarkStart w:id="20" w:name="Bookmark_I69J6D062N1RHG0040000400"/>
      <w:bookmarkEnd w:id="20"/>
      <w:r>
        <w:rPr>
          <w:rFonts w:ascii="arial" w:eastAsia="arial" w:hAnsi="arial" w:cs="arial"/>
          <w:b w:val="0"/>
          <w:i w:val="0"/>
          <w:strike w:val="0"/>
          <w:noProof w:val="0"/>
          <w:color w:val="000000"/>
          <w:position w:val="0"/>
          <w:sz w:val="20"/>
          <w:u w:val="none"/>
          <w:vertAlign w:val="baseline"/>
        </w:rPr>
        <w:t xml:space="preserve">Such rulings are "not binding on the trial judge, and the judge may always change his mind during the course of a trial." </w:t>
      </w:r>
      <w:hyperlink r:id="rId17" w:history="1">
        <w:r>
          <w:rPr>
            <w:rFonts w:ascii="arial" w:eastAsia="arial" w:hAnsi="arial" w:cs="arial"/>
            <w:b w:val="0"/>
            <w:i/>
            <w:strike w:val="0"/>
            <w:noProof w:val="0"/>
            <w:color w:val="0077CC"/>
            <w:position w:val="0"/>
            <w:sz w:val="20"/>
            <w:u w:val="single"/>
            <w:vertAlign w:val="baseline"/>
          </w:rPr>
          <w:t>Ohler v. United States</w:t>
        </w:r>
      </w:hyperlink>
      <w:hyperlink r:id="rId17" w:history="1">
        <w:r>
          <w:rPr>
            <w:rFonts w:ascii="arial" w:eastAsia="arial" w:hAnsi="arial" w:cs="arial"/>
            <w:b w:val="0"/>
            <w:i/>
            <w:strike w:val="0"/>
            <w:noProof w:val="0"/>
            <w:color w:val="0077CC"/>
            <w:position w:val="0"/>
            <w:sz w:val="20"/>
            <w:u w:val="single"/>
            <w:vertAlign w:val="baseline"/>
          </w:rPr>
          <w:t>, 529 U.S. 753, 758, 120 S. Ct. 1851, 146 L. Ed. 2d 826 (2000)</w:t>
        </w:r>
      </w:hyperlink>
      <w:r>
        <w:rPr>
          <w:rFonts w:ascii="arial" w:eastAsia="arial" w:hAnsi="arial" w:cs="arial"/>
          <w:b w:val="0"/>
          <w:i w:val="0"/>
          <w:strike w:val="0"/>
          <w:noProof w:val="0"/>
          <w:color w:val="000000"/>
          <w:position w:val="0"/>
          <w:sz w:val="20"/>
          <w:u w:val="none"/>
          <w:vertAlign w:val="baseline"/>
        </w:rPr>
        <w:t>. "Denial of a motion in limine does not necessarily mean that all evidence contemplated by the motion will be admitted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trial. </w:t>
      </w:r>
      <w:bookmarkStart w:id="21" w:name="Bookmark_I69J6D062N1RHG0040000400_2"/>
      <w:bookmarkEnd w:id="21"/>
      <w:r>
        <w:rPr>
          <w:rFonts w:ascii="arial" w:eastAsia="arial" w:hAnsi="arial" w:cs="arial"/>
          <w:b w:val="0"/>
          <w:i w:val="0"/>
          <w:strike w:val="0"/>
          <w:noProof w:val="0"/>
          <w:color w:val="000000"/>
          <w:position w:val="0"/>
          <w:sz w:val="20"/>
          <w:u w:val="none"/>
          <w:vertAlign w:val="baseline"/>
        </w:rPr>
        <w:t xml:space="preserve">Denial merely means that without the context of trial, the court is unable to determine whether the evidence in question should be excluded." </w:t>
      </w:r>
      <w:bookmarkStart w:id="22" w:name="Bookmark_I69J6D062N1RHG0030000400"/>
      <w:bookmarkEnd w:id="22"/>
      <w:hyperlink r:id="rId16" w:history="1">
        <w:r>
          <w:rPr>
            <w:rFonts w:ascii="arial" w:eastAsia="arial" w:hAnsi="arial" w:cs="arial"/>
            <w:b w:val="0"/>
            <w:i/>
            <w:strike w:val="0"/>
            <w:noProof w:val="0"/>
            <w:color w:val="0077CC"/>
            <w:position w:val="0"/>
            <w:sz w:val="20"/>
            <w:u w:val="single"/>
            <w:vertAlign w:val="baseline"/>
          </w:rPr>
          <w:t>Matrix Int'l Textile</w:t>
        </w:r>
      </w:hyperlink>
      <w:hyperlink r:id="rId16" w:history="1">
        <w:r>
          <w:rPr>
            <w:rFonts w:ascii="arial" w:eastAsia="arial" w:hAnsi="arial" w:cs="arial"/>
            <w:b w:val="0"/>
            <w:i/>
            <w:strike w:val="0"/>
            <w:noProof w:val="0"/>
            <w:color w:val="0077CC"/>
            <w:position w:val="0"/>
            <w:sz w:val="20"/>
            <w:u w:val="single"/>
            <w:vertAlign w:val="baseline"/>
          </w:rPr>
          <w:t>, 2017 U.S. Dist. LEXIS 171131, 2017 WL 2929377, at *1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Federal Rules of Evidence</w:t>
      </w:r>
    </w:p>
    <w:p>
      <w:pPr>
        <w:keepNext w:val="0"/>
        <w:spacing w:before="240" w:after="0" w:line="260" w:lineRule="atLeast"/>
        <w:ind w:left="0" w:right="0" w:firstLine="0"/>
        <w:jc w:val="both"/>
      </w:pPr>
      <w:bookmarkStart w:id="23" w:name="Bookmark_para_8"/>
      <w:bookmarkEnd w:id="23"/>
      <w:hyperlink r:id="rId18" w:history="1">
        <w:r>
          <w:rPr>
            <w:rFonts w:ascii="arial" w:eastAsia="arial" w:hAnsi="arial" w:cs="arial"/>
            <w:b w:val="0"/>
            <w:i/>
            <w:strike w:val="0"/>
            <w:color w:val="0077CC"/>
            <w:sz w:val="20"/>
            <w:u w:val="single"/>
            <w:vertAlign w:val="baseline"/>
          </w:rPr>
          <w:t>Federal Rule of Evidence 402</w:t>
        </w:r>
      </w:hyperlink>
      <w:r>
        <w:rPr>
          <w:rFonts w:ascii="arial" w:eastAsia="arial" w:hAnsi="arial" w:cs="arial"/>
          <w:b w:val="0"/>
          <w:i w:val="0"/>
          <w:strike w:val="0"/>
          <w:noProof w:val="0"/>
          <w:color w:val="000000"/>
          <w:position w:val="0"/>
          <w:sz w:val="20"/>
          <w:u w:val="none"/>
          <w:vertAlign w:val="baseline"/>
        </w:rPr>
        <w:t xml:space="preserve"> states in relevant part that ". . . Evidence which is not relevant is not admissible." "Relevant evidence" is "any evidence having any tendency to make the existence of any fact that is of consequence of the determination of the action more probable or less probable than it would be without the evidence." </w:t>
      </w:r>
      <w:hyperlink r:id="rId19"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9"/>
      <w:bookmarkEnd w:id="24"/>
      <w:hyperlink r:id="rId20" w:history="1">
        <w:r>
          <w:rPr>
            <w:rFonts w:ascii="arial" w:eastAsia="arial" w:hAnsi="arial" w:cs="arial"/>
            <w:b w:val="0"/>
            <w:i/>
            <w:strike w:val="0"/>
            <w:color w:val="0077CC"/>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states that "[a]lthough relevant, evidence may be excluded if its probative value is substantially outweighed by the danger of unfair prejudice, confusion of the issues, or misleading the jury, or by considerations of undue delay[] [and] waste of time . . ."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requires the prejudice be "unfair." </w:t>
      </w:r>
      <w:hyperlink r:id="rId21" w:history="1">
        <w:r>
          <w:rPr>
            <w:rFonts w:ascii="arial" w:eastAsia="arial" w:hAnsi="arial" w:cs="arial"/>
            <w:b w:val="0"/>
            <w:i/>
            <w:strike w:val="0"/>
            <w:noProof w:val="0"/>
            <w:color w:val="0077CC"/>
            <w:position w:val="0"/>
            <w:sz w:val="20"/>
            <w:u w:val="single"/>
            <w:vertAlign w:val="baseline"/>
          </w:rPr>
          <w:t>U.S. v. Young</w:t>
        </w:r>
      </w:hyperlink>
      <w:hyperlink r:id="rId21" w:history="1">
        <w:r>
          <w:rPr>
            <w:rFonts w:ascii="arial" w:eastAsia="arial" w:hAnsi="arial" w:cs="arial"/>
            <w:b w:val="0"/>
            <w:i/>
            <w:strike w:val="0"/>
            <w:noProof w:val="0"/>
            <w:color w:val="0077CC"/>
            <w:position w:val="0"/>
            <w:sz w:val="20"/>
            <w:u w:val="single"/>
            <w:vertAlign w:val="baseline"/>
          </w:rPr>
          <w:t xml:space="preserve"> (D.S.D. 1990) 754 F.Supp. 739, 742</w:t>
        </w:r>
      </w:hyperlink>
      <w:r>
        <w:rPr>
          <w:rFonts w:ascii="arial" w:eastAsia="arial" w:hAnsi="arial" w:cs="arial"/>
          <w:b w:val="0"/>
          <w:i w:val="0"/>
          <w:strike w:val="0"/>
          <w:noProof w:val="0"/>
          <w:color w:val="000000"/>
          <w:position w:val="0"/>
          <w:sz w:val="20"/>
          <w:u w:val="none"/>
          <w:vertAlign w:val="baseline"/>
        </w:rPr>
        <w:t xml:space="preserve">. "Unfair" in this context means the evidence has an undue tendency to suggest to a jury decision based upon an improper basis, usually an emotional one.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742</w:t>
        </w:r>
      </w:hyperlink>
      <w:r>
        <w:rPr>
          <w:rFonts w:ascii="arial" w:eastAsia="arial" w:hAnsi="arial" w:cs="arial"/>
          <w:b w:val="0"/>
          <w:i w:val="0"/>
          <w:strike w:val="0"/>
          <w:noProof w:val="0"/>
          <w:color w:val="000000"/>
          <w:position w:val="0"/>
          <w:sz w:val="20"/>
          <w:u w:val="none"/>
          <w:vertAlign w:val="baseline"/>
        </w:rPr>
        <w:t xml:space="preserve">. Additionally, where evidence is not closely related to the issue being litigated and is otherwise irrelevant, the probative value of such evidence is substantially outweighed by the danger of unfair prejudice. </w:t>
      </w:r>
      <w:hyperlink r:id="rId22" w:history="1">
        <w:r>
          <w:rPr>
            <w:rFonts w:ascii="arial" w:eastAsia="arial" w:hAnsi="arial" w:cs="arial"/>
            <w:b w:val="0"/>
            <w:i/>
            <w:strike w:val="0"/>
            <w:noProof w:val="0"/>
            <w:color w:val="0077CC"/>
            <w:position w:val="0"/>
            <w:sz w:val="20"/>
            <w:u w:val="single"/>
            <w:vertAlign w:val="baseline"/>
          </w:rPr>
          <w:t>U.S. v. Guerrero</w:t>
        </w:r>
      </w:hyperlink>
      <w:hyperlink r:id="rId22" w:history="1">
        <w:r>
          <w:rPr>
            <w:rFonts w:ascii="arial" w:eastAsia="arial" w:hAnsi="arial" w:cs="arial"/>
            <w:b w:val="0"/>
            <w:i/>
            <w:strike w:val="0"/>
            <w:noProof w:val="0"/>
            <w:color w:val="0077CC"/>
            <w:position w:val="0"/>
            <w:sz w:val="20"/>
            <w:u w:val="single"/>
            <w:vertAlign w:val="baseline"/>
          </w:rPr>
          <w:t>, 756 F.2d 1342, 1348 (9th Cir. 1984)</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U.S. v. Blaylock</w:t>
        </w:r>
      </w:hyperlink>
      <w:hyperlink r:id="rId23" w:history="1">
        <w:r>
          <w:rPr>
            <w:rFonts w:ascii="arial" w:eastAsia="arial" w:hAnsi="arial" w:cs="arial"/>
            <w:b w:val="0"/>
            <w:i/>
            <w:strike w:val="0"/>
            <w:noProof w:val="0"/>
            <w:color w:val="0077CC"/>
            <w:position w:val="0"/>
            <w:sz w:val="20"/>
            <w:u w:val="single"/>
            <w:vertAlign w:val="baseline"/>
          </w:rPr>
          <w:t>, 20 F.3d 1458, 1464 (9th Cir.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0"/>
      <w:bookmarkEnd w:id="25"/>
      <w:hyperlink r:id="rId24" w:history="1">
        <w:r>
          <w:rPr>
            <w:rFonts w:ascii="arial" w:eastAsia="arial" w:hAnsi="arial" w:cs="arial"/>
            <w:b w:val="0"/>
            <w:i/>
            <w:strike w:val="0"/>
            <w:color w:val="0077CC"/>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allows for expert testimony,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subject to certain requirements and conditions:</w:t>
      </w:r>
    </w:p>
    <w:p>
      <w:pPr>
        <w:keepNext w:val="0"/>
        <w:spacing w:after="0" w:line="260" w:lineRule="atLeast"/>
        <w:ind w:left="40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A witness who is qualified as an expert by knowledge, skill, experience, training, or education may testify in the form of an opinion or otherwise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The </w:t>
      </w:r>
      <w:hyperlink r:id="rId24"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inquiry "entails a preliminary assessment of whether the reasoning or methodology underlying the testimony is scientifically valid and of whether that reasoning or methodology properly can be applied to the facts in issue." </w:t>
      </w:r>
      <w:hyperlink r:id="rId25" w:history="1">
        <w:r>
          <w:rPr>
            <w:rFonts w:ascii="arial" w:eastAsia="arial" w:hAnsi="arial" w:cs="arial"/>
            <w:b w:val="0"/>
            <w:i/>
            <w:strike w:val="0"/>
            <w:noProof w:val="0"/>
            <w:color w:val="0077CC"/>
            <w:position w:val="0"/>
            <w:sz w:val="20"/>
            <w:u w:val="single"/>
            <w:vertAlign w:val="baseline"/>
          </w:rPr>
          <w:t>Daubert v. Merrell Dow Pharms., Inc.</w:t>
        </w:r>
      </w:hyperlink>
      <w:hyperlink r:id="rId25" w:history="1">
        <w:r>
          <w:rPr>
            <w:rFonts w:ascii="arial" w:eastAsia="arial" w:hAnsi="arial" w:cs="arial"/>
            <w:b w:val="0"/>
            <w:i/>
            <w:strike w:val="0"/>
            <w:noProof w:val="0"/>
            <w:color w:val="0077CC"/>
            <w:position w:val="0"/>
            <w:sz w:val="20"/>
            <w:u w:val="single"/>
            <w:vertAlign w:val="baseline"/>
          </w:rPr>
          <w:t>, 509 U.S. 579, 592-93, 113 S. Ct. 2786, 125 L. Ed. 2d 469 (1993)</w:t>
        </w:r>
      </w:hyperlink>
      <w:r>
        <w:rPr>
          <w:rFonts w:ascii="arial" w:eastAsia="arial" w:hAnsi="arial" w:cs="arial"/>
          <w:b w:val="0"/>
          <w:i w:val="0"/>
          <w:strike w:val="0"/>
          <w:noProof w:val="0"/>
          <w:color w:val="000000"/>
          <w:position w:val="0"/>
          <w:sz w:val="20"/>
          <w:u w:val="none"/>
          <w:vertAlign w:val="baseline"/>
        </w:rPr>
        <w:t xml:space="preserve">. The district court must also "ensure that the proposed expert testimony is relevant and will serve to aid the trier of fact. . . . Expert testimony assists the trier of fact when it provides information beyond the common knowledge of the trier of fact." </w:t>
      </w:r>
      <w:hyperlink r:id="rId26" w:history="1">
        <w:r>
          <w:rPr>
            <w:rFonts w:ascii="arial" w:eastAsia="arial" w:hAnsi="arial" w:cs="arial"/>
            <w:b w:val="0"/>
            <w:i/>
            <w:strike w:val="0"/>
            <w:noProof w:val="0"/>
            <w:color w:val="0077CC"/>
            <w:position w:val="0"/>
            <w:sz w:val="20"/>
            <w:u w:val="single"/>
            <w:vertAlign w:val="baseline"/>
          </w:rPr>
          <w:t>United States v. Finley</w:t>
        </w:r>
      </w:hyperlink>
      <w:hyperlink r:id="rId26" w:history="1">
        <w:r>
          <w:rPr>
            <w:rFonts w:ascii="arial" w:eastAsia="arial" w:hAnsi="arial" w:cs="arial"/>
            <w:b w:val="0"/>
            <w:i/>
            <w:strike w:val="0"/>
            <w:noProof w:val="0"/>
            <w:color w:val="0077CC"/>
            <w:position w:val="0"/>
            <w:sz w:val="20"/>
            <w:u w:val="single"/>
            <w:vertAlign w:val="baseline"/>
          </w:rPr>
          <w:t>, 301 F.3d 1000, 1008 (9th Cir. 2002)</w:t>
        </w:r>
      </w:hyperlink>
      <w:r>
        <w:rPr>
          <w:rFonts w:ascii="arial" w:eastAsia="arial" w:hAnsi="arial" w:cs="arial"/>
          <w:b w:val="0"/>
          <w:i w:val="0"/>
          <w:strike w:val="0"/>
          <w:noProof w:val="0"/>
          <w:color w:val="000000"/>
          <w:position w:val="0"/>
          <w:sz w:val="20"/>
          <w:u w:val="none"/>
          <w:vertAlign w:val="baseline"/>
        </w:rPr>
        <w:t xml:space="preserve"> (citing </w:t>
      </w:r>
      <w:hyperlink r:id="rId25" w:history="1">
        <w:r>
          <w:rPr>
            <w:rFonts w:ascii="arial" w:eastAsia="arial" w:hAnsi="arial" w:cs="arial"/>
            <w:b w:val="0"/>
            <w:i/>
            <w:strike w:val="0"/>
            <w:noProof w:val="0"/>
            <w:color w:val="0077CC"/>
            <w:position w:val="0"/>
            <w:sz w:val="20"/>
            <w:u w:val="single"/>
            <w:vertAlign w:val="baseline"/>
          </w:rPr>
          <w:t>Daubert</w:t>
        </w:r>
      </w:hyperlink>
      <w:hyperlink r:id="rId25" w:history="1">
        <w:r>
          <w:rPr>
            <w:rFonts w:ascii="arial" w:eastAsia="arial" w:hAnsi="arial" w:cs="arial"/>
            <w:b w:val="0"/>
            <w:i/>
            <w:strike w:val="0"/>
            <w:noProof w:val="0"/>
            <w:color w:val="0077CC"/>
            <w:position w:val="0"/>
            <w:sz w:val="20"/>
            <w:u w:val="single"/>
            <w:vertAlign w:val="baseline"/>
          </w:rPr>
          <w:t>, 509 U.S. at 591-93</w:t>
        </w:r>
      </w:hyperlink>
      <w:r>
        <w:rPr>
          <w:rFonts w:ascii="arial" w:eastAsia="arial" w:hAnsi="arial" w:cs="arial"/>
          <w:b w:val="0"/>
          <w:i w:val="0"/>
          <w:strike w:val="0"/>
          <w:noProof w:val="0"/>
          <w:color w:val="000000"/>
          <w:position w:val="0"/>
          <w:sz w:val="20"/>
          <w:u w:val="none"/>
          <w:vertAlign w:val="baseline"/>
        </w:rPr>
        <w:t>). Daubert's "gatekeeping obligation" "applies not only to testimony based on 'scientific' knowledge but also to testimony based 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'technical' and 'other specialized' knowledge." </w:t>
      </w:r>
      <w:hyperlink r:id="rId27" w:history="1">
        <w:r>
          <w:rPr>
            <w:rFonts w:ascii="arial" w:eastAsia="arial" w:hAnsi="arial" w:cs="arial"/>
            <w:b w:val="0"/>
            <w:i/>
            <w:strike w:val="0"/>
            <w:noProof w:val="0"/>
            <w:color w:val="0077CC"/>
            <w:position w:val="0"/>
            <w:sz w:val="20"/>
            <w:u w:val="single"/>
            <w:vertAlign w:val="baseline"/>
          </w:rPr>
          <w:t>Kumho Tire Company v. Carmichael</w:t>
        </w:r>
      </w:hyperlink>
      <w:hyperlink r:id="rId27" w:history="1">
        <w:r>
          <w:rPr>
            <w:rFonts w:ascii="arial" w:eastAsia="arial" w:hAnsi="arial" w:cs="arial"/>
            <w:b w:val="0"/>
            <w:i/>
            <w:strike w:val="0"/>
            <w:noProof w:val="0"/>
            <w:color w:val="0077CC"/>
            <w:position w:val="0"/>
            <w:sz w:val="20"/>
            <w:u w:val="single"/>
            <w:vertAlign w:val="baseline"/>
          </w:rPr>
          <w:t>, 526 U.S. 137, 141, 119 S. Ct. 1167, 143 L. Ed. 2d 238 (1999)</w:t>
        </w:r>
      </w:hyperlink>
      <w:r>
        <w:rPr>
          <w:rFonts w:ascii="arial" w:eastAsia="arial" w:hAnsi="arial" w:cs="arial"/>
          <w:b w:val="0"/>
          <w:i w:val="0"/>
          <w:strike w:val="0"/>
          <w:noProof w:val="0"/>
          <w:color w:val="000000"/>
          <w:position w:val="0"/>
          <w:sz w:val="20"/>
          <w:u w:val="none"/>
          <w:vertAlign w:val="baseline"/>
        </w:rPr>
        <w:t xml:space="preserve">. "[I]n considering the admissibility of testimony based on some 'other specialized knowledge,' </w:t>
      </w:r>
      <w:hyperlink r:id="rId24"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generally is construed liberally." </w:t>
      </w:r>
      <w:hyperlink r:id="rId28" w:history="1">
        <w:r>
          <w:rPr>
            <w:rFonts w:ascii="arial" w:eastAsia="arial" w:hAnsi="arial" w:cs="arial"/>
            <w:b w:val="0"/>
            <w:i/>
            <w:strike w:val="0"/>
            <w:noProof w:val="0"/>
            <w:color w:val="0077CC"/>
            <w:position w:val="0"/>
            <w:sz w:val="20"/>
            <w:u w:val="single"/>
            <w:vertAlign w:val="baseline"/>
          </w:rPr>
          <w:t>United States v. Hankey</w:t>
        </w:r>
      </w:hyperlink>
      <w:hyperlink r:id="rId28" w:history="1">
        <w:r>
          <w:rPr>
            <w:rFonts w:ascii="arial" w:eastAsia="arial" w:hAnsi="arial" w:cs="arial"/>
            <w:b w:val="0"/>
            <w:i/>
            <w:strike w:val="0"/>
            <w:noProof w:val="0"/>
            <w:color w:val="0077CC"/>
            <w:position w:val="0"/>
            <w:sz w:val="20"/>
            <w:u w:val="single"/>
            <w:vertAlign w:val="baseline"/>
          </w:rPr>
          <w:t>, 203 F.3d 1160, 1168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Finally, </w:t>
      </w:r>
      <w:hyperlink r:id="rId29"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governs "attacking a witness's character for truthfulness by evidence of a criminal conviction." </w:t>
      </w:r>
      <w:hyperlink r:id="rId29" w:history="1">
        <w:r>
          <w:rPr>
            <w:rFonts w:ascii="arial" w:eastAsia="arial" w:hAnsi="arial" w:cs="arial"/>
            <w:b w:val="0"/>
            <w:i/>
            <w:strike w:val="0"/>
            <w:noProof w:val="0"/>
            <w:color w:val="0077CC"/>
            <w:position w:val="0"/>
            <w:sz w:val="20"/>
            <w:u w:val="single"/>
            <w:vertAlign w:val="baseline"/>
          </w:rPr>
          <w:t>Fed. R. Evid. 609(a)</w:t>
        </w:r>
      </w:hyperlink>
      <w:r>
        <w:rPr>
          <w:rFonts w:ascii="arial" w:eastAsia="arial" w:hAnsi="arial" w:cs="arial"/>
          <w:b w:val="0"/>
          <w:i w:val="0"/>
          <w:strike w:val="0"/>
          <w:noProof w:val="0"/>
          <w:color w:val="000000"/>
          <w:position w:val="0"/>
          <w:sz w:val="20"/>
          <w:u w:val="none"/>
          <w:vertAlign w:val="baseline"/>
        </w:rPr>
        <w:t xml:space="preserve">. When the witness to be impeached is a witness in a civil case, evidence of a conviction for a crime punishable by death or imprisonment for more than one year "must be admitted, subject to </w:t>
      </w:r>
      <w:hyperlink r:id="rId20"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and "for any crime regardless of the punishment, the evidence must be admitted if the court can readily determine that establishing the elements of the crime required proving—or the witness's admitting a dishonest act or false statement."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609(a)(1)(B)</w:t>
        </w:r>
      </w:hyperlink>
      <w:r>
        <w:rPr>
          <w:rFonts w:ascii="arial" w:eastAsia="arial" w:hAnsi="arial" w:cs="arial"/>
          <w:b w:val="0"/>
          <w:i w:val="0"/>
          <w:strike w:val="0"/>
          <w:noProof w:val="0"/>
          <w:color w:val="000000"/>
          <w:position w:val="0"/>
          <w:sz w:val="20"/>
          <w:u w:val="none"/>
          <w:vertAlign w:val="baseline"/>
        </w:rPr>
        <w:t>. But where:</w:t>
      </w:r>
    </w:p>
    <w:p>
      <w:pPr>
        <w:keepNext w:val="0"/>
        <w:spacing w:after="0" w:line="260" w:lineRule="atLeast"/>
        <w:ind w:left="40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more than 10 years have passed since the witness's conviction or release from confinement for [the crime], whichever is later . . . [e]vidence of the conviction is admissible only if:</w:t>
      </w:r>
    </w:p>
    <w:p>
      <w:pPr>
        <w:keepNext w:val="0"/>
        <w:spacing w:before="200" w:after="0" w:line="260" w:lineRule="atLeast"/>
        <w:ind w:left="400" w:right="0" w:firstLine="0"/>
        <w:jc w:val="both"/>
      </w:pPr>
      <w:bookmarkStart w:id="29" w:name="Bookmark_para_14"/>
      <w:bookmarkEnd w:id="29"/>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its probative value, supported by specific facts and circumstances, substantially outweighs its prejudicial effect; and</w:t>
      </w:r>
    </w:p>
    <w:p>
      <w:pPr>
        <w:keepNext w:val="0"/>
        <w:spacing w:before="200" w:after="0" w:line="260" w:lineRule="atLeast"/>
        <w:ind w:left="400" w:right="0" w:firstLine="0"/>
        <w:jc w:val="both"/>
      </w:pPr>
      <w:bookmarkStart w:id="30" w:name="Bookmark_para_15"/>
      <w:bookmarkEnd w:id="30"/>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the proponent gives an adverse party reasonable written notice of the intent to use it so that the party has a fair opportunity to contest its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609(b).</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Courts in the Ninth Circuit consider five factors in balancing the probative evidence of a defendant's prior conviction against its prejudicial effect: </w:t>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the impeachment value of the prior crime; (2) the point in time of the conviction and the witness's subsequent history; (3) the similarity between the past crime and the charged crime; (4) the importance of defendant's testimony; and (5) the centrality of defendant's credibility." </w:t>
      </w:r>
      <w:hyperlink r:id="rId30" w:history="1">
        <w:r>
          <w:rPr>
            <w:rFonts w:ascii="arial" w:eastAsia="arial" w:hAnsi="arial" w:cs="arial"/>
            <w:b w:val="0"/>
            <w:i/>
            <w:strike w:val="0"/>
            <w:noProof w:val="0"/>
            <w:color w:val="0077CC"/>
            <w:position w:val="0"/>
            <w:sz w:val="20"/>
            <w:u w:val="single"/>
            <w:vertAlign w:val="baseline"/>
          </w:rPr>
          <w:t>United States v. Hursh</w:t>
        </w:r>
      </w:hyperlink>
      <w:hyperlink r:id="rId30" w:history="1">
        <w:r>
          <w:rPr>
            <w:rFonts w:ascii="arial" w:eastAsia="arial" w:hAnsi="arial" w:cs="arial"/>
            <w:b w:val="0"/>
            <w:i/>
            <w:strike w:val="0"/>
            <w:noProof w:val="0"/>
            <w:color w:val="0077CC"/>
            <w:position w:val="0"/>
            <w:sz w:val="20"/>
            <w:u w:val="single"/>
            <w:vertAlign w:val="baseline"/>
          </w:rPr>
          <w:t>, 217 F.3d 761, 768 (9th Cir. 2000)</w:t>
        </w:r>
      </w:hyperlink>
      <w:r>
        <w:rPr>
          <w:rFonts w:ascii="arial" w:eastAsia="arial" w:hAnsi="arial" w:cs="arial"/>
          <w:b w:val="0"/>
          <w:i w:val="0"/>
          <w:strike w:val="0"/>
          <w:noProof w:val="0"/>
          <w:color w:val="000000"/>
          <w:position w:val="0"/>
          <w:sz w:val="20"/>
          <w:u w:val="none"/>
          <w:vertAlign w:val="baseline"/>
        </w:rPr>
        <w:t xml:space="preserve"> (citing </w:t>
      </w:r>
      <w:hyperlink r:id="rId31" w:history="1">
        <w:r>
          <w:rPr>
            <w:rFonts w:ascii="arial" w:eastAsia="arial" w:hAnsi="arial" w:cs="arial"/>
            <w:b w:val="0"/>
            <w:i/>
            <w:strike w:val="0"/>
            <w:noProof w:val="0"/>
            <w:color w:val="0077CC"/>
            <w:position w:val="0"/>
            <w:sz w:val="20"/>
            <w:u w:val="single"/>
            <w:vertAlign w:val="baseline"/>
          </w:rPr>
          <w:t>United States v. Browne</w:t>
        </w:r>
      </w:hyperlink>
      <w:hyperlink r:id="rId31" w:history="1">
        <w:r>
          <w:rPr>
            <w:rFonts w:ascii="arial" w:eastAsia="arial" w:hAnsi="arial" w:cs="arial"/>
            <w:b w:val="0"/>
            <w:i/>
            <w:strike w:val="0"/>
            <w:noProof w:val="0"/>
            <w:color w:val="0077CC"/>
            <w:position w:val="0"/>
            <w:sz w:val="20"/>
            <w:u w:val="single"/>
            <w:vertAlign w:val="baseline"/>
          </w:rPr>
          <w:t>, 829 F.2d 760, 762-63 (9th Cir. 1987)</w:t>
        </w:r>
      </w:hyperlink>
      <w:r>
        <w:rPr>
          <w:rFonts w:ascii="arial" w:eastAsia="arial" w:hAnsi="arial" w:cs="arial"/>
          <w:b w:val="0"/>
          <w:i w:val="0"/>
          <w:strike w:val="0"/>
          <w:noProof w:val="0"/>
          <w:color w:val="000000"/>
          <w:position w:val="0"/>
          <w:sz w:val="20"/>
          <w:u w:val="none"/>
          <w:vertAlign w:val="baseline"/>
        </w:rPr>
        <w:t xml:space="preserve">). "The government bears the burden of showing, based on these factors, that the proffered evidence's probative value substantially outweighs its prejudicial effect." </w:t>
      </w:r>
      <w:hyperlink r:id="rId32" w:history="1">
        <w:r>
          <w:rPr>
            <w:rFonts w:ascii="arial" w:eastAsia="arial" w:hAnsi="arial" w:cs="arial"/>
            <w:b w:val="0"/>
            <w:i/>
            <w:strike w:val="0"/>
            <w:noProof w:val="0"/>
            <w:color w:val="0077CC"/>
            <w:position w:val="0"/>
            <w:sz w:val="20"/>
            <w:u w:val="single"/>
            <w:vertAlign w:val="baseline"/>
          </w:rPr>
          <w:t>United States v. Alexander</w:t>
        </w:r>
      </w:hyperlink>
      <w:hyperlink r:id="rId32" w:history="1">
        <w:r>
          <w:rPr>
            <w:rFonts w:ascii="arial" w:eastAsia="arial" w:hAnsi="arial" w:cs="arial"/>
            <w:b w:val="0"/>
            <w:i/>
            <w:strike w:val="0"/>
            <w:noProof w:val="0"/>
            <w:color w:val="0077CC"/>
            <w:position w:val="0"/>
            <w:sz w:val="20"/>
            <w:u w:val="single"/>
            <w:vertAlign w:val="baseline"/>
          </w:rPr>
          <w:t>, 48 F.3d 1477, 1488 (9th Cir. 1995)</w:t>
        </w:r>
      </w:hyperlink>
      <w:r>
        <w:rPr>
          <w:rFonts w:ascii="arial" w:eastAsia="arial" w:hAnsi="arial" w:cs="arial"/>
          <w:b w:val="0"/>
          <w:i w:val="0"/>
          <w:strike w:val="0"/>
          <w:noProof w:val="0"/>
          <w:color w:val="000000"/>
          <w:position w:val="0"/>
          <w:sz w:val="20"/>
          <w:u w:val="none"/>
          <w:vertAlign w:val="baseline"/>
        </w:rPr>
        <w:t xml:space="preserve"> (citing </w:t>
      </w:r>
      <w:hyperlink r:id="rId31" w:history="1">
        <w:r>
          <w:rPr>
            <w:rFonts w:ascii="arial" w:eastAsia="arial" w:hAnsi="arial" w:cs="arial"/>
            <w:b w:val="0"/>
            <w:i/>
            <w:strike w:val="0"/>
            <w:noProof w:val="0"/>
            <w:color w:val="0077CC"/>
            <w:position w:val="0"/>
            <w:sz w:val="20"/>
            <w:u w:val="single"/>
            <w:vertAlign w:val="baseline"/>
          </w:rPr>
          <w:t>Browne</w:t>
        </w:r>
      </w:hyperlink>
      <w:hyperlink r:id="rId31" w:history="1">
        <w:r>
          <w:rPr>
            <w:rFonts w:ascii="arial" w:eastAsia="arial" w:hAnsi="arial" w:cs="arial"/>
            <w:b w:val="0"/>
            <w:i/>
            <w:strike w:val="0"/>
            <w:noProof w:val="0"/>
            <w:color w:val="0077CC"/>
            <w:position w:val="0"/>
            <w:sz w:val="20"/>
            <w:u w:val="single"/>
            <w:vertAlign w:val="baseline"/>
          </w:rPr>
          <w:t>, 829 F.2d at 763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Federal Rules of Civil Procedure</w:t>
      </w:r>
    </w:p>
    <w:p>
      <w:pPr>
        <w:keepNext w:val="0"/>
        <w:spacing w:before="200" w:after="0" w:line="260" w:lineRule="atLeast"/>
        <w:ind w:left="0" w:right="0" w:firstLine="0"/>
        <w:jc w:val="both"/>
      </w:pPr>
      <w:bookmarkStart w:id="31" w:name="Bookmark_para_16"/>
      <w:bookmarkEnd w:id="31"/>
      <w:hyperlink r:id="rId33" w:history="1">
        <w:r>
          <w:rPr>
            <w:rFonts w:ascii="arial" w:eastAsia="arial" w:hAnsi="arial" w:cs="arial"/>
            <w:b w:val="0"/>
            <w:i/>
            <w:strike w:val="0"/>
            <w:color w:val="0077CC"/>
            <w:sz w:val="20"/>
            <w:u w:val="single"/>
            <w:vertAlign w:val="baseline"/>
          </w:rPr>
          <w:t>Federal Rule of Civil Procedure 26</w:t>
        </w:r>
      </w:hyperlink>
      <w:r>
        <w:rPr>
          <w:rFonts w:ascii="arial" w:eastAsia="arial" w:hAnsi="arial" w:cs="arial"/>
          <w:b w:val="0"/>
          <w:i w:val="0"/>
          <w:strike w:val="0"/>
          <w:noProof w:val="0"/>
          <w:color w:val="000000"/>
          <w:position w:val="0"/>
          <w:sz w:val="20"/>
          <w:u w:val="none"/>
          <w:vertAlign w:val="baseline"/>
        </w:rPr>
        <w:t xml:space="preserve"> establishes the required initial disclosures by litigating parties. For instance, </w:t>
      </w:r>
      <w:hyperlink r:id="rId33" w:history="1">
        <w:r>
          <w:rPr>
            <w:rFonts w:ascii="arial" w:eastAsia="arial" w:hAnsi="arial" w:cs="arial"/>
            <w:b w:val="0"/>
            <w:i/>
            <w:strike w:val="0"/>
            <w:noProof w:val="0"/>
            <w:color w:val="0077CC"/>
            <w:position w:val="0"/>
            <w:sz w:val="20"/>
            <w:u w:val="single"/>
            <w:vertAlign w:val="baseline"/>
          </w:rPr>
          <w:t>Rule 26(a)(1)(A)(iii)</w:t>
        </w:r>
      </w:hyperlink>
      <w:r>
        <w:rPr>
          <w:rFonts w:ascii="arial" w:eastAsia="arial" w:hAnsi="arial" w:cs="arial"/>
          <w:b w:val="0"/>
          <w:i w:val="0"/>
          <w:strike w:val="0"/>
          <w:noProof w:val="0"/>
          <w:color w:val="000000"/>
          <w:position w:val="0"/>
          <w:sz w:val="20"/>
          <w:u w:val="none"/>
          <w:vertAlign w:val="baseline"/>
        </w:rPr>
        <w:t xml:space="preserve"> requires the disclosure of "a computation of each category of damages claimed by the disclosing party—who must also make available for inspection and copying as under Rule 34 the documents or other evidentiary material, unless privileged or protected from disclosure, on which each computation is based, including materials bearing on the nature and extent of injuries suffered. Additionally, </w:t>
      </w:r>
      <w:hyperlink r:id="rId33" w:history="1">
        <w:r>
          <w:rPr>
            <w:rFonts w:ascii="arial" w:eastAsia="arial" w:hAnsi="arial" w:cs="arial"/>
            <w:b w:val="0"/>
            <w:i/>
            <w:strike w:val="0"/>
            <w:noProof w:val="0"/>
            <w:color w:val="0077CC"/>
            <w:position w:val="0"/>
            <w:sz w:val="20"/>
            <w:u w:val="single"/>
            <w:vertAlign w:val="baseline"/>
          </w:rPr>
          <w:t>Rule 26(e)</w:t>
        </w:r>
      </w:hyperlink>
      <w:r>
        <w:rPr>
          <w:rFonts w:ascii="arial" w:eastAsia="arial" w:hAnsi="arial" w:cs="arial"/>
          <w:b w:val="0"/>
          <w:i w:val="0"/>
          <w:strike w:val="0"/>
          <w:noProof w:val="0"/>
          <w:color w:val="000000"/>
          <w:position w:val="0"/>
          <w:sz w:val="20"/>
          <w:u w:val="none"/>
          <w:vertAlign w:val="baseline"/>
        </w:rPr>
        <w:t xml:space="preserve"> sets forth the requirements for supplemental disclosures: "a party who has made a disclosure under </w:t>
      </w:r>
      <w:hyperlink r:id="rId33"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 . must supplement or correct its disclosure or response . . . in a timely manner if the party learns that in some material respect the disclosure or response is incomplete or incorrect, and if the additional or corrective information has not otherwise been made known to the other parties during the discovery process or in writing."</w:t>
      </w:r>
    </w:p>
    <w:p>
      <w:pPr>
        <w:keepNext w:val="0"/>
        <w:spacing w:before="24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w:t>
      </w:r>
      <w:hyperlink r:id="rId34" w:history="1">
        <w:r>
          <w:rPr>
            <w:rFonts w:ascii="arial" w:eastAsia="arial" w:hAnsi="arial" w:cs="arial"/>
            <w:b w:val="0"/>
            <w:i/>
            <w:strike w:val="0"/>
            <w:noProof w:val="0"/>
            <w:color w:val="0077CC"/>
            <w:position w:val="0"/>
            <w:sz w:val="20"/>
            <w:u w:val="single"/>
            <w:vertAlign w:val="baseline"/>
          </w:rPr>
          <w:t>Rule 37</w:t>
        </w:r>
      </w:hyperlink>
      <w:r>
        <w:rPr>
          <w:rFonts w:ascii="arial" w:eastAsia="arial" w:hAnsi="arial" w:cs="arial"/>
          <w:b w:val="0"/>
          <w:i w:val="0"/>
          <w:strike w:val="0"/>
          <w:noProof w:val="0"/>
          <w:color w:val="000000"/>
          <w:position w:val="0"/>
          <w:sz w:val="20"/>
          <w:u w:val="none"/>
          <w:vertAlign w:val="baseline"/>
        </w:rPr>
        <w:t xml:space="preserve">, in turn, provides that if a party fails to provide the information required by </w:t>
      </w:r>
      <w:hyperlink r:id="rId33"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'the party is not allowed to use that information or witness to supply evidence on a motion, at a hearing, or at a trial, unless the failure was substantially justified or harmless.'" </w:t>
      </w:r>
      <w:hyperlink r:id="rId35" w:history="1">
        <w:r>
          <w:rPr>
            <w:rFonts w:ascii="arial" w:eastAsia="arial" w:hAnsi="arial" w:cs="arial"/>
            <w:b w:val="0"/>
            <w:i/>
            <w:strike w:val="0"/>
            <w:noProof w:val="0"/>
            <w:color w:val="0077CC"/>
            <w:position w:val="0"/>
            <w:sz w:val="20"/>
            <w:u w:val="single"/>
            <w:vertAlign w:val="baseline"/>
          </w:rPr>
          <w:t>Mariscal v. Graco, Inc.</w:t>
        </w:r>
      </w:hyperlink>
      <w:hyperlink r:id="rId35" w:history="1">
        <w:r>
          <w:rPr>
            <w:rFonts w:ascii="arial" w:eastAsia="arial" w:hAnsi="arial" w:cs="arial"/>
            <w:b w:val="0"/>
            <w:i/>
            <w:strike w:val="0"/>
            <w:noProof w:val="0"/>
            <w:color w:val="0077CC"/>
            <w:position w:val="0"/>
            <w:sz w:val="20"/>
            <w:u w:val="single"/>
            <w:vertAlign w:val="baseline"/>
          </w:rPr>
          <w:t>, 52 F. Supp. 3d 973, 981 (N.D. Cal. 2014)</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6" w:history="1">
        <w:r>
          <w:rPr>
            <w:rFonts w:ascii="arial" w:eastAsia="arial" w:hAnsi="arial" w:cs="arial"/>
            <w:b w:val="0"/>
            <w:i/>
            <w:strike w:val="0"/>
            <w:noProof w:val="0"/>
            <w:color w:val="0077CC"/>
            <w:position w:val="0"/>
            <w:sz w:val="20"/>
            <w:u w:val="single"/>
            <w:vertAlign w:val="baseline"/>
          </w:rPr>
          <w:t>Yeti by Molly, Ltd. v. Deckers Outdoor Corp.</w:t>
        </w:r>
      </w:hyperlink>
      <w:hyperlink r:id="rId36" w:history="1">
        <w:r>
          <w:rPr>
            <w:rFonts w:ascii="arial" w:eastAsia="arial" w:hAnsi="arial" w:cs="arial"/>
            <w:b w:val="0"/>
            <w:i/>
            <w:strike w:val="0"/>
            <w:noProof w:val="0"/>
            <w:color w:val="0077CC"/>
            <w:position w:val="0"/>
            <w:sz w:val="20"/>
            <w:u w:val="single"/>
            <w:vertAlign w:val="baseline"/>
          </w:rPr>
          <w:t>, 259 F.3d 1101, 1106, n.1 (9th Cir. 2001)</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Rule 37</w:t>
        </w:r>
      </w:hyperlink>
      <w:r>
        <w:rPr>
          <w:rFonts w:ascii="arial" w:eastAsia="arial" w:hAnsi="arial" w:cs="arial"/>
          <w:b w:val="0"/>
          <w:i w:val="0"/>
          <w:strike w:val="0"/>
          <w:noProof w:val="0"/>
          <w:color w:val="000000"/>
          <w:position w:val="0"/>
          <w:sz w:val="20"/>
          <w:u w:val="none"/>
          <w:vertAlign w:val="baseline"/>
        </w:rPr>
        <w:t xml:space="preserve"> forbids the use at trial of "any information required to be disclosed by </w:t>
      </w:r>
      <w:hyperlink r:id="rId33"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that is not properly disclosed, unless the lack of disclosure had "substantial justification" or was "harmless."). "Among the factors that may properly guide a district court in determining whether a violation of a discovery deadline is justified or harmless are: (1) prejudice or surprise to the party against whom the evidence is offered; (2) the ability of that party to cure the prejudice; (3) the likelihood of disruption of the trial; and (4) bad faith or willfulness involved in not timely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disclosing the evidence." </w:t>
      </w:r>
      <w:hyperlink r:id="rId37" w:history="1">
        <w:r>
          <w:rPr>
            <w:rFonts w:ascii="arial" w:eastAsia="arial" w:hAnsi="arial" w:cs="arial"/>
            <w:b w:val="0"/>
            <w:i/>
            <w:strike w:val="0"/>
            <w:noProof w:val="0"/>
            <w:color w:val="0077CC"/>
            <w:position w:val="0"/>
            <w:sz w:val="20"/>
            <w:u w:val="single"/>
            <w:vertAlign w:val="baseline"/>
          </w:rPr>
          <w:t>Lanard Toys Ltd. v. Novelty, Inc.</w:t>
        </w:r>
      </w:hyperlink>
      <w:hyperlink r:id="rId37" w:history="1">
        <w:r>
          <w:rPr>
            <w:rFonts w:ascii="arial" w:eastAsia="arial" w:hAnsi="arial" w:cs="arial"/>
            <w:b w:val="0"/>
            <w:i/>
            <w:strike w:val="0"/>
            <w:noProof w:val="0"/>
            <w:color w:val="0077CC"/>
            <w:position w:val="0"/>
            <w:sz w:val="20"/>
            <w:u w:val="single"/>
            <w:vertAlign w:val="baseline"/>
          </w:rPr>
          <w:t>, 375 F. App'x 705, 713 (9th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Parties' Motions in Limine To Exclude Expert Testimony</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Plaintiffs have retained Charles Stephenson as an expert on police practices, and the government has retained Jennifer Coffindaffer as a rebuttal expert to Stephenson. Plaintiffs and the government respectively seek to exclude testimony on the basis that each expert intends to testify as to legal conclusions regarding ultimate issues of law, specifically whether the use of force on Vahram by the FBI was reasonable or not.</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 xml:space="preserve">At the Court's August 28, 2023 hearing, the parties stipulated to withdrawing both experts for trial. Accordingly, the Court </w:t>
      </w:r>
      <w:r>
        <w:rPr>
          <w:rFonts w:ascii="arial" w:eastAsia="arial" w:hAnsi="arial" w:cs="arial"/>
          <w:b/>
          <w:i w:val="0"/>
          <w:strike w:val="0"/>
          <w:noProof w:val="0"/>
          <w:color w:val="000000"/>
          <w:position w:val="0"/>
          <w:sz w:val="20"/>
          <w:u w:val="none"/>
          <w:vertAlign w:val="baseline"/>
        </w:rPr>
        <w:t>DENIES AS MOOT</w:t>
      </w:r>
      <w:r>
        <w:rPr>
          <w:rFonts w:ascii="arial" w:eastAsia="arial" w:hAnsi="arial" w:cs="arial"/>
          <w:b w:val="0"/>
          <w:i w:val="0"/>
          <w:strike w:val="0"/>
          <w:noProof w:val="0"/>
          <w:color w:val="000000"/>
          <w:position w:val="0"/>
          <w:sz w:val="20"/>
          <w:u w:val="none"/>
          <w:vertAlign w:val="baseline"/>
        </w:rPr>
        <w:t xml:space="preserve"> plaintiffs motion in limine no. 1 and defendant's motion in limine no.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Motion in Limine No. 2 to Exclude All Evidence of Kirakos Kesablyan's Past Criminal History</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 xml:space="preserve">Plaintiffs seek to exclude all references to Kirakos' criminal history on the basis that "such evidence lacks relevance as required by </w:t>
      </w:r>
      <w:hyperlink r:id="rId18" w:history="1">
        <w:r>
          <w:rPr>
            <w:rFonts w:ascii="arial" w:eastAsia="arial" w:hAnsi="arial" w:cs="arial"/>
            <w:b w:val="0"/>
            <w:i/>
            <w:strike w:val="0"/>
            <w:noProof w:val="0"/>
            <w:color w:val="0077CC"/>
            <w:position w:val="0"/>
            <w:sz w:val="20"/>
            <w:u w:val="single"/>
            <w:vertAlign w:val="baseline"/>
          </w:rPr>
          <w:t>FRE §§ 402</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404, 405 and 609," that "any probative value of such evidence is substantially outweighed by the danger of unfair prejudice and confusing the issues," and "the allegations and convictions are too remote in time or unfounded."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Pls.' MIL No. 2 at 3. Specifically, plaintiffs argue that Kirakos' 2000 minor misdemeanor conviction for assault with a deadly weapon and his 2008 felony convictions for forgery and threatening a victim, witness, or informant should be excluded pursuant to </w:t>
      </w:r>
      <w:hyperlink r:id="rId29"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because the convictions are more than 15 years old.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 Additionally, plaintiffs argue that </w:t>
      </w:r>
      <w:hyperlink r:id="rId20" w:history="1">
        <w:r>
          <w:rPr>
            <w:rFonts w:ascii="arial" w:eastAsia="arial" w:hAnsi="arial" w:cs="arial"/>
            <w:b w:val="0"/>
            <w:i/>
            <w:strike w:val="0"/>
            <w:noProof w:val="0"/>
            <w:color w:val="0077CC"/>
            <w:position w:val="0"/>
            <w:sz w:val="20"/>
            <w:u w:val="single"/>
            <w:vertAlign w:val="baseline"/>
          </w:rPr>
          <w:t>Federal Rules of Evidence 403</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609</w:t>
        </w:r>
      </w:hyperlink>
      <w:r>
        <w:rPr>
          <w:rFonts w:ascii="arial" w:eastAsia="arial" w:hAnsi="arial" w:cs="arial"/>
          <w:b w:val="0"/>
          <w:i w:val="0"/>
          <w:strike w:val="0"/>
          <w:noProof w:val="0"/>
          <w:color w:val="000000"/>
          <w:position w:val="0"/>
          <w:sz w:val="20"/>
          <w:u w:val="none"/>
          <w:vertAlign w:val="baseline"/>
        </w:rPr>
        <w:t xml:space="preserve"> require the exclusion of evidence related to "alleged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into Armenia," and his investigation by the FBI, Glendale Police Department and Los Angeles Police Department as a "close associate of numerous high level Armenian organized crime members" and "person of interest in two homicides."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According to plaintiffs, "the sole purpose for attempting to admit this into evidence is to portray Kirakos Kesablyan as a 'bad character' [and thereby] with a broad brush also attempt[] to paint Vahram as a bad character as well."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In opposition, the government argues that evidence of Kirakos' criminal record must be considered as part of the totality of the circumstances inquiry into whether the FBI's use of force was reasonable, which requires examining all of the facts and circumstances known to the officers at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time of the shooting. Dkt. 95 at 2-3 (citation omitted). The government contends that the "FBI SWAT operators were entitled to consider the actual nature of the warrant operation that they were conducting when deciding how to act during that operation."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Additionally, to the extent that Kirakos intends to testify at trial, the government argues that his prior criminal convictions are admissible evidence for the purpose of impeachment pursuant to </w:t>
      </w:r>
      <w:hyperlink r:id="rId29"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The Court concludes that appropriate references to Kirako's criminal record must be admitted at trial.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Specifically, as the government notes and plaintiffs do not address in their brief, reasonableness of force is assessed from the perspective of a reasonable officer at the scene. </w:t>
      </w:r>
      <w:hyperlink r:id="rId38" w:history="1">
        <w:r>
          <w:rPr>
            <w:rFonts w:ascii="arial" w:eastAsia="arial" w:hAnsi="arial" w:cs="arial"/>
            <w:b w:val="0"/>
            <w:i/>
            <w:strike w:val="0"/>
            <w:noProof w:val="0"/>
            <w:color w:val="0077CC"/>
            <w:position w:val="0"/>
            <w:sz w:val="20"/>
            <w:u w:val="single"/>
            <w:vertAlign w:val="baseline"/>
          </w:rPr>
          <w:t>Graham v. Connor</w:t>
        </w:r>
      </w:hyperlink>
      <w:hyperlink r:id="rId38" w:history="1">
        <w:r>
          <w:rPr>
            <w:rFonts w:ascii="arial" w:eastAsia="arial" w:hAnsi="arial" w:cs="arial"/>
            <w:b w:val="0"/>
            <w:i/>
            <w:strike w:val="0"/>
            <w:noProof w:val="0"/>
            <w:color w:val="0077CC"/>
            <w:position w:val="0"/>
            <w:sz w:val="20"/>
            <w:u w:val="single"/>
            <w:vertAlign w:val="baseline"/>
          </w:rPr>
          <w:t>, 490 U.S. 386, 395, 109 S. Ct. 1865, 104 L. Ed. 2d 443 (1989)</w:t>
        </w:r>
      </w:hyperlink>
      <w:r>
        <w:rPr>
          <w:rFonts w:ascii="arial" w:eastAsia="arial" w:hAnsi="arial" w:cs="arial"/>
          <w:b w:val="0"/>
          <w:i w:val="0"/>
          <w:strike w:val="0"/>
          <w:noProof w:val="0"/>
          <w:color w:val="000000"/>
          <w:position w:val="0"/>
          <w:sz w:val="20"/>
          <w:u w:val="none"/>
          <w:vertAlign w:val="baseline"/>
        </w:rPr>
        <w:t xml:space="preserve">. The relevant inquiry is whether the officers' actions are "objectively reasonable in light of the facts and circumstances confronting them, without regard to their underlying intent or motivation."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397</w:t>
        </w:r>
      </w:hyperlink>
      <w:r>
        <w:rPr>
          <w:rFonts w:ascii="arial" w:eastAsia="arial" w:hAnsi="arial" w:cs="arial"/>
          <w:b w:val="0"/>
          <w:i w:val="0"/>
          <w:strike w:val="0"/>
          <w:noProof w:val="0"/>
          <w:color w:val="000000"/>
          <w:position w:val="0"/>
          <w:sz w:val="20"/>
          <w:u w:val="none"/>
          <w:vertAlign w:val="baseline"/>
        </w:rPr>
        <w:t xml:space="preserve"> (quotation marks and citation omitted). Here, the FBI used deadly force on Vahram while executing search and arrest warrants for Kirakos. Documents crucial to this inquiry, such as the warrant application and affidavit, along with the FBI's pre-operation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case file on Kirakos, reference Kirakos' criminal record. His criminal record was one of many factors that the FBI took into consideration while making its operational plans. Plaintiffs do not dispute that the FBI team members executing the warrants for Kirakos did not review these relevant materials. Accordingly, the references made to Kirakos' criminal record in these documents are admissible as part of the totality of the circumstances inquiry for the reasonableness of the FBI's use of force.</w:t>
      </w:r>
    </w:p>
    <w:p>
      <w:pPr>
        <w:keepNext w:val="0"/>
        <w:spacing w:before="24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 xml:space="preserve">Moreover, while the totality of the circumstances inquiry is a sufficient basis by itself to admit prior references to Kirakos' criminal record, the 2008 felony convictions for forgery and threatening a victim or witness also bear on Kirakos' character for truthfulness as a witness and are properly admissible for the purpose of impeachment pursuant to </w:t>
      </w:r>
      <w:hyperlink r:id="rId29"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United States v. Field</w:t>
        </w:r>
      </w:hyperlink>
      <w:hyperlink r:id="rId39" w:history="1">
        <w:r>
          <w:rPr>
            <w:rFonts w:ascii="arial" w:eastAsia="arial" w:hAnsi="arial" w:cs="arial"/>
            <w:b w:val="0"/>
            <w:i/>
            <w:strike w:val="0"/>
            <w:noProof w:val="0"/>
            <w:color w:val="0077CC"/>
            <w:position w:val="0"/>
            <w:sz w:val="20"/>
            <w:u w:val="single"/>
            <w:vertAlign w:val="baseline"/>
          </w:rPr>
          <w:t>, 625 F.2d 862, 871 (9th Cir. 1980)</w:t>
        </w:r>
      </w:hyperlink>
      <w:r>
        <w:rPr>
          <w:rFonts w:ascii="arial" w:eastAsia="arial" w:hAnsi="arial" w:cs="arial"/>
          <w:b w:val="0"/>
          <w:i w:val="0"/>
          <w:strike w:val="0"/>
          <w:noProof w:val="0"/>
          <w:color w:val="000000"/>
          <w:position w:val="0"/>
          <w:sz w:val="20"/>
          <w:u w:val="none"/>
          <w:vertAlign w:val="baseline"/>
        </w:rPr>
        <w:t xml:space="preserve"> (holding that a criminal defendant's "prior conviction for forgery, a crime involving fraudulent falsification, was properly admissible [under </w:t>
      </w:r>
      <w:hyperlink r:id="rId29"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In this case, the FBI was in the process of executing an arrest warrant for Kirakos for his alleged threats of an individual while falsely impersonating a U.S. Marshal, in violation of </w:t>
      </w:r>
      <w:hyperlink r:id="rId11" w:history="1">
        <w:r>
          <w:rPr>
            <w:rFonts w:ascii="arial" w:eastAsia="arial" w:hAnsi="arial" w:cs="arial"/>
            <w:b w:val="0"/>
            <w:i/>
            <w:strike w:val="0"/>
            <w:noProof w:val="0"/>
            <w:color w:val="0077CC"/>
            <w:position w:val="0"/>
            <w:sz w:val="20"/>
            <w:u w:val="single"/>
            <w:vertAlign w:val="baseline"/>
          </w:rPr>
          <w:t>18 U.S.C. § 912</w:t>
        </w:r>
      </w:hyperlink>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addition to claiming that Kirakos has made false statements both in the underlying FBI criminal investigation and civil discovery in this case, the government also contends that on the morning of Vahram's shooting, he told one of the FBI team officers, "if my father dies you're all [expletive] dead." Dkt. 95 at 7; 96 at 15. Under the circumstances, Kirakos' prior felony convictions for forgery and threatening a witness are highly relevant to his character for truthfulness as a witness, and outweigh any prejudicial effect of admitting them for this basis in a civil bench trial. </w:t>
      </w:r>
      <w:r>
        <w:rPr>
          <w:rFonts w:ascii="arial" w:eastAsia="arial" w:hAnsi="arial" w:cs="arial"/>
          <w:b w:val="0"/>
          <w:i w:val="0"/>
          <w:strike w:val="0"/>
          <w:noProof w:val="0"/>
          <w:color w:val="000000"/>
          <w:position w:val="0"/>
          <w:sz w:val="20"/>
          <w:u w:val="singl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United States v. Hursh</w:t>
        </w:r>
      </w:hyperlink>
      <w:hyperlink r:id="rId30" w:history="1">
        <w:r>
          <w:rPr>
            <w:rFonts w:ascii="arial" w:eastAsia="arial" w:hAnsi="arial" w:cs="arial"/>
            <w:b w:val="0"/>
            <w:i/>
            <w:strike w:val="0"/>
            <w:noProof w:val="0"/>
            <w:color w:val="0077CC"/>
            <w:position w:val="0"/>
            <w:sz w:val="20"/>
            <w:u w:val="single"/>
            <w:vertAlign w:val="baseline"/>
          </w:rPr>
          <w:t>, 217 F.3d 761, 768 (9th Cir. 2000)</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United States v. Mercado</w:t>
        </w:r>
      </w:hyperlink>
      <w:hyperlink r:id="rId40" w:history="1">
        <w:r>
          <w:rPr>
            <w:rFonts w:ascii="arial" w:eastAsia="arial" w:hAnsi="arial" w:cs="arial"/>
            <w:b w:val="0"/>
            <w:i/>
            <w:strike w:val="0"/>
            <w:noProof w:val="0"/>
            <w:color w:val="0077CC"/>
            <w:position w:val="0"/>
            <w:sz w:val="20"/>
            <w:u w:val="single"/>
            <w:vertAlign w:val="baseline"/>
          </w:rPr>
          <w:t>, No. 18-CR-00549-111K-3, 2020 U.S. Dist. LEXIS 36587, 2020 WL 999842, at *4 (N.D. Cal. Mar. 2, 2020)</w:t>
        </w:r>
      </w:hyperlink>
      <w:r>
        <w:rPr>
          <w:rFonts w:ascii="arial" w:eastAsia="arial" w:hAnsi="arial" w:cs="arial"/>
          <w:b w:val="0"/>
          <w:i w:val="0"/>
          <w:strike w:val="0"/>
          <w:noProof w:val="0"/>
          <w:color w:val="000000"/>
          <w:position w:val="0"/>
          <w:sz w:val="20"/>
          <w:u w:val="none"/>
          <w:vertAlign w:val="baseline"/>
        </w:rPr>
        <w:t xml:space="preserve"> (finding 23-year-old forgery conviction was admissible to impeach criminal defendant for narcotics possession and distribution charges). Accordingly, to the extent that the parties intend to introduce Kirakos as a witness to the events in this case, the government is entitled to appropriately impeach him.</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plaintiff's motion in limine no.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Motion in Limine No. 2 To Exclude Plaintiffs' Claims of Economic Damages</w:t>
      </w:r>
    </w:p>
    <w:p>
      <w:pPr>
        <w:keepNext w:val="0"/>
        <w:spacing w:before="24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Under California law, the damages recoverable for a successor-in-interest are "limited to the loss or damage that the decedent sustained or incurred before death,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including any penalties or punitive or exemplary damages that the decedent would have been entitled to recover had the decedent lived, and do not include damages for pain, suffering, or disfigurement." </w:t>
      </w:r>
      <w:hyperlink r:id="rId41" w:history="1">
        <w:r>
          <w:rPr>
            <w:rFonts w:ascii="arial" w:eastAsia="arial" w:hAnsi="arial" w:cs="arial"/>
            <w:b w:val="0"/>
            <w:i/>
            <w:strike w:val="0"/>
            <w:noProof w:val="0"/>
            <w:color w:val="0077CC"/>
            <w:position w:val="0"/>
            <w:sz w:val="20"/>
            <w:u w:val="single"/>
            <w:vertAlign w:val="baseline"/>
          </w:rPr>
          <w:t>Cal. Civ. Proc. Code § 377.34(a)</w:t>
        </w:r>
      </w:hyperlink>
      <w:r>
        <w:rPr>
          <w:rFonts w:ascii="arial" w:eastAsia="arial" w:hAnsi="arial" w:cs="arial"/>
          <w:b w:val="0"/>
          <w:i w:val="0"/>
          <w:strike w:val="0"/>
          <w:noProof w:val="0"/>
          <w:color w:val="000000"/>
          <w:position w:val="0"/>
          <w:sz w:val="20"/>
          <w:u w:val="none"/>
          <w:vertAlign w:val="baseline"/>
        </w:rPr>
        <w:t xml:space="preserve">. However, the FTCA bars punitive and exemplary damages against the United States.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 xml:space="preserve">Similarly, for wrongful death claims under California law, a plaintiff is "entitled to recover damages for his own pecuniary loss, which may include (1) the loss of the decedent's financial support, services, training and advice, and (2) the pecuniary value of the decedent's society and companionship—but he may not recover for such things as the grief or sorrow attendant upon the death of a loved one, or for his sad emotions, or for the sentimental value of the loss." </w:t>
      </w:r>
      <w:hyperlink r:id="rId43" w:history="1">
        <w:r>
          <w:rPr>
            <w:rFonts w:ascii="arial" w:eastAsia="arial" w:hAnsi="arial" w:cs="arial"/>
            <w:b w:val="0"/>
            <w:i/>
            <w:strike w:val="0"/>
            <w:noProof w:val="0"/>
            <w:color w:val="0077CC"/>
            <w:position w:val="0"/>
            <w:sz w:val="20"/>
            <w:u w:val="single"/>
            <w:vertAlign w:val="baseline"/>
          </w:rPr>
          <w:t>Quiroz v. Seventh Ave. Ctr.</w:t>
        </w:r>
      </w:hyperlink>
      <w:hyperlink r:id="rId43" w:history="1">
        <w:r>
          <w:rPr>
            <w:rFonts w:ascii="arial" w:eastAsia="arial" w:hAnsi="arial" w:cs="arial"/>
            <w:b w:val="0"/>
            <w:i/>
            <w:strike w:val="0"/>
            <w:noProof w:val="0"/>
            <w:color w:val="0077CC"/>
            <w:position w:val="0"/>
            <w:sz w:val="20"/>
            <w:u w:val="single"/>
            <w:vertAlign w:val="baseline"/>
          </w:rPr>
          <w:t>, 140 Cal. App. 4th 1256, 1264, 45 Cal. Rptr. 3d 222 (Ct. App. 2006)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Economic damages specifically include the "financial support, if any, that [the decedent] would have contributed to the family," the loss of "gifts or benefits that [plaintiffs] would have expected to receive from [the decedent], "funeral and burial expenses," and the "reasonable value of household services that [the decedent] would have provided." Judicial Council Of California Civil Jury Instruction No. 3921 ("CACI").</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requests that the Court exclude plaintiffs' claims for economic damages except those relating to Vahram's funeral costs on the basis that plaintiffs have failed to satisfy their disclosure obligations under </w:t>
      </w:r>
      <w:hyperlink r:id="rId33" w:history="1">
        <w:r>
          <w:rPr>
            <w:rFonts w:ascii="arial" w:eastAsia="arial" w:hAnsi="arial" w:cs="arial"/>
            <w:b w:val="0"/>
            <w:i/>
            <w:strike w:val="0"/>
            <w:noProof w:val="0"/>
            <w:color w:val="0077CC"/>
            <w:position w:val="0"/>
            <w:sz w:val="20"/>
            <w:u w:val="single"/>
            <w:vertAlign w:val="baseline"/>
          </w:rPr>
          <w:t>Federal Rule of Civil Procedure 26</w:t>
        </w:r>
      </w:hyperlink>
      <w:r>
        <w:rPr>
          <w:rFonts w:ascii="arial" w:eastAsia="arial" w:hAnsi="arial" w:cs="arial"/>
          <w:b w:val="0"/>
          <w:i w:val="0"/>
          <w:strike w:val="0"/>
          <w:noProof w:val="0"/>
          <w:color w:val="000000"/>
          <w:position w:val="0"/>
          <w:sz w:val="20"/>
          <w:u w:val="none"/>
          <w:vertAlign w:val="baseline"/>
        </w:rPr>
        <w:t xml:space="preserve">. According to the government, plaintiffs' amended initial disclosures simply stated, "Plaintiffs will seek damages for the loss of their father and husband [and] will retain an expert to calculate Plaintiffs' damages." Def.'s MIL No. 2 at 1. The government notes that the deadline for expert disclosures was August 29, 2022, and that plaintiffs have not disclosed any expert calculations to date.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plaintiffs' amended initial disclosures, the government served discovery requests on plaintiffs, who did not substantially respond to the requests aside from providing receipts of Vahram's funeral costs.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The government filed a motion to compel, which Magistrate Judge Abrams granted on July 22, 2022. Magistrate Judge Abrams ordered plaintiffs to respond to and produce documents responsive to the government's discovery requests for lost wages, income, benefits or any other "monetary loss or damage" as a result of Vahram's death. Dkt. 62.</w:t>
      </w:r>
    </w:p>
    <w:p>
      <w:pPr>
        <w:keepNext w:val="0"/>
        <w:spacing w:before="200" w:after="0" w:line="260" w:lineRule="atLeast"/>
        <w:ind w:left="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In their supplemental responses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government's discovery requests, plaintiffs amended their theory of economic damages. Anait provided, "decedent was the sole provider of plaintiff and responding party did not work. Decedent made anywhere from $600,000.00 per year to $1,500,000.00 per year. These amounts were calculated using estimates based on what decedent informed Plaintiff he made." Def.'s MIL No. 2 at 8. Kadzhik and Kirakos wrote that each of them "lost approximately $300,000.00 or more per year for the past 4 years since the incident due to loss of business due to mourning."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support, Kadzhik and Kirakos submitted 2019-2021 tax returns for two businesses called "On Time Towing and Impound Yard" and "LA Luxury Rides."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14-15.</w:t>
      </w:r>
    </w:p>
    <w:p>
      <w:pPr>
        <w:keepNext w:val="0"/>
        <w:spacing w:before="200" w:after="0" w:line="260" w:lineRule="atLeast"/>
        <w:ind w:left="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 xml:space="preserve">The government argues that these disclosures are insufficient to enable plaintiffs to pursue these claims for economic damages. First, as to Kirakos and Kadzhik's claims for economic damages, the government notes that under California law, economic damages cannot be recovered on the basis of grief or mourning.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16-17 (citing BAJI Instruction No. 14.50; CACI Instruction No. 3921; </w:t>
      </w:r>
      <w:hyperlink r:id="rId44" w:history="1">
        <w:r>
          <w:rPr>
            <w:rFonts w:ascii="arial" w:eastAsia="arial" w:hAnsi="arial" w:cs="arial"/>
            <w:b w:val="0"/>
            <w:i/>
            <w:strike w:val="0"/>
            <w:noProof w:val="0"/>
            <w:color w:val="0077CC"/>
            <w:position w:val="0"/>
            <w:sz w:val="20"/>
            <w:u w:val="single"/>
            <w:vertAlign w:val="baseline"/>
          </w:rPr>
          <w:t>Krouse v. Graham</w:t>
        </w:r>
      </w:hyperlink>
      <w:hyperlink r:id="rId44" w:history="1">
        <w:r>
          <w:rPr>
            <w:rFonts w:ascii="arial" w:eastAsia="arial" w:hAnsi="arial" w:cs="arial"/>
            <w:b w:val="0"/>
            <w:i/>
            <w:strike w:val="0"/>
            <w:noProof w:val="0"/>
            <w:color w:val="0077CC"/>
            <w:position w:val="0"/>
            <w:sz w:val="20"/>
            <w:u w:val="single"/>
            <w:vertAlign w:val="baseline"/>
          </w:rPr>
          <w:t>, 19 Cal. 3d 59, 137 Cal. Rptr. 863, 562 P.2d 1022 (1977)</w:t>
        </w:r>
      </w:hyperlink>
      <w:r>
        <w:rPr>
          <w:rFonts w:ascii="arial" w:eastAsia="arial" w:hAnsi="arial" w:cs="arial"/>
          <w:b w:val="0"/>
          <w:i w:val="0"/>
          <w:strike w:val="0"/>
          <w:noProof w:val="0"/>
          <w:color w:val="000000"/>
          <w:position w:val="0"/>
          <w:sz w:val="20"/>
          <w:u w:val="none"/>
          <w:vertAlign w:val="baseline"/>
        </w:rPr>
        <w:t>). Because Kirakos and Kadzhik's claims they lost business income "due to mourning," recovery of this lost business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income is barred as a matter of law. Additionally, the government argues that Kirakos and Kadzhik "did not disclose any specific damages calculation, did not explain its basis, and did not produce any substantiating documentation."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 The government notes that because the 2019-2021 business tax returns, which are several years after Vahram's death in 2018, do not shed light on the state of plaintiffs' businesses before or immediately after his death, the tax returns provide no basis to determine how, if at all, Vahram's death impacted those businesses.</w:t>
      </w:r>
    </w:p>
    <w:p>
      <w:pPr>
        <w:keepNext w:val="0"/>
        <w:spacing w:before="200" w:after="0" w:line="260" w:lineRule="atLeast"/>
        <w:ind w:left="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 xml:space="preserve">The government also argues that Anait's claims for economic damages is unsubstantiated. Although she stated in her discovery response that Vahram made "anywhere between" $600,000 and $1.5 million per year, the government emphasizes that plaintiffs have produced no documents at all related to Vahram and Anait's employment, finances, or taxes. Additionally, the government notes that plaintiffs' counsel forbid Anait from testifying as to how Vahram's income was spent and how Vahram specifically provided financial support to Anait.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12-14. Moreover, while Anait stated in her deposition that Vahram had been healthy and continued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work until the time of his death, the government has submitted medical records and deposition testimony from Vahram's oncologist in support of its contention that Vahram was diagnosed with abdominal cancer in 2015 and stopped working from 2016-2017 because of his health.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 xml:space="preserve">In opposition, plaintiffs restate their theories of damages set forth in their special interrogatory responses and claim that "there has been no attempt to obstruct defendant's discovery." Dkt. 102 at 9. Plaintiffs appear to argue that deposition testimony of Kirakos and Kadhzik indicating that they were "stressed, depressed, [and] not able to go to work" after Vahram's death sufficiently sets forth the lost $300,000 per year from their businesses.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Additionally, plaintiffs emphasize that in Anait's discovery response, she stated that she was not in possession of her state and federal income tax returns for the past 10 years, but that she believed Viken L. Yepremian Accounting, the tax preparer, as well as the Internal Revenue Service, "may have documents responsive to this request." Dkt. 102 at 5. Plaintiffs state that the government "could have subpoenaed the records and made no such attempt."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50" w:name="Bookmark_para_32"/>
      <w:bookmarkEnd w:id="50"/>
      <w:r>
        <w:rPr>
          <w:rFonts w:ascii="arial" w:eastAsia="arial" w:hAnsi="arial" w:cs="arial"/>
          <w:b w:val="0"/>
          <w:i w:val="0"/>
          <w:strike w:val="0"/>
          <w:noProof w:val="0"/>
          <w:color w:val="000000"/>
          <w:position w:val="0"/>
          <w:sz w:val="20"/>
          <w:u w:val="none"/>
          <w:vertAlign w:val="baseline"/>
        </w:rPr>
        <w:t>The Court finds that plaintiffs are precluded from seeking to recover economic damages other than Vahram's funeral costs. First, as to Anait's successor-in-interest claim, the Court notes as set forth above that the only damages Anait can pursue as successor-in-interest are any potential economic losses sustained by Vahram specifically between his injury and death, a timeframe of a few hours. Anait has not provided any computation or evidence for such economic loss, and so she cannot accordingly recover on that basis.</w:t>
      </w:r>
    </w:p>
    <w:p>
      <w:pPr>
        <w:keepNext w:val="0"/>
        <w:spacing w:before="200" w:after="0" w:line="260" w:lineRule="atLeast"/>
        <w:ind w:left="0" w:right="0" w:firstLine="0"/>
        <w:jc w:val="both"/>
      </w:pPr>
      <w:bookmarkStart w:id="51" w:name="Bookmark_para_33"/>
      <w:bookmarkEnd w:id="51"/>
      <w:r>
        <w:rPr>
          <w:rFonts w:ascii="arial" w:eastAsia="arial" w:hAnsi="arial" w:cs="arial"/>
          <w:b w:val="0"/>
          <w:i w:val="0"/>
          <w:strike w:val="0"/>
          <w:noProof w:val="0"/>
          <w:color w:val="000000"/>
          <w:position w:val="0"/>
          <w:sz w:val="20"/>
          <w:u w:val="none"/>
          <w:vertAlign w:val="baseline"/>
        </w:rPr>
        <w:t>The Court also agrees with the government as to plaintiffs' economic damages claims for wrongful death. As a threshold issue, plaintiffs do not address the caselaw stating that lost income due to grief or mourning is not recoverable, which appears to be Kirakos and Kadzhik's only stated basis for lost business income. But more fundamentally, plaintiffs do not provide any basis at all to calculate Vahram's financial support of Anait and the lost business income of Kirakos and Kadzhik. The only documents produced—plaintiff Kirakos and Kadzhik's 2019-2021 business tax returns—provide no foundation to determine how and why Vahram's death in 2018 caused a loss in profits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Kirakos and Kadzhik's two businesses, let alone to the speculative amount of more than $2.4 million combined.</w:t>
      </w:r>
    </w:p>
    <w:p>
      <w:pPr>
        <w:keepNext w:val="0"/>
        <w:spacing w:before="200" w:after="0" w:line="260" w:lineRule="atLeast"/>
        <w:ind w:left="0" w:right="0" w:firstLine="0"/>
        <w:jc w:val="both"/>
      </w:pPr>
      <w:bookmarkStart w:id="52" w:name="Bookmark_para_34"/>
      <w:bookmarkEnd w:id="52"/>
      <w:r>
        <w:rPr>
          <w:rFonts w:ascii="arial" w:eastAsia="arial" w:hAnsi="arial" w:cs="arial"/>
          <w:b w:val="0"/>
          <w:i w:val="0"/>
          <w:strike w:val="0"/>
          <w:noProof w:val="0"/>
          <w:color w:val="000000"/>
          <w:position w:val="0"/>
          <w:sz w:val="20"/>
          <w:u w:val="none"/>
          <w:vertAlign w:val="baseline"/>
        </w:rPr>
        <w:t xml:space="preserve">Worse still, plaintiffs have provided no evidence to substantiate Anait's claim that Vahram made anywhere between $600,000 and $1.5 million per year. Specifically, plaintiffs have proffered </w:t>
      </w:r>
      <w:r>
        <w:rPr>
          <w:rFonts w:ascii="arial" w:eastAsia="arial" w:hAnsi="arial" w:cs="arial"/>
          <w:b w:val="0"/>
          <w:i/>
          <w:strike w:val="0"/>
          <w:noProof w:val="0"/>
          <w:color w:val="000000"/>
          <w:position w:val="0"/>
          <w:sz w:val="20"/>
          <w:u w:val="none"/>
          <w:vertAlign w:val="baseline"/>
        </w:rPr>
        <w:t>no documents at all</w:t>
      </w:r>
      <w:r>
        <w:rPr>
          <w:rFonts w:ascii="arial" w:eastAsia="arial" w:hAnsi="arial" w:cs="arial"/>
          <w:b w:val="0"/>
          <w:i w:val="0"/>
          <w:strike w:val="0"/>
          <w:noProof w:val="0"/>
          <w:color w:val="000000"/>
          <w:position w:val="0"/>
          <w:sz w:val="20"/>
          <w:u w:val="none"/>
          <w:vertAlign w:val="baseline"/>
        </w:rPr>
        <w:t xml:space="preserve"> relating to Vahram and Armies finances before and after his death. And as the government notes, counsel for plaintiffs did not permit Anait to answer deposition questions relating to how Vahram's income was used to financially support her. Accordingly, there is simply no basis to compute Anait's wrongful death economic damages other than her unsubstantiated interrogatory response that Vahram "told her" his income.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Plaintiffs attempt to seek millions of dollars of economic damages without any evidentiary support.</w:t>
      </w:r>
    </w:p>
    <w:p>
      <w:pPr>
        <w:keepNext w:val="0"/>
        <w:spacing w:before="200" w:after="0" w:line="260" w:lineRule="atLeast"/>
        <w:ind w:left="0" w:right="0" w:firstLine="0"/>
        <w:jc w:val="both"/>
      </w:pPr>
      <w:bookmarkStart w:id="54" w:name="Bookmark_para_35"/>
      <w:bookmarkEnd w:id="54"/>
      <w:r>
        <w:rPr>
          <w:rFonts w:ascii="arial" w:eastAsia="arial" w:hAnsi="arial" w:cs="arial"/>
          <w:b w:val="0"/>
          <w:i w:val="0"/>
          <w:strike w:val="0"/>
          <w:noProof w:val="0"/>
          <w:color w:val="000000"/>
          <w:position w:val="0"/>
          <w:sz w:val="20"/>
          <w:u w:val="none"/>
          <w:vertAlign w:val="baseline"/>
        </w:rPr>
        <w:t xml:space="preserve">Finally, plaintiffs have made no attempt to show that the lack of disclosures relating to economic damages was "substantially justified" or "harmless" pursuant to </w:t>
      </w:r>
      <w:hyperlink r:id="rId34" w:history="1">
        <w:r>
          <w:rPr>
            <w:rFonts w:ascii="arial" w:eastAsia="arial" w:hAnsi="arial" w:cs="arial"/>
            <w:b w:val="0"/>
            <w:i/>
            <w:strike w:val="0"/>
            <w:noProof w:val="0"/>
            <w:color w:val="0077CC"/>
            <w:position w:val="0"/>
            <w:sz w:val="20"/>
            <w:u w:val="single"/>
            <w:vertAlign w:val="baseline"/>
          </w:rPr>
          <w:t>Federal Rule of Civil Procedure 37</w:t>
        </w:r>
      </w:hyperlink>
      <w:r>
        <w:rPr>
          <w:rFonts w:ascii="arial" w:eastAsia="arial" w:hAnsi="arial" w:cs="arial"/>
          <w:b w:val="0"/>
          <w:i w:val="0"/>
          <w:strike w:val="0"/>
          <w:noProof w:val="0"/>
          <w:color w:val="000000"/>
          <w:position w:val="0"/>
          <w:sz w:val="20"/>
          <w:u w:val="none"/>
          <w:vertAlign w:val="baseline"/>
        </w:rPr>
        <w:t>. The only sufficient computation and evidence of economic damages proffered in this case are Vahram's funeral costs, which plaintiffs produced in discovery. Plaintiffs may seek recovery of those costs,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but they are barred from seeking other economic damages.</w:t>
      </w:r>
    </w:p>
    <w:p>
      <w:pPr>
        <w:keepNext w:val="0"/>
        <w:spacing w:before="200" w:after="0" w:line="260" w:lineRule="atLeast"/>
        <w:ind w:left="0" w:right="0" w:firstLine="0"/>
        <w:jc w:val="both"/>
      </w:pPr>
      <w:bookmarkStart w:id="55" w:name="Bookmark_para_36"/>
      <w:bookmarkEnd w:id="55"/>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in limine no.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56" w:name="Bookmark_para_37"/>
      <w:bookmarkEnd w:id="56"/>
      <w:r>
        <w:rPr>
          <w:rFonts w:ascii="arial" w:eastAsia="arial" w:hAnsi="arial" w:cs="arial"/>
          <w:b w:val="0"/>
          <w:i w:val="0"/>
          <w:strike w:val="0"/>
          <w:noProof w:val="0"/>
          <w:color w:val="000000"/>
          <w:position w:val="0"/>
          <w:sz w:val="20"/>
          <w:u w:val="none"/>
          <w:vertAlign w:val="baseline"/>
        </w:rPr>
        <w:t xml:space="preserve">In accordance with the foregoing, the Court </w:t>
      </w:r>
      <w:r>
        <w:rPr>
          <w:rFonts w:ascii="arial" w:eastAsia="arial" w:hAnsi="arial" w:cs="arial"/>
          <w:b/>
          <w:i w:val="0"/>
          <w:strike w:val="0"/>
          <w:noProof w:val="0"/>
          <w:color w:val="000000"/>
          <w:position w:val="0"/>
          <w:sz w:val="20"/>
          <w:u w:val="none"/>
          <w:vertAlign w:val="baseline"/>
        </w:rPr>
        <w:t>DENIES AS MOOT</w:t>
      </w:r>
      <w:r>
        <w:rPr>
          <w:rFonts w:ascii="arial" w:eastAsia="arial" w:hAnsi="arial" w:cs="arial"/>
          <w:b w:val="0"/>
          <w:i w:val="0"/>
          <w:strike w:val="0"/>
          <w:noProof w:val="0"/>
          <w:color w:val="000000"/>
          <w:position w:val="0"/>
          <w:sz w:val="20"/>
          <w:u w:val="none"/>
          <w:vertAlign w:val="baseline"/>
        </w:rPr>
        <w:t xml:space="preserve"> plaintiff's motion in limine no. 1 and defendant's motion in limine no. 1,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plaintiff's motion in limine no. 2, and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in limine no. 2.</w:t>
      </w:r>
    </w:p>
    <w:p>
      <w:pPr>
        <w:keepNext w:val="0"/>
        <w:spacing w:before="200" w:after="0" w:line="260" w:lineRule="atLeast"/>
        <w:ind w:left="0" w:right="0" w:firstLine="0"/>
        <w:jc w:val="both"/>
      </w:pPr>
      <w:bookmarkStart w:id="57" w:name="Bookmark_para_38"/>
      <w:bookmarkEnd w:id="57"/>
      <w:r>
        <w:rPr>
          <w:rFonts w:ascii="arial" w:eastAsia="arial" w:hAnsi="arial" w:cs="arial"/>
          <w:b w:val="0"/>
          <w:i w:val="0"/>
          <w:strike w:val="0"/>
          <w:noProof w:val="0"/>
          <w:color w:val="000000"/>
          <w:position w:val="0"/>
          <w:sz w:val="20"/>
          <w:u w:val="none"/>
          <w:vertAlign w:val="baseline"/>
        </w:rPr>
        <w:t>IT IS SO ORDERED.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Unless otherwise noted, all references to the docket refer to the docket in this case, </w:t>
      </w:r>
      <w:r>
        <w:rPr>
          <w:rFonts w:ascii="arial" w:eastAsia="arial" w:hAnsi="arial" w:cs="arial"/>
          <w:b w:val="0"/>
          <w:i w:val="0"/>
          <w:strike w:val="0"/>
          <w:noProof w:val="0"/>
          <w:color w:val="000000"/>
          <w:position w:val="0"/>
          <w:sz w:val="18"/>
          <w:u w:val="single"/>
          <w:vertAlign w:val="baseline"/>
        </w:rPr>
        <w:t>Anait Stepanyan v. United States of America, et al.</w:t>
      </w:r>
      <w:r>
        <w:rPr>
          <w:rFonts w:ascii="arial" w:eastAsia="arial" w:hAnsi="arial" w:cs="arial"/>
          <w:b w:val="0"/>
          <w:i w:val="0"/>
          <w:strike w:val="0"/>
          <w:noProof w:val="0"/>
          <w:color w:val="000000"/>
          <w:position w:val="0"/>
          <w:sz w:val="18"/>
          <w:u w:val="none"/>
          <w:vertAlign w:val="baseline"/>
        </w:rPr>
        <w:t>, No. 2:20-cv-01774-CAS-PLA (C.D. Cal.). Pursuant to the Court's ordering consolidating the two cases, this case, No. 2:20-cv-01774-CAS-PLA,</w:t>
      </w:r>
    </w:p>
    <w:p>
      <w:pPr>
        <w:keepNext w:val="0"/>
        <w:spacing w:before="120" w:after="0" w:line="240" w:lineRule="atLeast"/>
        <w:ind w:left="0" w:right="0" w:firstLine="0"/>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Because Kirakos, Kadzhik and Vahram share a surname, the Court respectfully refers to them by their first names.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3"/>
      <w:bookmarkEnd w:id="12"/>
      <w:r>
        <w:rPr>
          <w:rFonts w:ascii="arial" w:eastAsia="arial" w:hAnsi="arial" w:cs="arial"/>
          <w:b w:val="0"/>
          <w:i w:val="0"/>
          <w:strike w:val="0"/>
          <w:noProof w:val="0"/>
          <w:color w:val="000000"/>
          <w:position w:val="0"/>
          <w:sz w:val="18"/>
          <w:u w:val="none"/>
          <w:vertAlign w:val="baseline"/>
        </w:rPr>
        <w:t>The other defendants in the consolidated cases have been dismissed. They include the County of Los Angeles, the Los Angeles Police Department, the Los Angeles County Sheriff's Department, Renae Bromley, and Hannah Monroe. See Dkts. 41, 58; No. 2:20-cv-10868-CAS(PLAx), Dkt. 22.</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4"/>
      <w:bookmarkEnd w:id="38"/>
      <w:r>
        <w:rPr>
          <w:rFonts w:ascii="arial" w:eastAsia="arial" w:hAnsi="arial" w:cs="arial"/>
          <w:b w:val="0"/>
          <w:i w:val="0"/>
          <w:strike w:val="0"/>
          <w:noProof w:val="0"/>
          <w:color w:val="000000"/>
          <w:position w:val="0"/>
          <w:sz w:val="18"/>
          <w:u w:val="none"/>
          <w:vertAlign w:val="baseline"/>
        </w:rPr>
        <w:t>Of course, no party may attempt to reference Kirakos' criminal record in an inflammatory or unfairly prejudicially manner. But appropriate references to Kirakos' criminal record are not by themselves "unfairly" prejudicial.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 w:name="Bookmark_fnpara_5"/>
      <w:bookmarkEnd w:id="43"/>
      <w:r>
        <w:rPr>
          <w:rFonts w:ascii="arial" w:eastAsia="arial" w:hAnsi="arial" w:cs="arial"/>
          <w:b w:val="0"/>
          <w:i w:val="0"/>
          <w:strike w:val="0"/>
          <w:noProof w:val="0"/>
          <w:color w:val="000000"/>
          <w:position w:val="0"/>
          <w:sz w:val="18"/>
          <w:u w:val="none"/>
          <w:vertAlign w:val="baseline"/>
        </w:rPr>
        <w:t xml:space="preserve">Wrongful death plaintiffs are expressly limited to damages that are not recoverable in a successor-in-interest action.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Cal. Code Civ. P. § 377.61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6"/>
      <w:bookmarkEnd w:id="49"/>
      <w:r>
        <w:rPr>
          <w:rFonts w:ascii="arial" w:eastAsia="arial" w:hAnsi="arial" w:cs="arial"/>
          <w:b w:val="0"/>
          <w:i w:val="0"/>
          <w:strike w:val="0"/>
          <w:noProof w:val="0"/>
          <w:color w:val="000000"/>
          <w:position w:val="0"/>
          <w:sz w:val="18"/>
          <w:u w:val="none"/>
          <w:vertAlign w:val="baseline"/>
        </w:rPr>
        <w:t xml:space="preserve">However, in Anait's response to the government's Special Interrogatory No. 8, she stated that Viken L. Yepremian Accounting "has indicated that they have no records for taxes done for decedent."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91-1, Exh. 2. Plaintiffs' suggestion that the government should have subpoenaed the accounting firm is not persuasive.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3" w:name="Bookmark_fnpara_7"/>
      <w:bookmarkEnd w:id="53"/>
      <w:r>
        <w:rPr>
          <w:rFonts w:ascii="arial" w:eastAsia="arial" w:hAnsi="arial" w:cs="arial"/>
          <w:b w:val="0"/>
          <w:i w:val="0"/>
          <w:strike w:val="0"/>
          <w:noProof w:val="0"/>
          <w:color w:val="000000"/>
          <w:position w:val="0"/>
          <w:sz w:val="18"/>
          <w:u w:val="none"/>
          <w:vertAlign w:val="baseline"/>
        </w:rPr>
        <w:t>As noted above, the government cited to medical evidence that Vahram was being treated for cancer and had stopped working for several years before the time of his death, contradicting Anait's deposition testimony that he continued to work and had no health issues at all. Plaintiffs do not address the government's proffered evidence in their opposition.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Stepanyan v. United States, 2023 U.S. Dist. LEXIS 171525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2W-C2V1-F4GK-M0CT-00000-00&amp;context=1519360" TargetMode="External" /><Relationship Id="rId11" Type="http://schemas.openxmlformats.org/officeDocument/2006/relationships/hyperlink" Target="https://advance.lexis.com/api/document?collection=statutes-legislation&amp;id=urn:contentItem:8SG9-5042-D6RV-H05J-00000-00&amp;context=1519360" TargetMode="External" /><Relationship Id="rId12" Type="http://schemas.openxmlformats.org/officeDocument/2006/relationships/hyperlink" Target="https://advance.lexis.com/api/document?collection=statutes-legislation&amp;id=urn:contentItem:63PR-R453-GXJ9-30F8-00000-00&amp;context=1519360" TargetMode="External" /><Relationship Id="rId13" Type="http://schemas.openxmlformats.org/officeDocument/2006/relationships/hyperlink" Target="https://advance.lexis.com/api/document?collection=cases&amp;id=urn:contentItem:4VC2-CDN0-TXFX-D3DS-00000-00&amp;context=1519360" TargetMode="External" /><Relationship Id="rId14" Type="http://schemas.openxmlformats.org/officeDocument/2006/relationships/hyperlink" Target="https://advance.lexis.com/api/document?collection=cases&amp;id=urn:contentItem:5246-YSB1-652H-726G-00000-00&amp;context=1519360" TargetMode="External" /><Relationship Id="rId15" Type="http://schemas.openxmlformats.org/officeDocument/2006/relationships/hyperlink" Target="https://advance.lexis.com/api/document?collection=cases&amp;id=urn:contentItem:5WGR-GSB1-JTGH-B565-00000-00&amp;context=1519360" TargetMode="External" /><Relationship Id="rId16" Type="http://schemas.openxmlformats.org/officeDocument/2006/relationships/hyperlink" Target="https://advance.lexis.com/api/document?collection=cases&amp;id=urn:contentItem:5PRD-C341-F04C-T54N-00000-00&amp;context=1519360" TargetMode="External" /><Relationship Id="rId17" Type="http://schemas.openxmlformats.org/officeDocument/2006/relationships/hyperlink" Target="https://advance.lexis.com/api/document?collection=cases&amp;id=urn:contentItem:409T-M560-004B-Y036-00000-00&amp;context=1519360" TargetMode="External" /><Relationship Id="rId18" Type="http://schemas.openxmlformats.org/officeDocument/2006/relationships/hyperlink" Target="https://advance.lexis.com/api/document?collection=statutes-legislation&amp;id=urn:contentItem:5GYC-2991-FG36-11X8-00000-00&amp;context=1519360" TargetMode="External" /><Relationship Id="rId19" Type="http://schemas.openxmlformats.org/officeDocument/2006/relationships/hyperlink" Target="https://advance.lexis.com/api/document?collection=statutes-legislation&amp;id=urn:contentItem:5GYC-2991-FG36-11X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XB-00000-00&amp;context=1519360" TargetMode="External" /><Relationship Id="rId21" Type="http://schemas.openxmlformats.org/officeDocument/2006/relationships/hyperlink" Target="https://advance.lexis.com/api/document?collection=cases&amp;id=urn:contentItem:3S4N-6WS0-0054-41SX-00000-00&amp;context=1519360" TargetMode="External" /><Relationship Id="rId22" Type="http://schemas.openxmlformats.org/officeDocument/2006/relationships/hyperlink" Target="https://advance.lexis.com/api/document?collection=cases&amp;id=urn:contentItem:3S4W-WXR0-003B-G3V0-00000-00&amp;context=1519360" TargetMode="External" /><Relationship Id="rId23" Type="http://schemas.openxmlformats.org/officeDocument/2006/relationships/hyperlink" Target="https://advance.lexis.com/api/document?collection=cases&amp;id=urn:contentItem:3S4X-9800-003B-P40B-00000-00&amp;context=1519360" TargetMode="External" /><Relationship Id="rId24" Type="http://schemas.openxmlformats.org/officeDocument/2006/relationships/hyperlink" Target="https://advance.lexis.com/api/document?collection=statutes-legislation&amp;id=urn:contentItem:69J3-8173-RRP5-G44P-00000-00&amp;context=1519360" TargetMode="External" /><Relationship Id="rId25" Type="http://schemas.openxmlformats.org/officeDocument/2006/relationships/hyperlink" Target="https://advance.lexis.com/api/document?collection=cases&amp;id=urn:contentItem:3S4W-XDR0-003B-R3R6-00000-00&amp;context=1519360" TargetMode="External" /><Relationship Id="rId26" Type="http://schemas.openxmlformats.org/officeDocument/2006/relationships/hyperlink" Target="https://advance.lexis.com/api/document?collection=cases&amp;id=urn:contentItem:46JR-P9V0-0038-X1CR-00000-00&amp;context=1519360" TargetMode="External" /><Relationship Id="rId27" Type="http://schemas.openxmlformats.org/officeDocument/2006/relationships/hyperlink" Target="https://advance.lexis.com/api/document?collection=cases&amp;id=urn:contentItem:3W30-2X60-004C-000J-00000-00&amp;context=1519360" TargetMode="External" /><Relationship Id="rId28" Type="http://schemas.openxmlformats.org/officeDocument/2006/relationships/hyperlink" Target="https://advance.lexis.com/api/document?collection=cases&amp;id=urn:contentItem:3YKT-G240-0038-X19X-00000-00&amp;context=1519360" TargetMode="External" /><Relationship Id="rId29" Type="http://schemas.openxmlformats.org/officeDocument/2006/relationships/hyperlink" Target="https://advance.lexis.com/api/document?collection=statutes-legislation&amp;id=urn:contentItem:5GYC-2991-FG36-120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0NJ-SNB0-0038-X1WN-00000-00&amp;context=1519360" TargetMode="External" /><Relationship Id="rId31" Type="http://schemas.openxmlformats.org/officeDocument/2006/relationships/hyperlink" Target="https://advance.lexis.com/api/document?collection=cases&amp;id=urn:contentItem:3S4X-6RX0-001B-K23C-00000-00&amp;context=1519360" TargetMode="External" /><Relationship Id="rId32" Type="http://schemas.openxmlformats.org/officeDocument/2006/relationships/hyperlink" Target="https://advance.lexis.com/api/document?collection=cases&amp;id=urn:contentItem:3S4X-GRV0-001T-D51N-00000-00&amp;context=1519360" TargetMode="External" /><Relationship Id="rId33" Type="http://schemas.openxmlformats.org/officeDocument/2006/relationships/hyperlink" Target="https://advance.lexis.com/api/document?collection=statutes-legislation&amp;id=urn:contentItem:8JD7-5212-D6RV-H2NG-00000-00&amp;context=1519360" TargetMode="External" /><Relationship Id="rId34" Type="http://schemas.openxmlformats.org/officeDocument/2006/relationships/hyperlink" Target="https://advance.lexis.com/api/document?collection=statutes-legislation&amp;id=urn:contentItem:8JDD-11V2-8T6X-7291-00000-00&amp;context=1519360" TargetMode="External" /><Relationship Id="rId35" Type="http://schemas.openxmlformats.org/officeDocument/2006/relationships/hyperlink" Target="https://advance.lexis.com/api/document?collection=cases&amp;id=urn:contentItem:5CHS-H2M1-F04C-T1CD-00000-00&amp;context=1519360" TargetMode="External" /><Relationship Id="rId36" Type="http://schemas.openxmlformats.org/officeDocument/2006/relationships/hyperlink" Target="https://advance.lexis.com/api/document?collection=cases&amp;id=urn:contentItem:43PH-SMF0-0038-X3NV-00000-00&amp;context=1519360" TargetMode="External" /><Relationship Id="rId37" Type="http://schemas.openxmlformats.org/officeDocument/2006/relationships/hyperlink" Target="https://advance.lexis.com/api/document?collection=cases&amp;id=urn:contentItem:7Y7C-0J00-YB0V-P0SC-00000-00&amp;context=1519360" TargetMode="External" /><Relationship Id="rId38" Type="http://schemas.openxmlformats.org/officeDocument/2006/relationships/hyperlink" Target="https://advance.lexis.com/api/document?collection=cases&amp;id=urn:contentItem:3S4X-BD10-003B-4265-00000-00&amp;context=1519360" TargetMode="External" /><Relationship Id="rId39" Type="http://schemas.openxmlformats.org/officeDocument/2006/relationships/hyperlink" Target="https://advance.lexis.com/api/document?collection=cases&amp;id=urn:contentItem:3S4X-BJJ0-0039-W399-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YBN-FCP1-FG68-G4XY-00000-00&amp;context=1519360" TargetMode="External" /><Relationship Id="rId41" Type="http://schemas.openxmlformats.org/officeDocument/2006/relationships/hyperlink" Target="https://advance.lexis.com/api/document?collection=statutes-legislation&amp;id=urn:contentItem:68V1-P9W3-RX2C-D1HR-00000-00&amp;context=1519360" TargetMode="External" /><Relationship Id="rId42" Type="http://schemas.openxmlformats.org/officeDocument/2006/relationships/hyperlink" Target="https://advance.lexis.com/api/document?collection=statutes-legislation&amp;id=urn:contentItem:8SG9-5HW2-D6RV-H10D-00000-00&amp;context=1519360" TargetMode="External" /><Relationship Id="rId43" Type="http://schemas.openxmlformats.org/officeDocument/2006/relationships/hyperlink" Target="https://advance.lexis.com/api/document?collection=cases&amp;id=urn:contentItem:4K90-PHV0-0039-41P9-00000-00&amp;context=1519360" TargetMode="External" /><Relationship Id="rId44" Type="http://schemas.openxmlformats.org/officeDocument/2006/relationships/hyperlink" Target="https://advance.lexis.com/api/document?collection=cases&amp;id=urn:contentItem:3S11-S4C0-003C-R15V-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6-7TB1-F1H1-208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6R-DFR1-66B9-80F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Stepanyan v. United States, 2023 U.S. Dist. LEXIS 171525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urn:user:PA186186283</vt:lpwstr>
  </property>
</Properties>
</file>