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Esteban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22-1778</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76 F.4th 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20366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MYNOR ISAIAS YOC ESTEBAN, Petitioner, v. MERRICK B. GARLAND, United States Attorney General,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PETITION FOR REVIEW OF AN ORDER OF THE BOARD OF IMMIGRATION APPEALS.</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motion to reopen, removal, ineffective, immigration, withholding, equitable tolling, eligibility, proceedings, untimely, asylum</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Motions to reopen, especially untimely ones, are disfavored in immigration cases because they run at cross-purposes with the compelling public interests in finality and the expeditious processing of proceedings. The appellate court reviews the Board of Immigration Appeals' (BIA) denial of the motion to reopen for abuse of discretion. The appellate court accords considerable deference to the BIA's decision on a motion to reopen. The appellate court upholds findings of fact about ineffective assistance as long as they are supported by substantial evidence on the record as a whole. It will uphold the BIA's decision unless the petitioner can show that the BIA either committed a material error of law or exercised its authority arbitrarily, capriciously, or irrationally.</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Motions to Reconsider, Remand &amp; Reopen</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A motion to reopen shall be filed within 90 days of the date of entry of a final administrative order of removal, subject to certain exceptions. </w:t>
      </w:r>
      <w:hyperlink r:id="rId13" w:history="1">
        <w:r>
          <w:rPr>
            <w:rFonts w:ascii="arial" w:eastAsia="arial" w:hAnsi="arial" w:cs="arial"/>
            <w:b w:val="0"/>
            <w:i/>
            <w:strike w:val="0"/>
            <w:noProof w:val="0"/>
            <w:color w:val="0077CC"/>
            <w:position w:val="0"/>
            <w:sz w:val="20"/>
            <w:u w:val="single"/>
            <w:vertAlign w:val="baseline"/>
          </w:rPr>
          <w:t>8 U.S.C.S. § 1229a(c)(7)(C)(i)</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Statute of Limitations, Tolling</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Equitable tolling is the extending statutory deadlines in extraordinary circumstances for parties who were prevented from complying with them through no fault or lack of diligence of their own.</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Duties &amp; Rights of Noncitizens, Legal Representation</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A noncitizen raising an ineffective assistance of counsel claim through a motion to reopen must comply with certain procedural requirements. Once the procedural requirements are satisfied, the Board of Immigration Appeals reviews ineffective assistance claims for two substantive requirements: (1) immigration counsel's performance was deficient; and (2) immigration counsel's performance caused prejudice to the client.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In the context of an ineffective assistance of counsel claim, to show prejudice, plaintiff has to prove a reasonable probability that but for counsel's errors, the outcome of the proceedings would have been different.</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Motions to Reconsider, Remand &amp; Reopen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A motion to reopen proceedings before the Board of Immigration Appeals must state new facts that will be proven at a hearing to be held if the motion is granted.</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Daniel T. Welch on brief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Brian M. Boynton, Principal Deputy Assistant Attorney General, Civil Division, Shelley R. Goad, Assistant Director, Office of Immigration Litigation, and Jennifer A. Singer, Trial Attorney, U.S. Department of Justice, Civil Division, Office of Immigration Litigation, on brief for respondent.</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Lynch and Montecalvo, Circuit Judges.</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LYNCH</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22" w:name="Bookmark_para_2"/>
      <w:bookmarkEnd w:id="22"/>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LYNCH,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val="0"/>
          <w:i w:val="0"/>
          <w:strike w:val="0"/>
          <w:noProof w:val="0"/>
          <w:color w:val="000000"/>
          <w:position w:val="0"/>
          <w:sz w:val="20"/>
          <w:u w:val="none"/>
          <w:vertAlign w:val="baseline"/>
        </w:rPr>
        <w:t xml:space="preserve">. Mynor Isaias Yoc Esteban petitions for review of the Board of Immigration Appeals' ("BIA") denial of his motion to reopen proceedings under </w:t>
      </w:r>
      <w:hyperlink r:id="rId13" w:history="1">
        <w:r>
          <w:rPr>
            <w:rFonts w:ascii="arial" w:eastAsia="arial" w:hAnsi="arial" w:cs="arial"/>
            <w:b w:val="0"/>
            <w:i/>
            <w:strike w:val="0"/>
            <w:noProof w:val="0"/>
            <w:color w:val="0077CC"/>
            <w:position w:val="0"/>
            <w:sz w:val="20"/>
            <w:u w:val="single"/>
            <w:vertAlign w:val="baseline"/>
          </w:rPr>
          <w:t>8 U.S.C. § 1229a(c)(7)</w:t>
        </w:r>
      </w:hyperlink>
      <w:r>
        <w:rPr>
          <w:rFonts w:ascii="arial" w:eastAsia="arial" w:hAnsi="arial" w:cs="arial"/>
          <w:b w:val="0"/>
          <w:i w:val="0"/>
          <w:strike w:val="0"/>
          <w:noProof w:val="0"/>
          <w:color w:val="000000"/>
          <w:position w:val="0"/>
          <w:sz w:val="20"/>
          <w:u w:val="none"/>
          <w:vertAlign w:val="baseline"/>
        </w:rPr>
        <w:t>. We deny the 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 xml:space="preserve">Yoc Esteban, a native and citizen of Guatemala, unlawfully entered the United States in 2014 at age 19. He was served with a notice to appear in immigration court, charging him as removable pursuant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w:t>
      </w:r>
      <w:hyperlink r:id="rId18" w:history="1">
        <w:r>
          <w:rPr>
            <w:rFonts w:ascii="arial" w:eastAsia="arial" w:hAnsi="arial" w:cs="arial"/>
            <w:b w:val="0"/>
            <w:i/>
            <w:strike w:val="0"/>
            <w:noProof w:val="0"/>
            <w:color w:val="0077CC"/>
            <w:position w:val="0"/>
            <w:sz w:val="20"/>
            <w:u w:val="single"/>
            <w:vertAlign w:val="baseline"/>
          </w:rPr>
          <w:t>section 212(a)(6)(A)(i) of the Immigration and Nationality Act ("INA")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8 U.S.C. § 1182(a)(6)(A)(i)</w:t>
        </w:r>
      </w:hyperlink>
      <w:r>
        <w:rPr>
          <w:rFonts w:ascii="arial" w:eastAsia="arial" w:hAnsi="arial" w:cs="arial"/>
          <w:b w:val="0"/>
          <w:i w:val="0"/>
          <w:strike w:val="0"/>
          <w:noProof w:val="0"/>
          <w:color w:val="000000"/>
          <w:position w:val="0"/>
          <w:sz w:val="20"/>
          <w:u w:val="none"/>
          <w:vertAlign w:val="baseline"/>
        </w:rPr>
        <w:t>, for being present in the United States without having been admitted. He conceded the charge of removability, and sought asylum, claiming persecution based on membership in a particular social group ("PSG").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immigration judge ("IJ") issued a pretrial order on February 22, 2017, requesting that Yoc Esteban specify the PSG in which 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claimed membership. Yoc Esteban, through counsel, did not delineate for the record any proposed PSG. Nor did Yoc Esteban request withholding of removal or protection under the Convention Against Torture ("CAT").</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On May 15, 2019, the IJ heard testimony from Yoc Esteban. He testified to the following: that he came to the United States "because [he] was . . . persecuted by three [delinquents] [who] sold drugs and . . . wanted [him] to work with them"; that the three "delinquents" gave him "a package of drugs to be transferred to another group"; that he completed one delivery because "[he] was afraid" and "felt [his] life was at risk"; that he told his father about the packages, and his father threw out the remaining packages and told Yoc Esteban to stop working with the "delinquents"; that the "delinquents" then threatened Yoc Esteban's life and threatened to harm his family on multiple occasions; and that he feared that "[he] would be persecuted again" if he returned to Guatemala.</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The IJ issued an oral decision that same day, denying Yoc Esteban's asylum application because he failed to establish that he was targeted based on a protected ground (i.e., based on his membership in a PSG).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IJ ordered him removed to Guatemala.</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Yoc Esteban appealed, and on February 11, 2021, the BIA affirmed the IJ's determination that Yoc Esteban did not meet his burden to prove eligibility for asylum. The BIA did not address Yoc Esteban's attempts to assert new PSGs on appeal because Yoc Esteban did not explain why the PSGs were not raised before the IJ and Yoc Esteban was represented by the same counsel before the IJ and BIA. The BIA also denied Yoc Esteban's request to remand the case to the IJ so that he could provide additional evidence to demonstrate his eligibility for asylum and withholding of removal.</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 xml:space="preserve">On July 28, 2021, Yoc Esteban -- represented by new counsel -- filed an untimely motion to reopen on the basis that the applicable time limit should be equitably tolled because he received ineffective assistance of counsel. Yoc Esteban argued that his prior counsel was ineffective because she failed: to comply with the IJ's order to delineate a PSG, which was fatal to Yoc Esteban's claim; to amend Yoc Esteban's pleadings to include an application for withholding of removal under </w:t>
      </w:r>
      <w:hyperlink r:id="rId19" w:history="1">
        <w:r>
          <w:rPr>
            <w:rFonts w:ascii="arial" w:eastAsia="arial" w:hAnsi="arial" w:cs="arial"/>
            <w:b w:val="0"/>
            <w:i/>
            <w:strike w:val="0"/>
            <w:noProof w:val="0"/>
            <w:color w:val="0077CC"/>
            <w:position w:val="0"/>
            <w:sz w:val="20"/>
            <w:u w:val="single"/>
            <w:vertAlign w:val="baseline"/>
          </w:rPr>
          <w:t>INA § 241(b)(3)</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1231(b)(3)</w:t>
        </w:r>
      </w:hyperlink>
      <w:r>
        <w:rPr>
          <w:rFonts w:ascii="arial" w:eastAsia="arial" w:hAnsi="arial" w:cs="arial"/>
          <w:b w:val="0"/>
          <w:i w:val="0"/>
          <w:strike w:val="0"/>
          <w:noProof w:val="0"/>
          <w:color w:val="000000"/>
          <w:position w:val="0"/>
          <w:sz w:val="20"/>
          <w:u w:val="none"/>
          <w:vertAlign w:val="baseline"/>
        </w:rPr>
        <w:t>, and under the regulations implementing CAT; and to sufficiently represent Yoc Esteban on direct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examination.</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 xml:space="preserve">On October 5, 2022, the BIA denied his motion on the stated grounds that (1) it was untimely filed more than 90 days after the final administrative order on February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11, 2021, and (2) Yoc Esteban failed to demonstrate prejudice from his counsel's actions or omissions and so (3) he could not establish ineffective assistance of counsel and (4) in consequence, his argument for equitable tolling of his late-filed petition failed. The BIA emphasized that even in his motion to reopen, Yoc Esteban did not "identif[y] what [PSG] should have been raised" before the IJ, "offer further evidence or otherwise argue his eligibility for withholding of removal or protection under CAT," or "articulate what additional testimony he would have provided to support his claim, if not for prior counsel's 'cursory' direct examination."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9"/>
      <w:bookmarkEnd w:id="30"/>
      <w:bookmarkStart w:id="31" w:name="Bookmark_LNHNREFclscc1"/>
      <w:bookmarkEnd w:id="31"/>
      <w:hyperlink r:id="rId2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t>
      </w:r>
      <w:bookmarkStart w:id="32" w:name="Bookmark_I68WWHRT28T4740020000400"/>
      <w:bookmarkEnd w:id="32"/>
      <w:bookmarkStart w:id="33" w:name="Bookmark_I68WWHRV2D6NPP0010000400"/>
      <w:bookmarkEnd w:id="33"/>
      <w:r>
        <w:rPr>
          <w:rFonts w:ascii="arial" w:eastAsia="arial" w:hAnsi="arial" w:cs="arial"/>
          <w:b w:val="0"/>
          <w:i w:val="0"/>
          <w:strike w:val="0"/>
          <w:noProof w:val="0"/>
          <w:color w:val="000000"/>
          <w:position w:val="0"/>
          <w:sz w:val="20"/>
          <w:u w:val="none"/>
          <w:vertAlign w:val="baseline"/>
        </w:rPr>
        <w:t xml:space="preserve">Motions to reopen, especially untimely ones, are "disfavored" in immigration cases because they "run at cross-purposes with 'the compelling public interests in finality and the expeditious processing of proceedings.'" </w:t>
      </w:r>
      <w:bookmarkStart w:id="34" w:name="Bookmark_I68WWHRT28T4740010000400"/>
      <w:bookmarkEnd w:id="34"/>
      <w:hyperlink r:id="rId22" w:history="1">
        <w:r>
          <w:rPr>
            <w:rFonts w:ascii="arial" w:eastAsia="arial" w:hAnsi="arial" w:cs="arial"/>
            <w:b w:val="0"/>
            <w:i/>
            <w:strike w:val="0"/>
            <w:noProof w:val="0"/>
            <w:color w:val="0077CC"/>
            <w:position w:val="0"/>
            <w:sz w:val="20"/>
            <w:u w:val="single"/>
            <w:vertAlign w:val="baseline"/>
          </w:rPr>
          <w:t>Pineda v. Whitaker</w:t>
        </w:r>
      </w:hyperlink>
      <w:hyperlink r:id="rId22" w:history="1">
        <w:r>
          <w:rPr>
            <w:rFonts w:ascii="arial" w:eastAsia="arial" w:hAnsi="arial" w:cs="arial"/>
            <w:b w:val="0"/>
            <w:i/>
            <w:strike w:val="0"/>
            <w:noProof w:val="0"/>
            <w:color w:val="0077CC"/>
            <w:position w:val="0"/>
            <w:sz w:val="20"/>
            <w:u w:val="single"/>
            <w:vertAlign w:val="baseline"/>
          </w:rPr>
          <w:t>, 908 F.3d 836, 840 (1st Cir. 2018)</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8WWHRT28T4740030000400"/>
      <w:bookmarkEnd w:id="35"/>
      <w:hyperlink r:id="rId23" w:history="1">
        <w:r>
          <w:rPr>
            <w:rFonts w:ascii="arial" w:eastAsia="arial" w:hAnsi="arial" w:cs="arial"/>
            <w:b w:val="0"/>
            <w:i/>
            <w:strike w:val="0"/>
            <w:noProof w:val="0"/>
            <w:color w:val="0077CC"/>
            <w:position w:val="0"/>
            <w:sz w:val="20"/>
            <w:u w:val="single"/>
            <w:vertAlign w:val="baseline"/>
          </w:rPr>
          <w:t>Guerrero-Santana v. Gonzales</w:t>
        </w:r>
      </w:hyperlink>
      <w:hyperlink r:id="rId23" w:history="1">
        <w:r>
          <w:rPr>
            <w:rFonts w:ascii="arial" w:eastAsia="arial" w:hAnsi="arial" w:cs="arial"/>
            <w:b w:val="0"/>
            <w:i/>
            <w:strike w:val="0"/>
            <w:noProof w:val="0"/>
            <w:color w:val="0077CC"/>
            <w:position w:val="0"/>
            <w:sz w:val="20"/>
            <w:u w:val="single"/>
            <w:vertAlign w:val="baseline"/>
          </w:rPr>
          <w:t>, 499 F.3d 90, 92 (1st Cir. 2007)</w:t>
        </w:r>
      </w:hyperlink>
      <w:r>
        <w:rPr>
          <w:rFonts w:ascii="arial" w:eastAsia="arial" w:hAnsi="arial" w:cs="arial"/>
          <w:b w:val="0"/>
          <w:i w:val="0"/>
          <w:strike w:val="0"/>
          <w:noProof w:val="0"/>
          <w:color w:val="000000"/>
          <w:position w:val="0"/>
          <w:sz w:val="20"/>
          <w:u w:val="none"/>
          <w:vertAlign w:val="baseline"/>
        </w:rPr>
        <w:t xml:space="preserve">). </w:t>
      </w:r>
      <w:bookmarkStart w:id="36" w:name="Bookmark_I68WWHRV2D6NPP0030000400"/>
      <w:bookmarkEnd w:id="36"/>
      <w:r>
        <w:rPr>
          <w:rFonts w:ascii="arial" w:eastAsia="arial" w:hAnsi="arial" w:cs="arial"/>
          <w:b w:val="0"/>
          <w:i w:val="0"/>
          <w:strike w:val="0"/>
          <w:noProof w:val="0"/>
          <w:color w:val="000000"/>
          <w:position w:val="0"/>
          <w:sz w:val="20"/>
          <w:u w:val="none"/>
          <w:vertAlign w:val="baseline"/>
        </w:rPr>
        <w:t xml:space="preserve">We review the BIA's denial of the motion to reopen for abuse of discretion. </w:t>
      </w:r>
      <w:bookmarkStart w:id="37" w:name="Bookmark_I68WWHRV2D6NPP0050000400"/>
      <w:bookmarkEnd w:id="37"/>
      <w:r>
        <w:rPr>
          <w:rFonts w:ascii="arial" w:eastAsia="arial" w:hAnsi="arial" w:cs="arial"/>
          <w:b w:val="0"/>
          <w:i w:val="0"/>
          <w:strike w:val="0"/>
          <w:noProof w:val="0"/>
          <w:color w:val="000000"/>
          <w:position w:val="0"/>
          <w:sz w:val="20"/>
          <w:u w:val="single"/>
          <w:vertAlign w:val="baseline"/>
        </w:rPr>
        <w:t xml:space="preserve">See </w:t>
      </w:r>
      <w:bookmarkStart w:id="38" w:name="Bookmark_I68WWHRT28T4740050000400"/>
      <w:bookmarkEnd w:id="38"/>
      <w:hyperlink r:id="rId24" w:history="1">
        <w:r>
          <w:rPr>
            <w:rFonts w:ascii="arial" w:eastAsia="arial" w:hAnsi="arial" w:cs="arial"/>
            <w:b w:val="0"/>
            <w:i/>
            <w:strike w:val="0"/>
            <w:noProof w:val="0"/>
            <w:color w:val="0077CC"/>
            <w:position w:val="0"/>
            <w:sz w:val="20"/>
            <w:u w:val="single"/>
            <w:vertAlign w:val="baseline"/>
          </w:rPr>
          <w:t>Laparra-Deleon v. Garland</w:t>
        </w:r>
      </w:hyperlink>
      <w:hyperlink r:id="rId24" w:history="1">
        <w:r>
          <w:rPr>
            <w:rFonts w:ascii="arial" w:eastAsia="arial" w:hAnsi="arial" w:cs="arial"/>
            <w:b w:val="0"/>
            <w:i/>
            <w:strike w:val="0"/>
            <w:noProof w:val="0"/>
            <w:color w:val="0077CC"/>
            <w:position w:val="0"/>
            <w:sz w:val="20"/>
            <w:u w:val="single"/>
            <w:vertAlign w:val="baseline"/>
          </w:rPr>
          <w:t>, 52 F.4th 514, 519 (1st Cir. 2022)</w:t>
        </w:r>
      </w:hyperlink>
      <w:r>
        <w:rPr>
          <w:rFonts w:ascii="arial" w:eastAsia="arial" w:hAnsi="arial" w:cs="arial"/>
          <w:b w:val="0"/>
          <w:i w:val="0"/>
          <w:strike w:val="0"/>
          <w:noProof w:val="0"/>
          <w:color w:val="000000"/>
          <w:position w:val="0"/>
          <w:sz w:val="20"/>
          <w:u w:val="none"/>
          <w:vertAlign w:val="baseline"/>
        </w:rPr>
        <w:t xml:space="preserve">. </w:t>
      </w:r>
      <w:bookmarkStart w:id="39" w:name="Bookmark_I68WWHRV2D6NPP0050000400_2"/>
      <w:bookmarkEnd w:id="39"/>
      <w:bookmarkStart w:id="40" w:name="Bookmark_I68WWHRV2D6NPP0030000400_2"/>
      <w:bookmarkEnd w:id="40"/>
      <w:bookmarkStart w:id="41" w:name="Bookmark_I68WWHRV2N1RHY0040000400"/>
      <w:bookmarkEnd w:id="41"/>
      <w:r>
        <w:rPr>
          <w:rFonts w:ascii="arial" w:eastAsia="arial" w:hAnsi="arial" w:cs="arial"/>
          <w:b w:val="0"/>
          <w:i w:val="0"/>
          <w:strike w:val="0"/>
          <w:noProof w:val="0"/>
          <w:color w:val="000000"/>
          <w:position w:val="0"/>
          <w:sz w:val="20"/>
          <w:u w:val="none"/>
          <w:vertAlign w:val="baseline"/>
        </w:rPr>
        <w:t>This court accords "considerable deference to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BIA's decision on a motion to reopen." </w:t>
      </w:r>
      <w:bookmarkStart w:id="42" w:name="Bookmark_I68WWHRV2D6NPP0020000400"/>
      <w:bookmarkEnd w:id="42"/>
      <w:hyperlink r:id="rId23" w:history="1">
        <w:r>
          <w:rPr>
            <w:rFonts w:ascii="arial" w:eastAsia="arial" w:hAnsi="arial" w:cs="arial"/>
            <w:b w:val="0"/>
            <w:i/>
            <w:strike w:val="0"/>
            <w:noProof w:val="0"/>
            <w:color w:val="0077CC"/>
            <w:position w:val="0"/>
            <w:sz w:val="20"/>
            <w:u w:val="single"/>
            <w:vertAlign w:val="baseline"/>
          </w:rPr>
          <w:t>Guerrero-Santana, 499 F.3d at 92</w:t>
        </w:r>
      </w:hyperlink>
      <w:r>
        <w:rPr>
          <w:rFonts w:ascii="arial" w:eastAsia="arial" w:hAnsi="arial" w:cs="arial"/>
          <w:b w:val="0"/>
          <w:i w:val="0"/>
          <w:strike w:val="0"/>
          <w:noProof w:val="0"/>
          <w:color w:val="000000"/>
          <w:position w:val="0"/>
          <w:sz w:val="20"/>
          <w:u w:val="none"/>
          <w:vertAlign w:val="baseline"/>
        </w:rPr>
        <w:t xml:space="preserve">. </w:t>
      </w:r>
      <w:bookmarkStart w:id="43" w:name="Bookmark_I68WWHRV2N1RHY0040000400_2"/>
      <w:bookmarkEnd w:id="43"/>
      <w:r>
        <w:rPr>
          <w:rFonts w:ascii="arial" w:eastAsia="arial" w:hAnsi="arial" w:cs="arial"/>
          <w:b w:val="0"/>
          <w:i w:val="0"/>
          <w:strike w:val="0"/>
          <w:noProof w:val="0"/>
          <w:color w:val="000000"/>
          <w:position w:val="0"/>
          <w:sz w:val="20"/>
          <w:u w:val="none"/>
          <w:vertAlign w:val="baseline"/>
        </w:rPr>
        <w:t xml:space="preserve">"[W]e uphold findings of fact about ineffective assistance 'as long as they are supported by substantial evidence on the record as a whole.'" </w:t>
      </w:r>
      <w:bookmarkStart w:id="44" w:name="Bookmark_I68WWHRV2D6NPP0040000400"/>
      <w:bookmarkEnd w:id="44"/>
      <w:hyperlink r:id="rId25" w:history="1">
        <w:r>
          <w:rPr>
            <w:rFonts w:ascii="arial" w:eastAsia="arial" w:hAnsi="arial" w:cs="arial"/>
            <w:b w:val="0"/>
            <w:i/>
            <w:strike w:val="0"/>
            <w:noProof w:val="0"/>
            <w:color w:val="0077CC"/>
            <w:position w:val="0"/>
            <w:sz w:val="20"/>
            <w:u w:val="single"/>
            <w:vertAlign w:val="baseline"/>
          </w:rPr>
          <w:t>United States v. Castillo-Martinez</w:t>
        </w:r>
      </w:hyperlink>
      <w:hyperlink r:id="rId25" w:history="1">
        <w:r>
          <w:rPr>
            <w:rFonts w:ascii="arial" w:eastAsia="arial" w:hAnsi="arial" w:cs="arial"/>
            <w:b w:val="0"/>
            <w:i/>
            <w:strike w:val="0"/>
            <w:noProof w:val="0"/>
            <w:color w:val="0077CC"/>
            <w:position w:val="0"/>
            <w:sz w:val="20"/>
            <w:u w:val="single"/>
            <w:vertAlign w:val="baseline"/>
          </w:rPr>
          <w:t>, 16 F.4th 906, 917 (1st Cir. 2021)</w:t>
        </w:r>
      </w:hyperlink>
      <w:r>
        <w:rPr>
          <w:rFonts w:ascii="arial" w:eastAsia="arial" w:hAnsi="arial" w:cs="arial"/>
          <w:b w:val="0"/>
          <w:i w:val="0"/>
          <w:strike w:val="0"/>
          <w:noProof w:val="0"/>
          <w:color w:val="000000"/>
          <w:position w:val="0"/>
          <w:sz w:val="20"/>
          <w:u w:val="none"/>
          <w:vertAlign w:val="baseline"/>
        </w:rPr>
        <w:t xml:space="preserve"> (quoting </w:t>
      </w:r>
      <w:bookmarkStart w:id="45" w:name="Bookmark_I68WWHRV2N1RHY0010000400"/>
      <w:bookmarkEnd w:id="45"/>
      <w:hyperlink r:id="rId26" w:history="1">
        <w:r>
          <w:rPr>
            <w:rFonts w:ascii="arial" w:eastAsia="arial" w:hAnsi="arial" w:cs="arial"/>
            <w:b w:val="0"/>
            <w:i/>
            <w:strike w:val="0"/>
            <w:noProof w:val="0"/>
            <w:color w:val="0077CC"/>
            <w:position w:val="0"/>
            <w:sz w:val="20"/>
            <w:u w:val="single"/>
            <w:vertAlign w:val="baseline"/>
          </w:rPr>
          <w:t>Ferreira v. Barr</w:t>
        </w:r>
      </w:hyperlink>
      <w:hyperlink r:id="rId26" w:history="1">
        <w:r>
          <w:rPr>
            <w:rFonts w:ascii="arial" w:eastAsia="arial" w:hAnsi="arial" w:cs="arial"/>
            <w:b w:val="0"/>
            <w:i/>
            <w:strike w:val="0"/>
            <w:noProof w:val="0"/>
            <w:color w:val="0077CC"/>
            <w:position w:val="0"/>
            <w:sz w:val="20"/>
            <w:u w:val="single"/>
            <w:vertAlign w:val="baseline"/>
          </w:rPr>
          <w:t>, 939 F.3d 44, 45 (1st Cir. 2019)</w:t>
        </w:r>
      </w:hyperlink>
      <w:r>
        <w:rPr>
          <w:rFonts w:ascii="arial" w:eastAsia="arial" w:hAnsi="arial" w:cs="arial"/>
          <w:b w:val="0"/>
          <w:i w:val="0"/>
          <w:strike w:val="0"/>
          <w:noProof w:val="0"/>
          <w:color w:val="000000"/>
          <w:position w:val="0"/>
          <w:sz w:val="20"/>
          <w:u w:val="none"/>
          <w:vertAlign w:val="baseline"/>
        </w:rPr>
        <w:t xml:space="preserve">). </w:t>
      </w:r>
      <w:bookmarkStart w:id="46" w:name="Bookmark_I68WWHRV2N1RHY0040000400_3"/>
      <w:bookmarkEnd w:id="46"/>
      <w:r>
        <w:rPr>
          <w:rFonts w:ascii="arial" w:eastAsia="arial" w:hAnsi="arial" w:cs="arial"/>
          <w:b w:val="0"/>
          <w:i w:val="0"/>
          <w:strike w:val="0"/>
          <w:noProof w:val="0"/>
          <w:color w:val="000000"/>
          <w:position w:val="0"/>
          <w:sz w:val="20"/>
          <w:u w:val="none"/>
          <w:vertAlign w:val="baseline"/>
        </w:rPr>
        <w:t xml:space="preserve">"We will uphold the BIA's decision unless the petitioner can show that the BIA either committed a material error of law or exercised its authority arbitrarily, capriciously, or irrationally." </w:t>
      </w:r>
      <w:bookmarkStart w:id="47" w:name="Bookmark_I68WWHRV2N1RHY0030000400"/>
      <w:bookmarkEnd w:id="47"/>
      <w:hyperlink r:id="rId22" w:history="1">
        <w:r>
          <w:rPr>
            <w:rFonts w:ascii="arial" w:eastAsia="arial" w:hAnsi="arial" w:cs="arial"/>
            <w:b w:val="0"/>
            <w:i/>
            <w:strike w:val="0"/>
            <w:noProof w:val="0"/>
            <w:color w:val="0077CC"/>
            <w:position w:val="0"/>
            <w:sz w:val="20"/>
            <w:u w:val="single"/>
            <w:vertAlign w:val="baseline"/>
          </w:rPr>
          <w:t>Pineda</w:t>
        </w:r>
      </w:hyperlink>
      <w:hyperlink r:id="rId22" w:history="1">
        <w:r>
          <w:rPr>
            <w:rFonts w:ascii="arial" w:eastAsia="arial" w:hAnsi="arial" w:cs="arial"/>
            <w:b w:val="0"/>
            <w:i/>
            <w:strike w:val="0"/>
            <w:noProof w:val="0"/>
            <w:color w:val="0077CC"/>
            <w:position w:val="0"/>
            <w:sz w:val="20"/>
            <w:u w:val="single"/>
            <w:vertAlign w:val="baseline"/>
          </w:rPr>
          <w:t>, 908 F.3d at 840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0"/>
      <w:bookmarkEnd w:id="48"/>
      <w:r>
        <w:rPr>
          <w:rFonts w:ascii="arial" w:eastAsia="arial" w:hAnsi="arial" w:cs="arial"/>
          <w:b w:val="0"/>
          <w:i w:val="0"/>
          <w:strike w:val="0"/>
          <w:noProof w:val="0"/>
          <w:color w:val="000000"/>
          <w:position w:val="0"/>
          <w:sz w:val="20"/>
          <w:u w:val="none"/>
          <w:vertAlign w:val="baseline"/>
        </w:rPr>
        <w:t xml:space="preserve">Yoc Esteban argues that the BIA abused its discretion when it denied his motion to reopen. </w:t>
      </w:r>
      <w:bookmarkStart w:id="49" w:name="Bookmark_LNHNREFclscc2"/>
      <w:bookmarkEnd w:id="49"/>
      <w:hyperlink r:id="rId2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 "motion to reopen shall be filed within 90 days of the date of entry of a final administrative order of removal," subject to certain exceptions not relevant to this appeal. </w:t>
      </w:r>
      <w:hyperlink r:id="rId13" w:history="1">
        <w:r>
          <w:rPr>
            <w:rFonts w:ascii="arial" w:eastAsia="arial" w:hAnsi="arial" w:cs="arial"/>
            <w:b w:val="0"/>
            <w:i/>
            <w:strike w:val="0"/>
            <w:noProof w:val="0"/>
            <w:color w:val="0077CC"/>
            <w:position w:val="0"/>
            <w:sz w:val="20"/>
            <w:u w:val="single"/>
            <w:vertAlign w:val="baseline"/>
          </w:rPr>
          <w:t>8 U.S.C. § 1229a(c)(7)(C)(i)</w:t>
        </w:r>
      </w:hyperlink>
      <w:r>
        <w:rPr>
          <w:rFonts w:ascii="arial" w:eastAsia="arial" w:hAnsi="arial" w:cs="arial"/>
          <w:b w:val="0"/>
          <w:i w:val="0"/>
          <w:strike w:val="0"/>
          <w:noProof w:val="0"/>
          <w:color w:val="000000"/>
          <w:position w:val="0"/>
          <w:sz w:val="20"/>
          <w:u w:val="none"/>
          <w:vertAlign w:val="baseline"/>
        </w:rPr>
        <w:t xml:space="preserve">. </w:t>
      </w:r>
      <w:bookmarkStart w:id="50" w:name="Bookmark_I68WWHRV28T47F0010000400"/>
      <w:bookmarkEnd w:id="50"/>
      <w:r>
        <w:rPr>
          <w:rFonts w:ascii="arial" w:eastAsia="arial" w:hAnsi="arial" w:cs="arial"/>
          <w:b w:val="0"/>
          <w:i w:val="0"/>
          <w:strike w:val="0"/>
          <w:noProof w:val="0"/>
          <w:color w:val="000000"/>
          <w:position w:val="0"/>
          <w:sz w:val="20"/>
          <w:u w:val="none"/>
          <w:vertAlign w:val="baseline"/>
        </w:rPr>
        <w:t xml:space="preserve">The BIA entered its final order of removal on February 11, 2021, and Yoc Esteban filed his motion to reopen on July 28, 2021. </w:t>
      </w:r>
      <w:bookmarkStart w:id="51" w:name="Bookmark_I68WWHRV28T47F0050000400"/>
      <w:bookmarkEnd w:id="51"/>
      <w:r>
        <w:rPr>
          <w:rFonts w:ascii="arial" w:eastAsia="arial" w:hAnsi="arial" w:cs="arial"/>
          <w:b w:val="0"/>
          <w:i w:val="0"/>
          <w:strike w:val="0"/>
          <w:noProof w:val="0"/>
          <w:color w:val="000000"/>
          <w:position w:val="0"/>
          <w:sz w:val="20"/>
          <w:u w:val="none"/>
          <w:vertAlign w:val="baseline"/>
        </w:rPr>
        <w:t xml:space="preserve">Because his motion to reopen was untimely, Yoc Esteban argues that the BIA should have equitably tolled the deadline to file his motion to reopen due to ineffective assistance of counsel. </w:t>
      </w:r>
      <w:r>
        <w:rPr>
          <w:rFonts w:ascii="arial" w:eastAsia="arial" w:hAnsi="arial" w:cs="arial"/>
          <w:b w:val="0"/>
          <w:i w:val="0"/>
          <w:strike w:val="0"/>
          <w:noProof w:val="0"/>
          <w:color w:val="000000"/>
          <w:position w:val="0"/>
          <w:sz w:val="20"/>
          <w:u w:val="single"/>
          <w:vertAlign w:val="baseline"/>
        </w:rPr>
        <w:t xml:space="preserve">See </w:t>
      </w:r>
      <w:bookmarkStart w:id="52" w:name="Bookmark_I68WWHRV2N1RHY0050000400"/>
      <w:bookmarkEnd w:id="52"/>
      <w:hyperlink r:id="rId22" w:history="1">
        <w:r>
          <w:rPr>
            <w:rFonts w:ascii="arial" w:eastAsia="arial" w:hAnsi="arial" w:cs="arial"/>
            <w:b w:val="0"/>
            <w:i/>
            <w:strike w:val="0"/>
            <w:noProof w:val="0"/>
            <w:color w:val="0077CC"/>
            <w:position w:val="0"/>
            <w:sz w:val="20"/>
            <w:u w:val="single"/>
            <w:vertAlign w:val="baseline"/>
          </w:rPr>
          <w:t>Pineda</w:t>
        </w:r>
      </w:hyperlink>
      <w:hyperlink r:id="rId22" w:history="1">
        <w:r>
          <w:rPr>
            <w:rFonts w:ascii="arial" w:eastAsia="arial" w:hAnsi="arial" w:cs="arial"/>
            <w:b w:val="0"/>
            <w:i/>
            <w:strike w:val="0"/>
            <w:noProof w:val="0"/>
            <w:color w:val="0077CC"/>
            <w:position w:val="0"/>
            <w:sz w:val="20"/>
            <w:u w:val="single"/>
            <w:vertAlign w:val="baseline"/>
          </w:rPr>
          <w:t>, 908 F.3d at 840-41</w:t>
        </w:r>
      </w:hyperlink>
      <w:r>
        <w:rPr>
          <w:rFonts w:ascii="arial" w:eastAsia="arial" w:hAnsi="arial" w:cs="arial"/>
          <w:b w:val="0"/>
          <w:i w:val="0"/>
          <w:strike w:val="0"/>
          <w:noProof w:val="0"/>
          <w:color w:val="000000"/>
          <w:position w:val="0"/>
          <w:sz w:val="20"/>
          <w:u w:val="none"/>
          <w:vertAlign w:val="baseline"/>
        </w:rPr>
        <w:t xml:space="preserve">; </w:t>
      </w:r>
      <w:bookmarkStart w:id="53" w:name="Bookmark_I68WWHRV28T47F0020000400"/>
      <w:bookmarkEnd w:id="53"/>
      <w:hyperlink r:id="rId28" w:history="1">
        <w:r>
          <w:rPr>
            <w:rFonts w:ascii="arial" w:eastAsia="arial" w:hAnsi="arial" w:cs="arial"/>
            <w:b w:val="0"/>
            <w:i/>
            <w:strike w:val="0"/>
            <w:noProof w:val="0"/>
            <w:color w:val="0077CC"/>
            <w:position w:val="0"/>
            <w:sz w:val="20"/>
            <w:u w:val="single"/>
            <w:vertAlign w:val="baseline"/>
          </w:rPr>
          <w:t>Neves v. Holder</w:t>
        </w:r>
      </w:hyperlink>
      <w:hyperlink r:id="rId28" w:history="1">
        <w:r>
          <w:rPr>
            <w:rFonts w:ascii="arial" w:eastAsia="arial" w:hAnsi="arial" w:cs="arial"/>
            <w:b w:val="0"/>
            <w:i/>
            <w:strike w:val="0"/>
            <w:noProof w:val="0"/>
            <w:color w:val="0077CC"/>
            <w:position w:val="0"/>
            <w:sz w:val="20"/>
            <w:u w:val="single"/>
            <w:vertAlign w:val="baseline"/>
          </w:rPr>
          <w:t>, 613 F.3d 30, 36 (1st Cir. 2010)</w:t>
        </w:r>
      </w:hyperlink>
      <w:r>
        <w:rPr>
          <w:rFonts w:ascii="arial" w:eastAsia="arial" w:hAnsi="arial" w:cs="arial"/>
          <w:b w:val="0"/>
          <w:i w:val="0"/>
          <w:strike w:val="0"/>
          <w:noProof w:val="0"/>
          <w:color w:val="000000"/>
          <w:position w:val="0"/>
          <w:sz w:val="20"/>
          <w:u w:val="none"/>
          <w:vertAlign w:val="baseline"/>
        </w:rPr>
        <w:t xml:space="preserve"> (explaining </w:t>
      </w:r>
      <w:bookmarkStart w:id="54" w:name="Bookmark_LNHNREFclscc3"/>
      <w:bookmarkEnd w:id="54"/>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equitable tolling as "extend[ing] statutory deadlines in extraordinary circumstances for parties who were prevented from complying with them through no fault or lack of diligence of their own"). </w:t>
      </w:r>
      <w:bookmarkStart w:id="55" w:name="Bookmark_I68WWHRV28T47F0050000400_2"/>
      <w:bookmarkEnd w:id="55"/>
      <w:r>
        <w:rPr>
          <w:rFonts w:ascii="arial" w:eastAsia="arial" w:hAnsi="arial" w:cs="arial"/>
          <w:b w:val="0"/>
          <w:i w:val="0"/>
          <w:strike w:val="0"/>
          <w:noProof w:val="0"/>
          <w:color w:val="000000"/>
          <w:position w:val="0"/>
          <w:sz w:val="20"/>
          <w:u w:val="none"/>
          <w:vertAlign w:val="baseline"/>
        </w:rPr>
        <w:t>We note 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outset that "'whether equitable tolling can suspend the time limits applicable to motions to reopen' is an open question in the First Circuit." </w:t>
      </w:r>
      <w:bookmarkStart w:id="56" w:name="Bookmark_I68WWHRV28T47F0040000400"/>
      <w:bookmarkEnd w:id="56"/>
      <w:hyperlink r:id="rId22" w:history="1">
        <w:r>
          <w:rPr>
            <w:rFonts w:ascii="arial" w:eastAsia="arial" w:hAnsi="arial" w:cs="arial"/>
            <w:b w:val="0"/>
            <w:i/>
            <w:strike w:val="0"/>
            <w:noProof w:val="0"/>
            <w:color w:val="0077CC"/>
            <w:position w:val="0"/>
            <w:sz w:val="20"/>
            <w:u w:val="single"/>
            <w:vertAlign w:val="baseline"/>
          </w:rPr>
          <w:t>Pineda</w:t>
        </w:r>
      </w:hyperlink>
      <w:hyperlink r:id="rId22" w:history="1">
        <w:r>
          <w:rPr>
            <w:rFonts w:ascii="arial" w:eastAsia="arial" w:hAnsi="arial" w:cs="arial"/>
            <w:b w:val="0"/>
            <w:i/>
            <w:strike w:val="0"/>
            <w:noProof w:val="0"/>
            <w:color w:val="0077CC"/>
            <w:position w:val="0"/>
            <w:sz w:val="20"/>
            <w:u w:val="single"/>
            <w:vertAlign w:val="baseline"/>
          </w:rPr>
          <w:t>, 908 F.3d at 841</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8WWHRV2HM6P20010000400"/>
      <w:bookmarkEnd w:id="57"/>
      <w:hyperlink r:id="rId30" w:history="1">
        <w:r>
          <w:rPr>
            <w:rFonts w:ascii="arial" w:eastAsia="arial" w:hAnsi="arial" w:cs="arial"/>
            <w:b w:val="0"/>
            <w:i/>
            <w:strike w:val="0"/>
            <w:noProof w:val="0"/>
            <w:color w:val="0077CC"/>
            <w:position w:val="0"/>
            <w:sz w:val="20"/>
            <w:u w:val="single"/>
            <w:vertAlign w:val="baseline"/>
          </w:rPr>
          <w:t>Wang v. Holder</w:t>
        </w:r>
      </w:hyperlink>
      <w:hyperlink r:id="rId30" w:history="1">
        <w:r>
          <w:rPr>
            <w:rFonts w:ascii="arial" w:eastAsia="arial" w:hAnsi="arial" w:cs="arial"/>
            <w:b w:val="0"/>
            <w:i/>
            <w:strike w:val="0"/>
            <w:noProof w:val="0"/>
            <w:color w:val="0077CC"/>
            <w:position w:val="0"/>
            <w:sz w:val="20"/>
            <w:u w:val="single"/>
            <w:vertAlign w:val="baseline"/>
          </w:rPr>
          <w:t>, 750 F.3d 87, 90 (1st Cir. 2014)</w:t>
        </w:r>
      </w:hyperlink>
      <w:r>
        <w:rPr>
          <w:rFonts w:ascii="arial" w:eastAsia="arial" w:hAnsi="arial" w:cs="arial"/>
          <w:b w:val="0"/>
          <w:i w:val="0"/>
          <w:strike w:val="0"/>
          <w:noProof w:val="0"/>
          <w:color w:val="000000"/>
          <w:position w:val="0"/>
          <w:sz w:val="20"/>
          <w:u w:val="none"/>
          <w:vertAlign w:val="baseline"/>
        </w:rPr>
        <w:t>). We need not answer that question here because Yoc Esteban's arguments for equitable tolling plainly fail.</w:t>
      </w:r>
    </w:p>
    <w:p>
      <w:pPr>
        <w:keepNext w:val="0"/>
        <w:spacing w:before="240" w:after="0" w:line="260" w:lineRule="atLeast"/>
        <w:ind w:left="0" w:right="0" w:firstLine="0"/>
        <w:jc w:val="both"/>
      </w:pPr>
      <w:bookmarkStart w:id="58" w:name="Bookmark_para_11"/>
      <w:bookmarkEnd w:id="58"/>
      <w:bookmarkStart w:id="59" w:name="Bookmark_LNHNREFclscc4"/>
      <w:bookmarkEnd w:id="59"/>
      <w:hyperlink r:id="rId3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t>
      </w:r>
      <w:bookmarkStart w:id="60" w:name="Bookmark_I68WWHRV2HM6P20040000400"/>
      <w:bookmarkEnd w:id="60"/>
      <w:bookmarkStart w:id="61" w:name="Bookmark_I68WWHRV2N1RJ30010000400"/>
      <w:bookmarkEnd w:id="61"/>
      <w:r>
        <w:rPr>
          <w:rFonts w:ascii="arial" w:eastAsia="arial" w:hAnsi="arial" w:cs="arial"/>
          <w:b w:val="0"/>
          <w:i w:val="0"/>
          <w:strike w:val="0"/>
          <w:noProof w:val="0"/>
          <w:color w:val="000000"/>
          <w:position w:val="0"/>
          <w:sz w:val="20"/>
          <w:u w:val="none"/>
          <w:vertAlign w:val="baseline"/>
        </w:rPr>
        <w:t xml:space="preserve">A noncitizen raising an ineffective assistance of counsel claim through a motion to reopen must comply with certain procedural requirements. </w:t>
      </w:r>
      <w:r>
        <w:rPr>
          <w:rFonts w:ascii="arial" w:eastAsia="arial" w:hAnsi="arial" w:cs="arial"/>
          <w:b w:val="0"/>
          <w:i w:val="0"/>
          <w:strike w:val="0"/>
          <w:noProof w:val="0"/>
          <w:color w:val="000000"/>
          <w:position w:val="0"/>
          <w:sz w:val="20"/>
          <w:u w:val="single"/>
          <w:vertAlign w:val="baseline"/>
        </w:rPr>
        <w:t xml:space="preserve">See </w:t>
      </w:r>
      <w:bookmarkStart w:id="62" w:name="Bookmark_I68WWHRV2HM6P20030000400"/>
      <w:bookmarkEnd w:id="62"/>
      <w:hyperlink r:id="rId25" w:history="1">
        <w:r>
          <w:rPr>
            <w:rFonts w:ascii="arial" w:eastAsia="arial" w:hAnsi="arial" w:cs="arial"/>
            <w:b w:val="0"/>
            <w:i/>
            <w:strike w:val="0"/>
            <w:noProof w:val="0"/>
            <w:color w:val="0077CC"/>
            <w:position w:val="0"/>
            <w:sz w:val="20"/>
            <w:u w:val="single"/>
            <w:vertAlign w:val="baseline"/>
          </w:rPr>
          <w:t>Castillo-Martinez</w:t>
        </w:r>
      </w:hyperlink>
      <w:hyperlink r:id="rId25" w:history="1">
        <w:r>
          <w:rPr>
            <w:rFonts w:ascii="arial" w:eastAsia="arial" w:hAnsi="arial" w:cs="arial"/>
            <w:b w:val="0"/>
            <w:i/>
            <w:strike w:val="0"/>
            <w:noProof w:val="0"/>
            <w:color w:val="0077CC"/>
            <w:position w:val="0"/>
            <w:sz w:val="20"/>
            <w:u w:val="single"/>
            <w:vertAlign w:val="baseline"/>
          </w:rPr>
          <w:t>, 16 F.4th at 916</w:t>
        </w:r>
      </w:hyperlink>
      <w:r>
        <w:rPr>
          <w:rFonts w:ascii="arial" w:eastAsia="arial" w:hAnsi="arial" w:cs="arial"/>
          <w:b w:val="0"/>
          <w:i w:val="0"/>
          <w:strike w:val="0"/>
          <w:noProof w:val="0"/>
          <w:color w:val="000000"/>
          <w:position w:val="0"/>
          <w:sz w:val="20"/>
          <w:u w:val="none"/>
          <w:vertAlign w:val="baseline"/>
        </w:rPr>
        <w:t xml:space="preserve">. "Once the procedural requirements are satisfied, the BIA reviews ineffective assistance claims for two substantive requirements: (1) immigration counsel's performance was deficient; and (2) immigration counsel's performance caused prejudice to the client." </w:t>
      </w:r>
      <w:bookmarkStart w:id="63" w:name="Bookmark_I68WWHRV2HM6P20050000400"/>
      <w:bookmarkEnd w:id="63"/>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Matter of Melgar</w:t>
        </w:r>
      </w:hyperlink>
      <w:hyperlink r:id="rId32" w:history="1">
        <w:r>
          <w:rPr>
            <w:rFonts w:ascii="arial" w:eastAsia="arial" w:hAnsi="arial" w:cs="arial"/>
            <w:b w:val="0"/>
            <w:i/>
            <w:strike w:val="0"/>
            <w:noProof w:val="0"/>
            <w:color w:val="0077CC"/>
            <w:position w:val="0"/>
            <w:sz w:val="20"/>
            <w:u w:val="single"/>
            <w:vertAlign w:val="baseline"/>
          </w:rPr>
          <w:t>, 28 I. &amp; N. Dec. 169, 171 (B.I.A. 2020)</w:t>
        </w:r>
      </w:hyperlink>
      <w:r>
        <w:rPr>
          <w:rFonts w:ascii="arial" w:eastAsia="arial" w:hAnsi="arial" w:cs="arial"/>
          <w:b w:val="0"/>
          <w:i w:val="0"/>
          <w:strike w:val="0"/>
          <w:noProof w:val="0"/>
          <w:color w:val="000000"/>
          <w:position w:val="0"/>
          <w:sz w:val="20"/>
          <w:u w:val="none"/>
          <w:vertAlign w:val="baseline"/>
        </w:rPr>
        <w:t xml:space="preserve">. </w:t>
      </w:r>
      <w:bookmarkStart w:id="64" w:name="Bookmark_I68WWHRV2N1RJ30030000400"/>
      <w:bookmarkEnd w:id="64"/>
      <w:r>
        <w:rPr>
          <w:rFonts w:ascii="arial" w:eastAsia="arial" w:hAnsi="arial" w:cs="arial"/>
          <w:b w:val="0"/>
          <w:i w:val="0"/>
          <w:strike w:val="0"/>
          <w:noProof w:val="0"/>
          <w:color w:val="000000"/>
          <w:position w:val="0"/>
          <w:sz w:val="20"/>
          <w:u w:val="none"/>
          <w:vertAlign w:val="baseline"/>
        </w:rPr>
        <w:t xml:space="preserve">The BIA concluded that Yoc Esteban met the procedural requirements,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so the BIA's analysis of his motion turned on whether he could show prejudice, bypassing the first substantive requirement. </w:t>
      </w:r>
      <w:bookmarkStart w:id="65" w:name="Bookmark_LNHNREFclscc5"/>
      <w:bookmarkEnd w:id="65"/>
      <w:hyperlink r:id="rId3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To do so, he had to prove a "reasonable probability" that but for counsel's errors, the outcome of the proceedings would have been different. </w:t>
      </w:r>
      <w:bookmarkStart w:id="66" w:name="Bookmark_I68WWHRV2N1RJ30020000400"/>
      <w:bookmarkEnd w:id="66"/>
      <w:hyperlink r:id="rId34" w:history="1">
        <w:r>
          <w:rPr>
            <w:rFonts w:ascii="arial" w:eastAsia="arial" w:hAnsi="arial" w:cs="arial"/>
            <w:b w:val="0"/>
            <w:i/>
            <w:strike w:val="0"/>
            <w:noProof w:val="0"/>
            <w:color w:val="0077CC"/>
            <w:position w:val="0"/>
            <w:sz w:val="20"/>
            <w:u w:val="single"/>
            <w:vertAlign w:val="baseline"/>
          </w:rPr>
          <w:t>Zeru v. Gonzales</w:t>
        </w:r>
      </w:hyperlink>
      <w:hyperlink r:id="rId34" w:history="1">
        <w:r>
          <w:rPr>
            <w:rFonts w:ascii="arial" w:eastAsia="arial" w:hAnsi="arial" w:cs="arial"/>
            <w:b w:val="0"/>
            <w:i/>
            <w:strike w:val="0"/>
            <w:noProof w:val="0"/>
            <w:color w:val="0077CC"/>
            <w:position w:val="0"/>
            <w:sz w:val="20"/>
            <w:u w:val="single"/>
            <w:vertAlign w:val="baseline"/>
          </w:rPr>
          <w:t>, 503 F.3d 59, 72 (1st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2"/>
      <w:bookmarkEnd w:id="67"/>
      <w:r>
        <w:rPr>
          <w:rFonts w:ascii="arial" w:eastAsia="arial" w:hAnsi="arial" w:cs="arial"/>
          <w:b w:val="0"/>
          <w:i w:val="0"/>
          <w:strike w:val="0"/>
          <w:noProof w:val="0"/>
          <w:color w:val="000000"/>
          <w:position w:val="0"/>
          <w:sz w:val="20"/>
          <w:u w:val="none"/>
          <w:vertAlign w:val="baseline"/>
        </w:rPr>
        <w:t>Yoc Esteban argues to us that he has proven prejudice by establishing that "[h]ad [his] [o]riginal [c]ounsel delineated a [PSG] in the pre-trial statement, developed the record[,] and argued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said social group at the hearing[, he] would have had a realistic chance or a reasonable probability of prevailing on his application for asylum"; that his original counsel's failure to apply for withholding of removal and CAT protection "is a due process violation and requires remand"; and that his original counsel's "direct examination was so cursory that [he] was unable to give his entire account of what happened to him in [Guatemala]." The BIA considered and rejected every argument that Yoc Esteban raised in his motion to reopen.</w:t>
      </w:r>
    </w:p>
    <w:p>
      <w:pPr>
        <w:keepNext w:val="0"/>
        <w:spacing w:before="200" w:after="0" w:line="260" w:lineRule="atLeast"/>
        <w:ind w:left="0" w:right="0" w:firstLine="0"/>
        <w:jc w:val="both"/>
      </w:pPr>
      <w:bookmarkStart w:id="68" w:name="Bookmark_para_13"/>
      <w:bookmarkEnd w:id="68"/>
      <w:r>
        <w:rPr>
          <w:rFonts w:ascii="arial" w:eastAsia="arial" w:hAnsi="arial" w:cs="arial"/>
          <w:b w:val="0"/>
          <w:i w:val="0"/>
          <w:strike w:val="0"/>
          <w:noProof w:val="0"/>
          <w:color w:val="000000"/>
          <w:position w:val="0"/>
          <w:sz w:val="20"/>
          <w:u w:val="none"/>
          <w:vertAlign w:val="baseline"/>
        </w:rPr>
        <w:t>We hold that the BIA did not abuse its discretion in determining that Yoc Esteban was ineligible for equitable tolling because he failed to establish prejudice.</w:t>
      </w:r>
    </w:p>
    <w:p>
      <w:pPr>
        <w:keepNext w:val="0"/>
        <w:spacing w:before="240" w:after="0" w:line="260" w:lineRule="atLeast"/>
        <w:ind w:left="0" w:right="0" w:firstLine="0"/>
        <w:jc w:val="both"/>
      </w:pPr>
      <w:bookmarkStart w:id="69" w:name="Bookmark_para_14"/>
      <w:bookmarkEnd w:id="69"/>
      <w:bookmarkStart w:id="70" w:name="Bookmark_I68WWHRV2N1RJ30050000400"/>
      <w:bookmarkEnd w:id="70"/>
      <w:r>
        <w:rPr>
          <w:rFonts w:ascii="arial" w:eastAsia="arial" w:hAnsi="arial" w:cs="arial"/>
          <w:b w:val="0"/>
          <w:i w:val="0"/>
          <w:strike w:val="0"/>
          <w:noProof w:val="0"/>
          <w:color w:val="000000"/>
          <w:position w:val="0"/>
          <w:sz w:val="20"/>
          <w:u w:val="none"/>
          <w:vertAlign w:val="baseline"/>
        </w:rPr>
        <w:t>First, as the BIA noted, Yoc Esteban's motion to reopen failed to identify the PSG(s) his original counsel should have raised before the IJ, thus making it difficult for the BIA to determine the impact on the proceedings of his original counsel's failure to provide further evidence that could have supported a cognizable PSG. On appeal, Yoc Esteban provides examples of PSGs that he "could have fit into had the record been developed by competent counsel," including "Guatemalan minor witness to a crime,"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"Guatemalan minor forced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for criminal organization," "Guatemalan youth actively recruited by gangs but who have refused to join because they oppose gangs," and his "nuclear family." Setting aside whether any of these PSGs are legally cognizable, Yoc Esteban did not present these potential PSGs to the BIA, </w:t>
      </w:r>
      <w:r>
        <w:rPr>
          <w:rFonts w:ascii="arial" w:eastAsia="arial" w:hAnsi="arial" w:cs="arial"/>
          <w:b w:val="0"/>
          <w:i w:val="0"/>
          <w:strike w:val="0"/>
          <w:noProof w:val="0"/>
          <w:color w:val="000000"/>
          <w:position w:val="0"/>
          <w:sz w:val="20"/>
          <w:u w:val="single"/>
          <w:vertAlign w:val="baseline"/>
        </w:rPr>
        <w:t xml:space="preserve">see </w:t>
      </w:r>
      <w:bookmarkStart w:id="71" w:name="Bookmark_I68WWHRV2N1RJ30040000400"/>
      <w:bookmarkEnd w:id="71"/>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71</w:t>
        </w:r>
      </w:hyperlink>
      <w:r>
        <w:rPr>
          <w:rFonts w:ascii="arial" w:eastAsia="arial" w:hAnsi="arial" w:cs="arial"/>
          <w:b w:val="0"/>
          <w:i w:val="0"/>
          <w:strike w:val="0"/>
          <w:noProof w:val="0"/>
          <w:color w:val="000000"/>
          <w:position w:val="0"/>
          <w:sz w:val="20"/>
          <w:u w:val="none"/>
          <w:vertAlign w:val="baseline"/>
        </w:rPr>
        <w:t xml:space="preserve"> (</w:t>
      </w:r>
      <w:bookmarkStart w:id="72" w:name="Bookmark_LNHNREFclscc6"/>
      <w:bookmarkEnd w:id="72"/>
      <w:hyperlink r:id="rId3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 motion to reopen proceedings before the BIA </w:t>
      </w:r>
      <w:r>
        <w:rPr>
          <w:rFonts w:ascii="arial" w:eastAsia="arial" w:hAnsi="arial" w:cs="arial"/>
          <w:b w:val="0"/>
          <w:i w:val="0"/>
          <w:strike w:val="0"/>
          <w:noProof w:val="0"/>
          <w:color w:val="000000"/>
          <w:position w:val="0"/>
          <w:sz w:val="20"/>
          <w:u w:val="single"/>
          <w:vertAlign w:val="baseline"/>
        </w:rPr>
        <w:t>must</w:t>
      </w:r>
      <w:r>
        <w:rPr>
          <w:rFonts w:ascii="arial" w:eastAsia="arial" w:hAnsi="arial" w:cs="arial"/>
          <w:b w:val="0"/>
          <w:i w:val="0"/>
          <w:strike w:val="0"/>
          <w:noProof w:val="0"/>
          <w:color w:val="000000"/>
          <w:position w:val="0"/>
          <w:sz w:val="20"/>
          <w:u w:val="none"/>
          <w:vertAlign w:val="baseline"/>
        </w:rPr>
        <w:t xml:space="preserve"> state 'new facts that will be proven at a hearing to be held if the motion is granted.'") (emphasis added) (quoting </w:t>
      </w:r>
      <w:hyperlink r:id="rId36" w:history="1">
        <w:r>
          <w:rPr>
            <w:rFonts w:ascii="arial" w:eastAsia="arial" w:hAnsi="arial" w:cs="arial"/>
            <w:b w:val="0"/>
            <w:i/>
            <w:strike w:val="0"/>
            <w:noProof w:val="0"/>
            <w:color w:val="0077CC"/>
            <w:position w:val="0"/>
            <w:sz w:val="20"/>
            <w:u w:val="single"/>
            <w:vertAlign w:val="baseline"/>
          </w:rPr>
          <w:t>8 C.F.R. § 1003.2(c)(1)</w:t>
        </w:r>
      </w:hyperlink>
      <w:r>
        <w:rPr>
          <w:rFonts w:ascii="arial" w:eastAsia="arial" w:hAnsi="arial" w:cs="arial"/>
          <w:b w:val="0"/>
          <w:i w:val="0"/>
          <w:strike w:val="0"/>
          <w:noProof w:val="0"/>
          <w:color w:val="000000"/>
          <w:position w:val="0"/>
          <w:sz w:val="20"/>
          <w:u w:val="none"/>
          <w:vertAlign w:val="baseline"/>
        </w:rPr>
        <w:t>), and he cannot rely on them now as the basis of his argument that the BIA abused its discretion. Yoc Esteban further contends that the BIA erred by not addressing the facts in the record. But he develops no argument as to why those facts would support finding either a cognizable PSG or a nexus between that PSG and the conduct alleged.</w:t>
      </w:r>
    </w:p>
    <w:p>
      <w:pPr>
        <w:keepNext w:val="0"/>
        <w:spacing w:before="20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Further, the BIA did not abuse its discretion in determining that Yoc Esteban's claim that he is prima facie eligible for withholding of removal and CAT protection was insufficient to establish prejudice. Yoc Esteban argues he is prima facie eligible on these two grounds because "[t]here is no legal or strategical reason to only apply for [a]sylum" and that is why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"I-589 application encompasses all three forms of relief in one application." This general argument makes no reference to Yoc Esteban's specific circumstances and fails to point to evidence in the record or offer new evidence to support this claim.</w:t>
      </w:r>
    </w:p>
    <w:p>
      <w:pPr>
        <w:keepNext w:val="0"/>
        <w:spacing w:before="240" w:after="0" w:line="260" w:lineRule="atLeast"/>
        <w:ind w:left="0" w:right="0" w:firstLine="0"/>
        <w:jc w:val="both"/>
      </w:pPr>
      <w:bookmarkStart w:id="74" w:name="Bookmark_para_16"/>
      <w:bookmarkEnd w:id="74"/>
      <w:bookmarkStart w:id="75" w:name="Bookmark_I68WWHRW2SF83H0020000400"/>
      <w:bookmarkEnd w:id="75"/>
      <w:r>
        <w:rPr>
          <w:rFonts w:ascii="arial" w:eastAsia="arial" w:hAnsi="arial" w:cs="arial"/>
          <w:b w:val="0"/>
          <w:i w:val="0"/>
          <w:strike w:val="0"/>
          <w:noProof w:val="0"/>
          <w:color w:val="000000"/>
          <w:position w:val="0"/>
          <w:sz w:val="20"/>
          <w:u w:val="none"/>
          <w:vertAlign w:val="baseline"/>
        </w:rPr>
        <w:t xml:space="preserve">Finally, the BIA properly reasoned that Yoc Esteban failed to establish prejudice because he could not articulate what additional testimony he would have provided if not for his original counsel's alleged deficiencies. </w:t>
      </w:r>
      <w:r>
        <w:rPr>
          <w:rFonts w:ascii="arial" w:eastAsia="arial" w:hAnsi="arial" w:cs="arial"/>
          <w:b w:val="0"/>
          <w:i w:val="0"/>
          <w:strike w:val="0"/>
          <w:noProof w:val="0"/>
          <w:color w:val="000000"/>
          <w:position w:val="0"/>
          <w:sz w:val="20"/>
          <w:u w:val="single"/>
          <w:vertAlign w:val="baseline"/>
        </w:rPr>
        <w:t xml:space="preserve">See </w:t>
      </w:r>
      <w:bookmarkStart w:id="76" w:name="Bookmark_I68WWHRW2SF83H0010000400"/>
      <w:bookmarkEnd w:id="76"/>
      <w:hyperlink r:id="rId37" w:history="1">
        <w:r>
          <w:rPr>
            <w:rFonts w:ascii="arial" w:eastAsia="arial" w:hAnsi="arial" w:cs="arial"/>
            <w:b w:val="0"/>
            <w:i/>
            <w:strike w:val="0"/>
            <w:noProof w:val="0"/>
            <w:color w:val="0077CC"/>
            <w:position w:val="0"/>
            <w:sz w:val="20"/>
            <w:u w:val="single"/>
            <w:vertAlign w:val="baseline"/>
          </w:rPr>
          <w:t>Franco-Ardon v. Barr</w:t>
        </w:r>
      </w:hyperlink>
      <w:hyperlink r:id="rId37" w:history="1">
        <w:r>
          <w:rPr>
            <w:rFonts w:ascii="arial" w:eastAsia="arial" w:hAnsi="arial" w:cs="arial"/>
            <w:b w:val="0"/>
            <w:i/>
            <w:strike w:val="0"/>
            <w:noProof w:val="0"/>
            <w:color w:val="0077CC"/>
            <w:position w:val="0"/>
            <w:sz w:val="20"/>
            <w:u w:val="single"/>
            <w:vertAlign w:val="baseline"/>
          </w:rPr>
          <w:t>, 922 F.3d 23, 25 (1st Cir. 2019)</w:t>
        </w:r>
      </w:hyperlink>
      <w:r>
        <w:rPr>
          <w:rFonts w:ascii="arial" w:eastAsia="arial" w:hAnsi="arial" w:cs="arial"/>
          <w:b w:val="0"/>
          <w:i w:val="0"/>
          <w:strike w:val="0"/>
          <w:noProof w:val="0"/>
          <w:color w:val="000000"/>
          <w:position w:val="0"/>
          <w:sz w:val="20"/>
          <w:u w:val="none"/>
          <w:vertAlign w:val="baseline"/>
        </w:rPr>
        <w:t xml:space="preserve"> (finding no prejudice where the noncitizen failed to identify anything in the record to demonstrate a likelihood of success in his original case apart from his "conclusory" assertions that "he had meritorious issues to raise in that earlier" case).</w:t>
      </w:r>
    </w:p>
    <w:p>
      <w:pPr>
        <w:keepNext w:val="0"/>
        <w:spacing w:before="200" w:after="0" w:line="260" w:lineRule="atLeast"/>
        <w:ind w:left="0" w:right="0" w:firstLine="0"/>
        <w:jc w:val="both"/>
      </w:pPr>
      <w:bookmarkStart w:id="77" w:name="Bookmark_para_17"/>
      <w:bookmarkEnd w:id="77"/>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We conclude that the BIA neither committed a material error of law nor acted arbitrarily, capriciously, or irrationally. The BIA did not abuse its discretion in denying Yoc Esteban's untimely motion to reopen and declining to equitably toll the deadline.</w:t>
      </w:r>
    </w:p>
    <w:p>
      <w:pPr>
        <w:keepNext w:val="0"/>
        <w:spacing w:before="200" w:after="0" w:line="260" w:lineRule="atLeast"/>
        <w:ind w:left="0" w:right="0" w:firstLine="0"/>
        <w:jc w:val="both"/>
      </w:pPr>
      <w:bookmarkStart w:id="78" w:name="Bookmark_para_18"/>
      <w:bookmarkEnd w:id="78"/>
      <w:r>
        <w:rPr>
          <w:rFonts w:ascii="arial" w:eastAsia="arial" w:hAnsi="arial" w:cs="arial"/>
          <w:b w:val="0"/>
          <w:i w:val="0"/>
          <w:strike w:val="0"/>
          <w:noProof w:val="0"/>
          <w:color w:val="000000"/>
          <w:position w:val="0"/>
          <w:sz w:val="20"/>
          <w:u w:val="none"/>
          <w:vertAlign w:val="baseline"/>
        </w:rPr>
        <w:t xml:space="preserve">The petition is </w:t>
      </w:r>
      <w:r>
        <w:rPr>
          <w:rFonts w:ascii="arial" w:eastAsia="arial" w:hAnsi="arial" w:cs="arial"/>
          <w:b/>
          <w:i w:val="0"/>
          <w:strike w:val="0"/>
          <w:noProof w:val="0"/>
          <w:color w:val="000000"/>
          <w:position w:val="0"/>
          <w:sz w:val="20"/>
          <w:u w:val="single"/>
          <w:vertAlign w:val="baseline"/>
        </w:rPr>
        <w:t>denied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When he first crossed into the United States, Yoc Esteban represented himself to be 17 years old and was deemed an unaccompanied minor under the jurisdiction of the United States Citizenship and Immigration Services ("USCIS").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8 U.S.C. § 1158(b)(3)(C)</w:t>
        </w:r>
      </w:hyperlink>
      <w:r>
        <w:rPr>
          <w:rFonts w:ascii="arial" w:eastAsia="arial" w:hAnsi="arial" w:cs="arial"/>
          <w:b w:val="0"/>
          <w:i w:val="0"/>
          <w:strike w:val="0"/>
          <w:noProof w:val="0"/>
          <w:color w:val="000000"/>
          <w:position w:val="0"/>
          <w:sz w:val="18"/>
          <w:u w:val="none"/>
          <w:vertAlign w:val="baseline"/>
        </w:rPr>
        <w:t>. On May 15, 2015, USCIS determined that Yoc Esteban failed to establish asylum eligibility and returned his application for asylum to the immigration judge ("IJ") for further adjudication. Yoc Esteban updated his asylum application when his matter was returned to the immigration judge.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Esteban v. Garland, 76 F.4th 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WN-70V1-DY33-B2C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WN-70V1-DY33-B2CS-00000-00&amp;context=1519360&amp;link=LNHNREFclscc2" TargetMode="External" /><Relationship Id="rId13" Type="http://schemas.openxmlformats.org/officeDocument/2006/relationships/hyperlink" Target="https://advance.lexis.com/api/document?collection=statutes-legislation&amp;id=urn:contentItem:8S6M-T0S2-D6RV-H486-00000-00&amp;context=1519360" TargetMode="External" /><Relationship Id="rId14" Type="http://schemas.openxmlformats.org/officeDocument/2006/relationships/hyperlink" Target="https://advance.lexis.com/api/document?collection=cases&amp;id=urn:contentItem:68WN-70V1-DY33-B2CS-00000-00&amp;context=1519360&amp;link=LNHNREFclscc3" TargetMode="External" /><Relationship Id="rId15" Type="http://schemas.openxmlformats.org/officeDocument/2006/relationships/hyperlink" Target="https://advance.lexis.com/api/document?collection=cases&amp;id=urn:contentItem:68WN-70V1-DY33-B2CS-00000-00&amp;context=1519360&amp;link=LNHNREFclscc4" TargetMode="External" /><Relationship Id="rId16" Type="http://schemas.openxmlformats.org/officeDocument/2006/relationships/hyperlink" Target="https://advance.lexis.com/api/document?collection=cases&amp;id=urn:contentItem:68WN-70V1-DY33-B2CS-00000-00&amp;context=1519360&amp;link=LNHNREFclscc5" TargetMode="External" /><Relationship Id="rId17" Type="http://schemas.openxmlformats.org/officeDocument/2006/relationships/hyperlink" Target="https://advance.lexis.com/api/document?collection=cases&amp;id=urn:contentItem:68WN-70V1-DY33-B2CS-00000-00&amp;context=1519360&amp;link=LNHNREFclscc6" TargetMode="External" /><Relationship Id="rId18" Type="http://schemas.openxmlformats.org/officeDocument/2006/relationships/hyperlink" Target="https://advance.lexis.com/api/document?collection=statutes-legislation&amp;id=urn:contentItem:8S6M-T0S2-D6RV-H46X-00000-00&amp;context=1519360" TargetMode="External" /><Relationship Id="rId19" Type="http://schemas.openxmlformats.org/officeDocument/2006/relationships/hyperlink" Target="https://advance.lexis.com/api/document?collection=statutes-legislation&amp;id=urn:contentItem:8S6M-T0S2-D6RV-H48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WN-70V1-DY33-B2CS-00000-00&amp;context=1519360&amp;link=clscc1"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5TSB-MK91-F5DR-24TM-00000-00&amp;context=1519360" TargetMode="External" /><Relationship Id="rId23" Type="http://schemas.openxmlformats.org/officeDocument/2006/relationships/hyperlink" Target="https://advance.lexis.com/api/document?collection=cases&amp;id=urn:contentItem:4PFK-2GM0-TXFX-328M-00000-00&amp;context=1519360" TargetMode="External" /><Relationship Id="rId24" Type="http://schemas.openxmlformats.org/officeDocument/2006/relationships/hyperlink" Target="https://advance.lexis.com/api/document?collection=cases&amp;id=urn:contentItem:66SP-D4X1-JCRC-B0T8-00000-00&amp;context=1519360" TargetMode="External" /><Relationship Id="rId25" Type="http://schemas.openxmlformats.org/officeDocument/2006/relationships/hyperlink" Target="https://advance.lexis.com/api/document?collection=cases&amp;id=urn:contentItem:63Y5-FSB1-JNJT-B35T-00000-00&amp;context=1519360" TargetMode="External" /><Relationship Id="rId26" Type="http://schemas.openxmlformats.org/officeDocument/2006/relationships/hyperlink" Target="https://advance.lexis.com/api/document?collection=cases&amp;id=urn:contentItem:5X2Y-CSC1-DYV0-G2PK-00000-00&amp;context=1519360" TargetMode="External" /><Relationship Id="rId27" Type="http://schemas.openxmlformats.org/officeDocument/2006/relationships/hyperlink" Target="https://advance.lexis.com/api/document?collection=cases&amp;id=urn:contentItem:68WN-70V1-DY33-B2CS-00000-00&amp;context=1519360&amp;link=clscc2" TargetMode="External" /><Relationship Id="rId28" Type="http://schemas.openxmlformats.org/officeDocument/2006/relationships/hyperlink" Target="https://advance.lexis.com/api/document?collection=cases&amp;id=urn:contentItem:800F-21D1-652P-Y000-00000-00&amp;context=1519360" TargetMode="External" /><Relationship Id="rId29" Type="http://schemas.openxmlformats.org/officeDocument/2006/relationships/hyperlink" Target="https://advance.lexis.com/api/document?collection=cases&amp;id=urn:contentItem:68WN-70V1-DY33-B2CS-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C3G-RH51-F04K-H004-00000-00&amp;context=1519360" TargetMode="External" /><Relationship Id="rId31" Type="http://schemas.openxmlformats.org/officeDocument/2006/relationships/hyperlink" Target="https://advance.lexis.com/api/document?collection=cases&amp;id=urn:contentItem:68WN-70V1-DY33-B2CS-00000-00&amp;context=1519360&amp;link=clscc4" TargetMode="External" /><Relationship Id="rId32" Type="http://schemas.openxmlformats.org/officeDocument/2006/relationships/hyperlink" Target="https://advance.lexis.com/api/document?collection=administrative-materials&amp;id=urn:contentItem:61FD-CFY1-F5KY-B3PN-00000-00&amp;context=1519360" TargetMode="External" /><Relationship Id="rId33" Type="http://schemas.openxmlformats.org/officeDocument/2006/relationships/hyperlink" Target="https://advance.lexis.com/api/document?collection=cases&amp;id=urn:contentItem:68WN-70V1-DY33-B2CS-00000-00&amp;context=1519360&amp;link=clscc5" TargetMode="External" /><Relationship Id="rId34" Type="http://schemas.openxmlformats.org/officeDocument/2006/relationships/hyperlink" Target="https://advance.lexis.com/api/document?collection=cases&amp;id=urn:contentItem:4PPK-XCS0-TXFX-32X3-00000-00&amp;context=1519360" TargetMode="External" /><Relationship Id="rId35" Type="http://schemas.openxmlformats.org/officeDocument/2006/relationships/hyperlink" Target="https://advance.lexis.com/api/document?collection=cases&amp;id=urn:contentItem:68WN-70V1-DY33-B2CS-00000-00&amp;context=1519360&amp;link=clscc6" TargetMode="External" /><Relationship Id="rId36" Type="http://schemas.openxmlformats.org/officeDocument/2006/relationships/hyperlink" Target="https://advance.lexis.com/api/document?collection=administrative-codes&amp;id=urn:contentItem:6C64-HY13-RWP7-53KS-00000-00&amp;context=1519360" TargetMode="External" /><Relationship Id="rId37" Type="http://schemas.openxmlformats.org/officeDocument/2006/relationships/hyperlink" Target="https://advance.lexis.com/api/document?collection=cases&amp;id=urn:contentItem:5W01-RJT1-F8KH-X08C-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WN-70V1-DY33-B2C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6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Esteban v. Garland, 76 F.4th 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urn:user:PA186186283</vt:lpwstr>
  </property>
</Properties>
</file>