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Libyan Asset Recovery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Decided; November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21-MC-852 (JGK) (BCM)</w:t>
      </w:r>
    </w:p>
    <w:p>
      <w:pPr>
        <w:keepNext w:val="0"/>
        <w:spacing w:after="0" w:line="240" w:lineRule="atLeast"/>
        <w:ind w:right="0"/>
        <w:jc w:val="both"/>
      </w:pPr>
      <w:bookmarkStart w:id="0" w:name="Bookmark_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206667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8445811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re Application of LIBYAN ASSET RECOVERY AND MANAGEMENT OFFICE, Applicant, For an Order Pursuant to 28 U.S.C. § 1782 Granting Leave to Obtain Discovery for Use in a Foreign Proceeding.</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proceedings, declaration, discovery, district court, Funds, confirmed, legal proceedings, planned, unsworn, courts, Banks, tribunal, entity, interested person, instruments, appearance, attaching, subpoenas, initiate, stolen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Ex Parte Application of Libyan Asset Recovery and Management Office to Conduct Discovery for Use in Foreign Proceedings Pursuant to </w:t>
      </w:r>
      <w:hyperlink r:id="rId10" w:history="1">
        <w:r>
          <w:rPr>
            <w:rFonts w:ascii="arial" w:eastAsia="arial" w:hAnsi="arial" w:cs="arial"/>
            <w:b w:val="0"/>
            <w:i/>
            <w:strike w:val="0"/>
            <w:noProof w:val="0"/>
            <w:color w:val="0077CC"/>
            <w:position w:val="0"/>
            <w:sz w:val="20"/>
            <w:u w:val="single"/>
            <w:vertAlign w:val="baseline"/>
          </w:rPr>
          <w:t>28 U.S.C. 1782</w:t>
        </w:r>
      </w:hyperlink>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In Re: Gonzalo Salinas Zeballos, Michelle Rene Usitalo, Oren J. Warshavsky, Baker &amp; Hostetler LLP (NYC), New York, NY; Warren Ernest Gluck, Holland &amp; Knight LLP (NY), New York, NY.</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BARBARA MOSES,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BARBARA MOSES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 TO THE HON. JOHN G. KOELTL</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BARBARA MOSES, United States Magistrate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The Libyan Asset Recovery and Management Office (LARMO) has filed an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Application (App.) (Dkt. 1), pursuant to </w:t>
      </w:r>
      <w:hyperlink r:id="rId10" w:history="1">
        <w:r>
          <w:rPr>
            <w:rFonts w:ascii="arial" w:eastAsia="arial" w:hAnsi="arial" w:cs="arial"/>
            <w:b w:val="0"/>
            <w:i/>
            <w:strike w:val="0"/>
            <w:noProof w:val="0"/>
            <w:color w:val="0077CC"/>
            <w:position w:val="0"/>
            <w:sz w:val="20"/>
            <w:u w:val="single"/>
            <w:vertAlign w:val="baseline"/>
          </w:rPr>
          <w:t>28 U.S.C. § 1782</w:t>
        </w:r>
      </w:hyperlink>
      <w:r>
        <w:rPr>
          <w:rFonts w:ascii="arial" w:eastAsia="arial" w:hAnsi="arial" w:cs="arial"/>
          <w:b w:val="0"/>
          <w:i w:val="0"/>
          <w:strike w:val="0"/>
          <w:noProof w:val="0"/>
          <w:color w:val="000000"/>
          <w:position w:val="0"/>
          <w:sz w:val="20"/>
          <w:u w:val="none"/>
          <w:vertAlign w:val="baseline"/>
        </w:rPr>
        <w:t xml:space="preserve">, for leave to serve subpoenas on Bank of America N.A., Citigroup Inc. d/b/a Citibank, JP Morgan Chase Bank N.A., UBS Group A.G., HSBC Bank, Credit Suisse Bank N.A., Bank of New York Mellon Corporation, and Deutsche Bank Trust Company Americas (collectively, the Banks), seeking records for use in "contemplated foreign proceedings" to recover funds expropriated from Libya by the late Colonel Muammar al-Gaddafi (Gaddafi). App. at 1. The matter was referred to me by the Hon. John G. Koeltl, United States District Judge, pursuant to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(Dkt. 7.) For the reasons that follow, I respectfully recommend that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application be denied.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Application and the First Arif Declaration</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LARMO's Application, filed December 9, 2021, is signed by attorneys Oren Warshavsky of Baker &amp; Hostetler LLP (B&amp;H) and Warren Gluck of Holland &amp; Knight (H&amp;K), and supported by the declaration of Anwar Arif, who identifies himself as the President of LARMO.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Arif 12/9/21 Decl. (Dkt. 5) ¶ 1. Mr. Arif attests that from 1969 to 2011, Gaddafi ruled Libya as a dictatorship.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 Over the course of his corrupt 42-year reign, Gaddafi expropriated much of Libya's national wealth.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5-9. "While the total amount stolen by Gaddafi, his family, and his agents is currently unknown and some reports place the number as high as $200 billion, LARMO currently estimates that that at least tens of billions of dollars' worth of assets belonging to the Libyan people were stolen by Gadaffi and his agents and remain missing."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After the overthrow of the Gaddafi regime, "Libya experienced a multi-sided civil war," during which "several entities purported to seek to recover and repatriate assets misappropriated by Gaddafi and his family." Arif 12/9/21 Decl. ¶¶ 16-17. According to Mr. Arif, that war "ended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December 2015, with the establishment of a Government of National Accord [GNA] and the support of the United Nations."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LARMO was created on October 24, 2017, by the Presidential Council of the GNA, Arif 12/9/21 Decl. ¶ 21, and was tasked with recovering stolen Libyan assets located abroad.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24-25. LARMO was given "the exclusive authority to trace, recover, and manage, stolen, neglected, and abandoned assets of the Libyan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xml:space="preserve">On October 24, 2017 - the same day LARMO was created - Arif was appointed President of the agency pursuant to Decision No. 1012/2017, issued by the Presidential Council of the GNA. Arif 12/9/21 Decl. ¶¶ 1, 22;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Ex. 1 (Dkt. 5-1) (Decision No. 1012/2017). On December 19, 2019, LARMO was reorganized pursuant to Resolution No. 1496/2019, issued by the Presidential Council of the GNA, which renewed its mandate and gave it the express authority to (among other things) "take whatever it deems appropriate of Civil Judicial Procedure inside and outside Libya, and as required to conducting the affairs of the Office and achieving its goals and accomplishing the missions assigned to it in an effective manner."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23-25 &amp; Ex. 13</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(Dkt. 5-13) (Resolution No. 1496/2019), Art. 32.</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Thereafter, in March 2021, the GNA "was reconstituted as a Government of National Unity [GNU], headed by a Presidential Council, whose Chairman acts of Head of State, and a Prime Minister,"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 but Arif remained President of LARMO.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 xml:space="preserve">LARMO requests leave, pursuant to </w:t>
      </w:r>
      <w:hyperlink r:id="rId10" w:history="1">
        <w:r>
          <w:rPr>
            <w:rFonts w:ascii="arial" w:eastAsia="arial" w:hAnsi="arial" w:cs="arial"/>
            <w:b w:val="0"/>
            <w:i/>
            <w:strike w:val="0"/>
            <w:noProof w:val="0"/>
            <w:color w:val="0077CC"/>
            <w:position w:val="0"/>
            <w:sz w:val="20"/>
            <w:u w:val="single"/>
            <w:vertAlign w:val="baseline"/>
          </w:rPr>
          <w:t>28 U.S.C. § 1782</w:t>
        </w:r>
      </w:hyperlink>
      <w:r>
        <w:rPr>
          <w:rFonts w:ascii="arial" w:eastAsia="arial" w:hAnsi="arial" w:cs="arial"/>
          <w:b w:val="0"/>
          <w:i w:val="0"/>
          <w:strike w:val="0"/>
          <w:noProof w:val="0"/>
          <w:color w:val="000000"/>
          <w:position w:val="0"/>
          <w:sz w:val="20"/>
          <w:u w:val="none"/>
          <w:vertAlign w:val="baseline"/>
        </w:rPr>
        <w:t xml:space="preserve">, to serve subpoenas </w:t>
      </w:r>
      <w:r>
        <w:rPr>
          <w:rFonts w:ascii="arial" w:eastAsia="arial" w:hAnsi="arial" w:cs="arial"/>
          <w:b w:val="0"/>
          <w:i/>
          <w:strike w:val="0"/>
          <w:noProof w:val="0"/>
          <w:color w:val="000000"/>
          <w:position w:val="0"/>
          <w:sz w:val="20"/>
          <w:u w:val="none"/>
          <w:vertAlign w:val="baseline"/>
        </w:rPr>
        <w:t>duces tecum</w:t>
      </w:r>
      <w:r>
        <w:rPr>
          <w:rFonts w:ascii="arial" w:eastAsia="arial" w:hAnsi="arial" w:cs="arial"/>
          <w:b w:val="0"/>
          <w:i w:val="0"/>
          <w:strike w:val="0"/>
          <w:noProof w:val="0"/>
          <w:color w:val="000000"/>
          <w:position w:val="0"/>
          <w:sz w:val="20"/>
          <w:u w:val="none"/>
          <w:vertAlign w:val="baseline"/>
        </w:rPr>
        <w:t xml:space="preserve"> on the Banks, seeking records and documents concerning "accounts held by or for the benefit of Gaddafi," "transactions . . . involving [Bank] accounts held by or for the benefit of Gaddafi," and "transactions . . . referencing Gaddafi." App. Ex. 1 (Dkt. 1-1) (proposed subpoena to Bank of America) at ECF p. 8. LARMO "intends to use the information obtained pursuant to this Application to bring legal proceedings around the world to seize and recover assets consistent with its mandate and for the benefit of the Libyan people." Arif 12/9/21 Decl. ¶ 30. No further detail is provided concerning the contemplated proceedings.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First Mensli Letter</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On December 17, 2021, the Court received a letter from Khaled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Daief, the Chargé d'Affaires at the Libyan Embassy in Washington, D.C., enclosing an unsworn and undated letter, on LARMO letterhead, signed by Mohamed Ramadan Mensli as General Manager of LARMO.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Mensli 12/17/21 Ltr. (Dkt. 9) at ECF p. 2.</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Mr. Mensli agreed that LARMO's mandate is to repatriate "all funds, assets, and properties belonging to the Libyan State that were misappropriated through looting,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 other criminal acts such as bribery or corruption," but nonetheless asked the Court to "dismiss or dispose of" the Application "as currently presented," because serving subpoenas on the Banks would be "contrary to our strategy of positive engagement with banks and other financial institutions."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22" w:name="Bookmark_para_9"/>
      <w:bookmarkEnd w:id="22"/>
      <w:r>
        <w:rPr>
          <w:rFonts w:ascii="arial" w:eastAsia="arial" w:hAnsi="arial" w:cs="arial"/>
          <w:b w:val="0"/>
          <w:i w:val="0"/>
          <w:strike w:val="0"/>
          <w:noProof w:val="0"/>
          <w:color w:val="000000"/>
          <w:position w:val="0"/>
          <w:sz w:val="20"/>
          <w:u w:val="none"/>
          <w:vertAlign w:val="baseline"/>
        </w:rPr>
        <w:t>Mensli explained that he was appointed General Manager of LARMO, replacing Arif, on June 6, 2021 (six months before the Application was filed), by Decision No. 122 of 2021 (Decision No. 122), issued by the Prime Minister of the GNU. Mensli 12/17/21 Ltr. at ECF p. 2. Mensli did not provide a copy of Decision No. 122. Mensli acknowledged that "the legal firms who brought this case . . . were engaged by my predecessor at LARMO," but asserted that they "acted without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appropriate legal authority" when they filed the Application.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Mensli attached what appeared to be an unsigned letter from him to B&amp;H and H&amp;K, dated September 6, 2021, requesting that they "immediately cease and desist all and any activities on behalf of LARMO" until they reported on those activities to Mensli and obtained his authorization "for any further activities or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ECF pp. 3-4. As Mensli correctly noted,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ECF p. 2, the Court had not previously been made aware of any issue regarding counsel's authority to represent LARMO in this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Stay</w:t>
      </w:r>
    </w:p>
    <w:p>
      <w:pPr>
        <w:keepNext w:val="0"/>
        <w:spacing w:before="200" w:after="0" w:line="260" w:lineRule="atLeast"/>
        <w:ind w:left="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Three days later, attorney Warshavsky of B&amp;H informed the Court that his firm was discussing Mr. Mensli's letter "with our co-counsel . . . and others at the Libyan Asset Management Office, including Mr. Arif," and promised a response "later this week." (Dkt. 10.) However, no response was submitted. Consequently, on January 13, 2022, I stayed the case "pending further response from petitioner." (Dkt. 11.)</w:t>
      </w:r>
    </w:p>
    <w:p>
      <w:pPr>
        <w:keepNext w:val="0"/>
        <w:spacing w:before="200" w:after="0" w:line="260" w:lineRule="atLeast"/>
        <w:ind w:left="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More than one year passed with no further activity on the docket. On April 27, 2023, I directed LARMO to file a status report "advising the Court whether or not it intends to pursue this action." (Dkt. 12.) 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May 18, 2023, attorney Warshavsky confirmed, in an unsworn letter, that LARMO "seeks to proceed with this application." Warshavsky 5/18/23 Ltr. (Dkt. 15) at 1.</w:t>
      </w:r>
    </w:p>
    <w:p>
      <w:pPr>
        <w:keepNext w:val="0"/>
        <w:spacing w:before="20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 xml:space="preserve">According to Warshavsky, Decision No. 122 (upon which Mr. Mensli relied for his appointment) was itself invalid, because LARMO was under the jurisdiction of the Presidential Council, not the Prime Minister. On June 16, 2021, the Presidential Council "requested that the Prime Minister withdraw the Decision as improper," 5/18/23 Warshavsky Ltr. at 1 &amp; Ex. A. Mr. Dabaiba declined to do so, but on October 12, 2021 - before this action was commenced - the Libyan Administrative Control Authority, "a governmental agency in Libya," declared Decision No. 122 to be "illegal and invalid."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&amp; Ex. B. For this reason, B&amp;H and H&amp;K believed that they were authorized to file the Application at the direction of Mr. Arif.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 xml:space="preserve">Thereafter, while the case was stayed, "further proceedings in Libya" confirmed counsel's view as to Mr. Arif's authority to direct their work. 5/18/23 Warshavsky Ltr. at 2. First, on February 20, 2022, the Tripoli Court of Appeals issued a ruling "annulling the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&amp; Ex. C Although the Prime Minister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appealed that ruling to the Supreme Court of Libya, the Supreme Court dismissed the appeal on November 17, 2022, leaving intact the February 20, 2022 ruling that annulled Decision No. 122.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&amp; Ex. 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Warshavky noted that yet another petition had recently been filed, seeking to overturn or reverse the February 20, 2022 ruling of the Tripoli Court of Appeals.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However, he concluded, "[u]nder any scenario, and regardless of any future personnel changes within LARMO that may occur, it is clear that [LARMO] is an 'interested person' within the meaning of </w:t>
      </w:r>
      <w:hyperlink r:id="rId10" w:history="1">
        <w:r>
          <w:rPr>
            <w:rFonts w:ascii="arial" w:eastAsia="arial" w:hAnsi="arial" w:cs="arial"/>
            <w:b w:val="0"/>
            <w:i/>
            <w:strike w:val="0"/>
            <w:noProof w:val="0"/>
            <w:color w:val="0077CC"/>
            <w:position w:val="0"/>
            <w:sz w:val="20"/>
            <w:u w:val="single"/>
            <w:vertAlign w:val="baseline"/>
          </w:rPr>
          <w:t>28 U.S.C. § 1782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Court Requests Admissible Evidence</w:t>
      </w:r>
    </w:p>
    <w:p>
      <w:pPr>
        <w:keepNext w:val="0"/>
        <w:spacing w:before="200" w:after="0" w:line="260" w:lineRule="atLeast"/>
        <w:ind w:left="0" w:right="0" w:firstLine="0"/>
        <w:jc w:val="both"/>
      </w:pPr>
      <w:bookmarkStart w:id="28" w:name="Bookmark_para_14"/>
      <w:bookmarkEnd w:id="28"/>
      <w:r>
        <w:rPr>
          <w:rFonts w:ascii="arial" w:eastAsia="arial" w:hAnsi="arial" w:cs="arial"/>
          <w:b w:val="0"/>
          <w:i w:val="0"/>
          <w:strike w:val="0"/>
          <w:noProof w:val="0"/>
          <w:color w:val="000000"/>
          <w:position w:val="0"/>
          <w:sz w:val="20"/>
          <w:u w:val="none"/>
          <w:vertAlign w:val="baseline"/>
        </w:rPr>
        <w:t>After receiving attorney Warshavsky's letter, the Court reviewed publicly-available press reports concerning LARMO,</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as well as the LARMO website, which identified Mr. Mensli as its Director General.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On May 30, 2023, I issued an order noting that Mensli "continues to act as [LARMO's] Director General on the world stage," 5/30/23 Order (Dkt. 16) at 3, and directing the applicant to submit, by June 16, 2023, a "declaration from an officer or other authorized representative of LARMO with authority to direct litigation on behalf of that entity, confirming that LARMO wishes to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pursue this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Additionally, I directed the applicant's counsel to serve a copy of that declaration on Mr. Mensli through the Libyan Embassy in Washington, D.C., and invited him to respond, no later than July 16, 2023, "under oath."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The Second Arif Declaration</w:t>
      </w:r>
    </w:p>
    <w:p>
      <w:pPr>
        <w:keepNext w:val="0"/>
        <w:spacing w:before="200" w:after="0" w:line="260" w:lineRule="atLeast"/>
        <w:ind w:left="0" w:right="0" w:firstLine="0"/>
        <w:jc w:val="both"/>
      </w:pPr>
      <w:bookmarkStart w:id="31" w:name="Bookmark_para_15"/>
      <w:bookmarkEnd w:id="31"/>
      <w:r>
        <w:rPr>
          <w:rFonts w:ascii="arial" w:eastAsia="arial" w:hAnsi="arial" w:cs="arial"/>
          <w:b w:val="0"/>
          <w:i w:val="0"/>
          <w:strike w:val="0"/>
          <w:noProof w:val="0"/>
          <w:color w:val="000000"/>
          <w:position w:val="0"/>
          <w:sz w:val="20"/>
          <w:u w:val="none"/>
          <w:vertAlign w:val="baseline"/>
        </w:rPr>
        <w:t xml:space="preserve">On June 16, 2023, Mr. Arif filed another declaration, under penalty of perjury pursuant to </w:t>
      </w:r>
      <w:hyperlink r:id="rId12" w:history="1">
        <w:r>
          <w:rPr>
            <w:rFonts w:ascii="arial" w:eastAsia="arial" w:hAnsi="arial" w:cs="arial"/>
            <w:b w:val="0"/>
            <w:i/>
            <w:strike w:val="0"/>
            <w:noProof w:val="0"/>
            <w:color w:val="0077CC"/>
            <w:position w:val="0"/>
            <w:sz w:val="20"/>
            <w:u w:val="single"/>
            <w:vertAlign w:val="baseline"/>
          </w:rPr>
          <w:t>28 U.S.C. § 1746</w:t>
        </w:r>
      </w:hyperlink>
      <w:r>
        <w:rPr>
          <w:rFonts w:ascii="arial" w:eastAsia="arial" w:hAnsi="arial" w:cs="arial"/>
          <w:b w:val="0"/>
          <w:i w:val="0"/>
          <w:strike w:val="0"/>
          <w:noProof w:val="0"/>
          <w:color w:val="000000"/>
          <w:position w:val="0"/>
          <w:sz w:val="20"/>
          <w:u w:val="none"/>
          <w:vertAlign w:val="baseline"/>
        </w:rPr>
        <w:t xml:space="preserve">, generally confirming Warshavsky's account of the Libyan litigation and declaring that he, Arif, remained the President of LARMO and had "the authority to issue the underlying application for discovery under </w:t>
      </w:r>
      <w:hyperlink r:id="rId10" w:history="1">
        <w:r>
          <w:rPr>
            <w:rFonts w:ascii="arial" w:eastAsia="arial" w:hAnsi="arial" w:cs="arial"/>
            <w:b w:val="0"/>
            <w:i/>
            <w:strike w:val="0"/>
            <w:noProof w:val="0"/>
            <w:color w:val="0077CC"/>
            <w:position w:val="0"/>
            <w:sz w:val="20"/>
            <w:u w:val="single"/>
            <w:vertAlign w:val="baseline"/>
          </w:rPr>
          <w:t>28 U.S.C. § 1782</w:t>
        </w:r>
      </w:hyperlink>
      <w:r>
        <w:rPr>
          <w:rFonts w:ascii="arial" w:eastAsia="arial" w:hAnsi="arial" w:cs="arial"/>
          <w:b w:val="0"/>
          <w:i w:val="0"/>
          <w:strike w:val="0"/>
          <w:noProof w:val="0"/>
          <w:color w:val="000000"/>
          <w:position w:val="0"/>
          <w:sz w:val="20"/>
          <w:u w:val="none"/>
          <w:vertAlign w:val="baseline"/>
        </w:rPr>
        <w:t xml:space="preserve">." Arif 6/16/23 Decl. (Dkt. 18) ¶¶ 2, 28-29. Mr. Arif noted that Mensli was "presently seeking to collaterally attack" the rulings of Tripoli Court of Appeals and the Libya Supreme Court "by asking that those rulings be stayed,"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30, and observed that "there would be no need for Mr. Mensli to seek a stay and/or a court order to vindicate his position if the decision purporting to give him</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authority had not been successfully abrogated by the Supreme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 xml:space="preserve">Arif added that his "authority to act as head of LARMO was confirmed this week" by the Chairman of the Presidential Council, al-Menfi, who instructed Arif "to move forward with the application." Arif 6/16/23 Decl. ¶ 33. Additionally, Arif reported, the Presidential Council issued a letter dated April 13, 2023, "instructing Libya's foreign offices to recognize the proper leadership and constitution of LARMO."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34 &amp; Ex. L (Dkts. 18-18, 18-19).</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Arif did not discuss Mr. Mensli's apparent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control of LARMO and its staff.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The Second Mensli Letter</w:t>
      </w:r>
    </w:p>
    <w:p>
      <w:pPr>
        <w:keepNext w:val="0"/>
        <w:spacing w:before="200" w:after="0" w:line="260" w:lineRule="atLeast"/>
        <w:ind w:left="0" w:right="0" w:firstLine="0"/>
        <w:jc w:val="both"/>
      </w:pPr>
      <w:bookmarkStart w:id="35" w:name="Bookmark_para_17"/>
      <w:bookmarkEnd w:id="35"/>
      <w:r>
        <w:rPr>
          <w:rFonts w:ascii="arial" w:eastAsia="arial" w:hAnsi="arial" w:cs="arial"/>
          <w:b w:val="0"/>
          <w:i w:val="0"/>
          <w:strike w:val="0"/>
          <w:noProof w:val="0"/>
          <w:color w:val="000000"/>
          <w:position w:val="0"/>
          <w:sz w:val="20"/>
          <w:u w:val="none"/>
          <w:vertAlign w:val="baseline"/>
        </w:rPr>
        <w:t>Notwithstanding this Court's request that any response by Mr. Mensli be "under oath," 5/30/23 Order at 4, on July 11, 2023, the Court received another unsworn letter from him, on LARMO letterhead, "confirm[ing] that [his] office has indeed been designated through Decision no. 122 . . . as the sole entity to facilitate the recover[y] of Libyan assets," and attaching what he described as a "Circular distributed by Libya's Ministry of Foreign Affairs" endorsing his appointment as Director General of LARMO. Mensli 7/11/23 Ltr. (Dkt. 21) at ECF pp. 1, 6.</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Additionally,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Mr. Mensli attached several written invitations - some addressed to him by name - to participate in international conferences and study missions,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ECF pp. 4-5, 7-9, 12, and described other engagements he fulfilled on behalf of LARMO.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ECF p. 2.</w:t>
      </w:r>
    </w:p>
    <w:p>
      <w:pPr>
        <w:keepNext w:val="0"/>
        <w:spacing w:before="200" w:after="0" w:line="260" w:lineRule="atLeast"/>
        <w:ind w:left="0" w:right="0" w:firstLine="0"/>
        <w:jc w:val="both"/>
      </w:pPr>
      <w:bookmarkStart w:id="37" w:name="Bookmark_para_18"/>
      <w:bookmarkEnd w:id="37"/>
      <w:r>
        <w:rPr>
          <w:rFonts w:ascii="arial" w:eastAsia="arial" w:hAnsi="arial" w:cs="arial"/>
          <w:b w:val="0"/>
          <w:i w:val="0"/>
          <w:strike w:val="0"/>
          <w:noProof w:val="0"/>
          <w:color w:val="000000"/>
          <w:position w:val="0"/>
          <w:sz w:val="20"/>
          <w:u w:val="none"/>
          <w:vertAlign w:val="baseline"/>
        </w:rPr>
        <w:t xml:space="preserve">Mr. Mensli expressed concern that the "relationship-building" he has been engaged in, "and the recognition provided to my office by multiple foreign jurisdictions, cannot be simply handed off to any aspiring litigant, regardless of the name recognition of the law firms representing him." Mensli 7/11/23 Ltr. at ECF p. 2. He concluded by requesting (on behalf of LARMO "and the Government of Libya") that the Court issue "a decision which, to the extent possible, significantly hinders or eliminates any similar future ex parte or related applications or motions."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ECF p. 3. Mensli did not discuss any of the Libyan court decisions relied upon by Arif.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The Third Arif Declaration</w:t>
      </w:r>
    </w:p>
    <w:p>
      <w:pPr>
        <w:keepNext w:val="0"/>
        <w:spacing w:before="200" w:after="0" w:line="260" w:lineRule="atLeast"/>
        <w:ind w:left="0" w:right="0" w:firstLine="0"/>
        <w:jc w:val="both"/>
      </w:pPr>
      <w:bookmarkStart w:id="38" w:name="Bookmark_para_19"/>
      <w:bookmarkEnd w:id="38"/>
      <w:r>
        <w:rPr>
          <w:rFonts w:ascii="arial" w:eastAsia="arial" w:hAnsi="arial" w:cs="arial"/>
          <w:b w:val="0"/>
          <w:i w:val="0"/>
          <w:strike w:val="0"/>
          <w:noProof w:val="0"/>
          <w:color w:val="000000"/>
          <w:position w:val="0"/>
          <w:sz w:val="20"/>
          <w:u w:val="none"/>
          <w:vertAlign w:val="baseline"/>
        </w:rPr>
        <w:t xml:space="preserve">On July 13, 2023, Mr. Arif filed a "supplemental declaration," under penalty of perjury pursuant to </w:t>
      </w:r>
      <w:hyperlink r:id="rId12" w:history="1">
        <w:r>
          <w:rPr>
            <w:rFonts w:ascii="arial" w:eastAsia="arial" w:hAnsi="arial" w:cs="arial"/>
            <w:b w:val="0"/>
            <w:i/>
            <w:strike w:val="0"/>
            <w:noProof w:val="0"/>
            <w:color w:val="0077CC"/>
            <w:position w:val="0"/>
            <w:sz w:val="20"/>
            <w:u w:val="single"/>
            <w:vertAlign w:val="baseline"/>
          </w:rPr>
          <w:t>28 U.S.C. § 1746</w:t>
        </w:r>
      </w:hyperlink>
      <w:r>
        <w:rPr>
          <w:rFonts w:ascii="arial" w:eastAsia="arial" w:hAnsi="arial" w:cs="arial"/>
          <w:b w:val="0"/>
          <w:i w:val="0"/>
          <w:strike w:val="0"/>
          <w:noProof w:val="0"/>
          <w:color w:val="000000"/>
          <w:position w:val="0"/>
          <w:sz w:val="20"/>
          <w:u w:val="none"/>
          <w:vertAlign w:val="baseline"/>
        </w:rPr>
        <w:t>, attaching what he described as certified translations of several of the Arabic-language documents attached to his previous declaration (including a</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translation of "Mr. Mensli's court filings" in Libya, which were intended to "delay enforcement of Decision 122 [sic] in order to assert his claimed leadership of LARMO - something he currently does not have." Arif 7/13/23 Decl. (Dkt 22) ¶¶ 5-9 &amp; Ex. 4 (Dkt. 22-4).</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Mr. Arif concludes:</w:t>
      </w:r>
    </w:p>
    <w:p>
      <w:pPr>
        <w:keepNext w:val="0"/>
        <w:spacing w:after="0" w:line="260" w:lineRule="atLeast"/>
        <w:ind w:left="400" w:right="0" w:firstLine="0"/>
        <w:jc w:val="both"/>
      </w:pPr>
      <w:bookmarkStart w:id="40" w:name="Bookmark_para_20"/>
      <w:bookmarkEnd w:id="40"/>
      <w:r>
        <w:rPr>
          <w:rFonts w:ascii="arial" w:eastAsia="arial" w:hAnsi="arial" w:cs="arial"/>
          <w:b w:val="0"/>
          <w:i w:val="0"/>
          <w:strike w:val="0"/>
          <w:noProof w:val="0"/>
          <w:color w:val="000000"/>
          <w:position w:val="0"/>
          <w:sz w:val="20"/>
          <w:u w:val="none"/>
          <w:vertAlign w:val="baseline"/>
        </w:rPr>
        <w:t>Given that Mr. Mensli's application remains pending and that he has entrusted his fate to the Libyan courts, I would like to highlight for this Court that I am more than willing to do the same. I would respectfully request that the Court either grant our application or in the alternative, abstain from issuing a ruling on the Application while Mr. Mensli's enforcement delay request remains pending. Once the Libyan courts issue their decision, which should be very soon, this Court will be provided with a copy of the judgment. In the event that the Libyan court denies the relief Mr. Mensli[] seeks, which I am confident it will, there can be no remaining basis to question the Supreme Court's ruling confirming the Presidential Council's control of LARMO.</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 Once again, Mr. Arif does not mention Mr. Mensli's ongoing activities "on the world stage" on behalf of LARMO.</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H.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i w:val="0"/>
          <w:strike w:val="0"/>
          <w:noProof w:val="0"/>
          <w:color w:val="000000"/>
          <w:position w:val="0"/>
          <w:sz w:val="20"/>
          <w:u w:val="none"/>
          <w:vertAlign w:val="baseline"/>
        </w:rPr>
        <w:t xml:space="preserve"> Third Mensli Letter</w:t>
      </w:r>
    </w:p>
    <w:p>
      <w:pPr>
        <w:keepNext w:val="0"/>
        <w:spacing w:before="200" w:after="0" w:line="260" w:lineRule="atLeast"/>
        <w:ind w:left="0" w:right="0" w:firstLine="0"/>
        <w:jc w:val="both"/>
      </w:pPr>
      <w:bookmarkStart w:id="42" w:name="Bookmark_para_21"/>
      <w:bookmarkEnd w:id="42"/>
      <w:r>
        <w:rPr>
          <w:rFonts w:ascii="arial" w:eastAsia="arial" w:hAnsi="arial" w:cs="arial"/>
          <w:b w:val="0"/>
          <w:i w:val="0"/>
          <w:strike w:val="0"/>
          <w:noProof w:val="0"/>
          <w:color w:val="000000"/>
          <w:position w:val="0"/>
          <w:sz w:val="20"/>
          <w:u w:val="none"/>
          <w:vertAlign w:val="baseline"/>
        </w:rPr>
        <w:t xml:space="preserve">In his third unsworn letter, filed on August 21, 2023, Mr. Mensli attaches another English-language "unofficial translation" of the circular discussed in his previous letter - still undated and unsigned, but now bearing what appears to be a LARMO seal or stamp. Mensli 8/21/23 Ltr. at ECF p. 4. Additionally, he states that "Mr. Esam lbraheem al-Falah, former member of the board of the LARMO has . . . forwarded a written statement to my office expressing support and dearly distancing himself from and denying any knowledge of content for his name to be used by Mr. Anwar Arif."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ECF p. 2.</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Once again avoiding any discussion of the Libyan legal proceedings on which Arif relies, Mr. Mensli reiterates his view that "Mr. Arif is, put simply, no longer the Director of the LARMO."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Claiming to speak "on behalf of the Libyan Asset Recovery &amp; Management Office, and the Government of Libya," Mr. Mensli concludes by repeating his request for "a decision in support of our ongoing work[.]"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Ben Mahmud and Khamis Declarations</w:t>
      </w:r>
    </w:p>
    <w:p>
      <w:pPr>
        <w:keepNext w:val="0"/>
        <w:spacing w:before="200" w:after="0" w:line="260" w:lineRule="atLeast"/>
        <w:ind w:left="0" w:right="0" w:firstLine="0"/>
        <w:jc w:val="both"/>
      </w:pPr>
      <w:bookmarkStart w:id="44" w:name="Bookmark_para_22"/>
      <w:bookmarkEnd w:id="44"/>
      <w:r>
        <w:rPr>
          <w:rFonts w:ascii="arial" w:eastAsia="arial" w:hAnsi="arial" w:cs="arial"/>
          <w:b w:val="0"/>
          <w:i w:val="0"/>
          <w:strike w:val="0"/>
          <w:noProof w:val="0"/>
          <w:color w:val="000000"/>
          <w:position w:val="0"/>
          <w:sz w:val="20"/>
          <w:u w:val="none"/>
          <w:vertAlign w:val="baseline"/>
        </w:rPr>
        <w:t xml:space="preserve">Finally, on September 7, 2023, the applicant filed two declarations, signed under penalty of perjury pursuant to </w:t>
      </w:r>
      <w:hyperlink r:id="rId12" w:history="1">
        <w:r>
          <w:rPr>
            <w:rFonts w:ascii="arial" w:eastAsia="arial" w:hAnsi="arial" w:cs="arial"/>
            <w:b w:val="0"/>
            <w:i/>
            <w:strike w:val="0"/>
            <w:noProof w:val="0"/>
            <w:color w:val="0077CC"/>
            <w:position w:val="0"/>
            <w:sz w:val="20"/>
            <w:u w:val="single"/>
            <w:vertAlign w:val="baseline"/>
          </w:rPr>
          <w:t>28 U.S.C. § 1746</w:t>
        </w:r>
      </w:hyperlink>
      <w:r>
        <w:rPr>
          <w:rFonts w:ascii="arial" w:eastAsia="arial" w:hAnsi="arial" w:cs="arial"/>
          <w:b w:val="0"/>
          <w:i w:val="0"/>
          <w:strike w:val="0"/>
          <w:noProof w:val="0"/>
          <w:color w:val="000000"/>
          <w:position w:val="0"/>
          <w:sz w:val="20"/>
          <w:u w:val="none"/>
          <w:vertAlign w:val="baseline"/>
        </w:rPr>
        <w:t>, from the two LARMO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board members who asked that their salaries be paid. Galeleddin Omar Ramadan Ben Mahmud, who states that he resigned from the LARMO board for personal reasons, and Mohmed Farej Khamis, who describes himself as a current LARMO board member, back Mr. Arif's claim to be the "proper head of LARMO." Ben Mahmud Decl. (Dkt. 25) ¶ 7; Khamis Decl. (Dkt. 26) ¶ 5. Both attest that Arif led LARMO when it was established by the Presidential Council in 2017; that in 2021, the Prime Minister moved to take control of LARMO and replace Arif with Mensli; but that LARMO brought a lawsuit and "[t]he first-instance court ruled in our favor, and the Supreme Court confirmed that ruling." Ben Mahmud Decl. ¶¶ 2-3; Khamis Decl. ¶¶ 2-3. Both declarants state that they fully support LARMO's "important mission," and believe that the "the application which is the subject of these proceedings seeks to further LARMO's important goals." Ben Mahmud Decl. ¶ 7; Khamis Decl. ¶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COUNSEL'S AUTHORITY TO REPRESENT LARMO</w:t>
      </w:r>
    </w:p>
    <w:p>
      <w:pPr>
        <w:keepNext w:val="0"/>
        <w:spacing w:before="200" w:after="0" w:line="260" w:lineRule="atLeast"/>
        <w:ind w:left="0" w:right="0" w:firstLine="0"/>
        <w:jc w:val="both"/>
      </w:pPr>
      <w:bookmarkStart w:id="45" w:name="Bookmark_para_23"/>
      <w:bookmarkEnd w:id="45"/>
      <w:r>
        <w:rPr>
          <w:rFonts w:ascii="arial" w:eastAsia="arial" w:hAnsi="arial" w:cs="arial"/>
          <w:b w:val="0"/>
          <w:i w:val="0"/>
          <w:strike w:val="0"/>
          <w:noProof w:val="0"/>
          <w:color w:val="000000"/>
          <w:position w:val="0"/>
          <w:sz w:val="20"/>
          <w:u w:val="none"/>
          <w:vertAlign w:val="baseline"/>
        </w:rPr>
        <w:t xml:space="preserve">The Court agrees with attorney Warshavsky that, as to any legal proceeding that may be brought by LARMO to recover Libyan assets, LARMO will be "an 'interested person' within the meaning of </w:t>
      </w:r>
      <w:hyperlink r:id="rId10" w:history="1">
        <w:r>
          <w:rPr>
            <w:rFonts w:ascii="arial" w:eastAsia="arial" w:hAnsi="arial" w:cs="arial"/>
            <w:b w:val="0"/>
            <w:i/>
            <w:strike w:val="0"/>
            <w:noProof w:val="0"/>
            <w:color w:val="0077CC"/>
            <w:position w:val="0"/>
            <w:sz w:val="20"/>
            <w:u w:val="single"/>
            <w:vertAlign w:val="baseline"/>
          </w:rPr>
          <w:t>28 U.S.C. § 1782</w:t>
        </w:r>
      </w:hyperlink>
      <w:r>
        <w:rPr>
          <w:rFonts w:ascii="arial" w:eastAsia="arial" w:hAnsi="arial" w:cs="arial"/>
          <w:b w:val="0"/>
          <w:i w:val="0"/>
          <w:strike w:val="0"/>
          <w:noProof w:val="0"/>
          <w:color w:val="000000"/>
          <w:position w:val="0"/>
          <w:sz w:val="20"/>
          <w:u w:val="none"/>
          <w:vertAlign w:val="baseline"/>
        </w:rPr>
        <w:t>," regardless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whether Mr. Arif or Mr. Mensli is its rightful leader. Warshavsky 5/18/23 Ltr. at 2.</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That is not, however, the threshold question presented by Mr. Mensli. Mensli asks this Court to "dismiss or dispose of the [A]pplication, as currently presented," because he did not authorize its lawyers - B&amp;H and H&amp;K - to file this action or otherwise act on LARMO's behalf in this Court. Mensli 12/17/21 Ltr. at ECF p. 2.</w:t>
      </w:r>
    </w:p>
    <w:p>
      <w:pPr>
        <w:keepNext w:val="0"/>
        <w:spacing w:before="240" w:after="0" w:line="260" w:lineRule="atLeast"/>
        <w:ind w:left="0" w:right="0" w:firstLine="0"/>
        <w:jc w:val="both"/>
      </w:pPr>
      <w:bookmarkStart w:id="47" w:name="Bookmark_para_24"/>
      <w:bookmarkEnd w:id="47"/>
      <w:bookmarkStart w:id="48" w:name="Bookmark_I6BB15B62D6N9K0040000400"/>
      <w:bookmarkEnd w:id="48"/>
      <w:r>
        <w:rPr>
          <w:rFonts w:ascii="arial" w:eastAsia="arial" w:hAnsi="arial" w:cs="arial"/>
          <w:b w:val="0"/>
          <w:i w:val="0"/>
          <w:strike w:val="0"/>
          <w:noProof w:val="0"/>
          <w:color w:val="000000"/>
          <w:position w:val="0"/>
          <w:sz w:val="20"/>
          <w:u w:val="none"/>
          <w:vertAlign w:val="baseline"/>
        </w:rPr>
        <w:t xml:space="preserve">District courts can and do resolve challenges of this nature. </w:t>
      </w:r>
      <w:r>
        <w:rPr>
          <w:rFonts w:ascii="arial" w:eastAsia="arial" w:hAnsi="arial" w:cs="arial"/>
          <w:b w:val="0"/>
          <w:i/>
          <w:strike w:val="0"/>
          <w:noProof w:val="0"/>
          <w:color w:val="000000"/>
          <w:position w:val="0"/>
          <w:sz w:val="20"/>
          <w:u w:val="none"/>
          <w:vertAlign w:val="baseline"/>
        </w:rPr>
        <w:t xml:space="preserve">See, e.g., </w:t>
      </w:r>
      <w:bookmarkStart w:id="49" w:name="Bookmark_I6BB15B62D6N9K0030000400"/>
      <w:bookmarkEnd w:id="49"/>
      <w:hyperlink r:id="rId13" w:history="1">
        <w:r>
          <w:rPr>
            <w:rFonts w:ascii="arial" w:eastAsia="arial" w:hAnsi="arial" w:cs="arial"/>
            <w:b w:val="0"/>
            <w:i/>
            <w:strike w:val="0"/>
            <w:noProof w:val="0"/>
            <w:color w:val="0077CC"/>
            <w:position w:val="0"/>
            <w:sz w:val="20"/>
            <w:u w:val="single"/>
            <w:vertAlign w:val="baseline"/>
          </w:rPr>
          <w:t>Caballero v. Fuerzas Armadas Revolucionarias de Columbia</w:t>
        </w:r>
      </w:hyperlink>
      <w:hyperlink r:id="rId13" w:history="1">
        <w:r>
          <w:rPr>
            <w:rFonts w:ascii="arial" w:eastAsia="arial" w:hAnsi="arial" w:cs="arial"/>
            <w:b w:val="0"/>
            <w:i/>
            <w:strike w:val="0"/>
            <w:noProof w:val="0"/>
            <w:color w:val="0077CC"/>
            <w:position w:val="0"/>
            <w:sz w:val="20"/>
            <w:u w:val="single"/>
            <w:vertAlign w:val="baseline"/>
          </w:rPr>
          <w:t>, 2021 U.S. Dist. LEXIS 90029, 2021 WL 1884110 (W.D.N.Y. May 11, 2021) (</w:t>
        </w:r>
      </w:hyperlink>
      <w:hyperlink r:id="rId13" w:history="1">
        <w:r>
          <w:rPr>
            <w:rFonts w:ascii="arial" w:eastAsia="arial" w:hAnsi="arial" w:cs="arial"/>
            <w:b w:val="0"/>
            <w:i/>
            <w:strike w:val="0"/>
            <w:noProof w:val="0"/>
            <w:color w:val="0077CC"/>
            <w:position w:val="0"/>
            <w:sz w:val="20"/>
            <w:u w:val="single"/>
            <w:vertAlign w:val="baseline"/>
          </w:rPr>
          <w:t>Caballero I</w:t>
        </w:r>
      </w:hyperlink>
      <w:hyperlink r:id="rId1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reconsideration denied sub nom. </w:t>
      </w:r>
      <w:bookmarkStart w:id="50" w:name="Bookmark_I6BB15B62D6N9K0050000400"/>
      <w:bookmarkEnd w:id="50"/>
      <w:hyperlink r:id="rId14" w:history="1">
        <w:r>
          <w:rPr>
            <w:rFonts w:ascii="arial" w:eastAsia="arial" w:hAnsi="arial" w:cs="arial"/>
            <w:b w:val="0"/>
            <w:i/>
            <w:strike w:val="0"/>
            <w:noProof w:val="0"/>
            <w:color w:val="0077CC"/>
            <w:position w:val="0"/>
            <w:sz w:val="20"/>
            <w:u w:val="single"/>
            <w:vertAlign w:val="baseline"/>
          </w:rPr>
          <w:t>Caballero v. Fuerzas Armadas Revolucionarias de Colombia</w:t>
        </w:r>
      </w:hyperlink>
      <w:hyperlink r:id="rId14" w:history="1">
        <w:r>
          <w:rPr>
            <w:rFonts w:ascii="arial" w:eastAsia="arial" w:hAnsi="arial" w:cs="arial"/>
            <w:b w:val="0"/>
            <w:i/>
            <w:strike w:val="0"/>
            <w:noProof w:val="0"/>
            <w:color w:val="0077CC"/>
            <w:position w:val="0"/>
            <w:sz w:val="20"/>
            <w:u w:val="single"/>
            <w:vertAlign w:val="baseline"/>
          </w:rPr>
          <w:t>, 2022 U.S. Dist. LEXIS 3701, 2022 WL 71662 (W.D.N.Y. Jan. 7, 2022)</w:t>
        </w:r>
      </w:hyperlink>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bookmarkStart w:id="54" w:name="Bookmark_I69P8NPS2HM6NB0010000400"/>
      <w:bookmarkEnd w:id="54"/>
      <w:hyperlink r:id="rId15" w:history="1">
        <w:r>
          <w:rPr>
            <w:rFonts w:ascii="arial" w:eastAsia="arial" w:hAnsi="arial" w:cs="arial"/>
            <w:b w:val="0"/>
            <w:i/>
            <w:strike w:val="0"/>
            <w:noProof w:val="0"/>
            <w:color w:val="0077CC"/>
            <w:position w:val="0"/>
            <w:sz w:val="20"/>
            <w:u w:val="single"/>
            <w:vertAlign w:val="baseline"/>
          </w:rPr>
          <w:t>Caballero v. Fuerzas Armadas Revolucionarias de</w:t>
        </w:r>
      </w:hyperlink>
      <w:hyperlink r:id="rId15" w:history="1">
        <w:r>
          <w:rPr>
            <w:rFonts w:ascii="arial" w:eastAsia="arial" w:hAnsi="arial" w:cs="arial"/>
            <w:b w:val="0"/>
            <w:i/>
            <w:strike w:val="0"/>
            <w:noProof w:val="0"/>
            <w:color w:val="0077CC"/>
            <w:position w:val="0"/>
            <w:sz w:val="20"/>
            <w:u w:val="single"/>
            <w:vertAlign w:val="baseline"/>
          </w:rPr>
          <w:t xml:space="preserve"> </w:t>
        </w:r>
      </w:hyperlink>
      <w:hyperlink r:id="rId15" w:history="1">
        <w:r>
          <w:rPr>
            <w:rFonts w:ascii="arial" w:eastAsia="arial" w:hAnsi="arial" w:cs="arial"/>
            <w:b w:val="0"/>
            <w:i/>
            <w:strike w:val="0"/>
            <w:noProof w:val="0"/>
            <w:color w:val="0077CC"/>
            <w:position w:val="0"/>
            <w:sz w:val="20"/>
            <w:u w:val="single"/>
            <w:vertAlign w:val="baseline"/>
          </w:rPr>
          <w:t>Colombia</w:t>
        </w:r>
      </w:hyperlink>
      <w:hyperlink r:id="rId15" w:history="1">
        <w:r>
          <w:rPr>
            <w:rFonts w:ascii="arial" w:eastAsia="arial" w:hAnsi="arial" w:cs="arial"/>
            <w:b w:val="0"/>
            <w:i/>
            <w:strike w:val="0"/>
            <w:noProof w:val="0"/>
            <w:color w:val="0077CC"/>
            <w:position w:val="0"/>
            <w:sz w:val="20"/>
            <w:u w:val="single"/>
            <w:vertAlign w:val="baseline"/>
          </w:rPr>
          <w:t>, 579 F. Supp. 3d 315 (D. Conn. 2022) (</w:t>
        </w:r>
      </w:hyperlink>
      <w:hyperlink r:id="rId15" w:history="1">
        <w:r>
          <w:rPr>
            <w:rFonts w:ascii="arial" w:eastAsia="arial" w:hAnsi="arial" w:cs="arial"/>
            <w:b w:val="0"/>
            <w:i/>
            <w:strike w:val="0"/>
            <w:noProof w:val="0"/>
            <w:color w:val="0077CC"/>
            <w:position w:val="0"/>
            <w:sz w:val="20"/>
            <w:u w:val="single"/>
            <w:vertAlign w:val="baseline"/>
          </w:rPr>
          <w:t>Caballero II</w:t>
        </w:r>
      </w:hyperlink>
      <w:hyperlink r:id="rId1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appeal dismissed, mandamus denied sub nom. </w:t>
      </w:r>
      <w:bookmarkStart w:id="55" w:name="Bookmark_I69P8NPS2HM6NB0030000400"/>
      <w:bookmarkEnd w:id="55"/>
      <w:hyperlink r:id="rId16" w:history="1">
        <w:r>
          <w:rPr>
            <w:rFonts w:ascii="arial" w:eastAsia="arial" w:hAnsi="arial" w:cs="arial"/>
            <w:b w:val="0"/>
            <w:i/>
            <w:strike w:val="0"/>
            <w:noProof w:val="0"/>
            <w:color w:val="0077CC"/>
            <w:position w:val="0"/>
            <w:sz w:val="20"/>
            <w:u w:val="single"/>
            <w:vertAlign w:val="baseline"/>
          </w:rPr>
          <w:t>In re ALBA Petroleos de El Salvador S.E.M. de C.V.</w:t>
        </w:r>
      </w:hyperlink>
      <w:hyperlink r:id="rId16" w:history="1">
        <w:r>
          <w:rPr>
            <w:rFonts w:ascii="arial" w:eastAsia="arial" w:hAnsi="arial" w:cs="arial"/>
            <w:b w:val="0"/>
            <w:i/>
            <w:strike w:val="0"/>
            <w:noProof w:val="0"/>
            <w:color w:val="0077CC"/>
            <w:position w:val="0"/>
            <w:sz w:val="20"/>
            <w:u w:val="single"/>
            <w:vertAlign w:val="baseline"/>
          </w:rPr>
          <w:t>, 82 F.4th 105 (2d Cir. 2023)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In this case, however, the Court cannot entertain Mr. Mensli's challenge.</w:t>
      </w:r>
    </w:p>
    <w:p>
      <w:pPr>
        <w:keepNext w:val="0"/>
        <w:spacing w:before="240" w:after="0" w:line="260" w:lineRule="atLeast"/>
        <w:ind w:left="0" w:right="0" w:firstLine="0"/>
        <w:jc w:val="both"/>
      </w:pPr>
      <w:bookmarkStart w:id="57" w:name="Bookmark_para_25"/>
      <w:bookmarkEnd w:id="57"/>
      <w:bookmarkStart w:id="58" w:name="Bookmark_I6BB15B728T4YV0050000400"/>
      <w:bookmarkEnd w:id="58"/>
      <w:r>
        <w:rPr>
          <w:rFonts w:ascii="arial" w:eastAsia="arial" w:hAnsi="arial" w:cs="arial"/>
          <w:b w:val="0"/>
          <w:i w:val="0"/>
          <w:strike w:val="0"/>
          <w:noProof w:val="0"/>
          <w:color w:val="000000"/>
          <w:position w:val="0"/>
          <w:sz w:val="20"/>
          <w:u w:val="none"/>
          <w:vertAlign w:val="baseline"/>
        </w:rPr>
        <w:t xml:space="preserve">First, regardless of his </w:t>
      </w:r>
      <w:r>
        <w:rPr>
          <w:rFonts w:ascii="arial" w:eastAsia="arial" w:hAnsi="arial" w:cs="arial"/>
          <w:b w:val="0"/>
          <w:i/>
          <w:strike w:val="0"/>
          <w:noProof w:val="0"/>
          <w:color w:val="000000"/>
          <w:position w:val="0"/>
          <w:sz w:val="20"/>
          <w:u w:val="none"/>
          <w:vertAlign w:val="baseline"/>
        </w:rPr>
        <w:t>bona fides</w:t>
      </w:r>
      <w:r>
        <w:rPr>
          <w:rFonts w:ascii="arial" w:eastAsia="arial" w:hAnsi="arial" w:cs="arial"/>
          <w:b w:val="0"/>
          <w:i w:val="0"/>
          <w:strike w:val="0"/>
          <w:noProof w:val="0"/>
          <w:color w:val="000000"/>
          <w:position w:val="0"/>
          <w:sz w:val="20"/>
          <w:u w:val="none"/>
          <w:vertAlign w:val="baseline"/>
        </w:rPr>
        <w:t xml:space="preserve"> as Director General of LARMO, Mr. Mensli cannot speak for it in this (or any) federal court, because he is not a licensed attorney. </w:t>
      </w:r>
      <w:bookmarkStart w:id="59" w:name="Bookmark_I6BB15B72SF7TP0020000400"/>
      <w:bookmarkEnd w:id="59"/>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Lattanzio v. COMTA</w:t>
        </w:r>
      </w:hyperlink>
      <w:hyperlink r:id="rId17" w:history="1">
        <w:r>
          <w:rPr>
            <w:rFonts w:ascii="arial" w:eastAsia="arial" w:hAnsi="arial" w:cs="arial"/>
            <w:b w:val="0"/>
            <w:i/>
            <w:strike w:val="0"/>
            <w:noProof w:val="0"/>
            <w:color w:val="0077CC"/>
            <w:position w:val="0"/>
            <w:sz w:val="20"/>
            <w:u w:val="single"/>
            <w:vertAlign w:val="baseline"/>
          </w:rPr>
          <w:t>, 481 F.3d 137, 139 (2d Cir. 2007)</w:t>
        </w:r>
      </w:hyperlink>
      <w:r>
        <w:rPr>
          <w:rFonts w:ascii="arial" w:eastAsia="arial" w:hAnsi="arial" w:cs="arial"/>
          <w:b w:val="0"/>
          <w:i w:val="0"/>
          <w:strike w:val="0"/>
          <w:noProof w:val="0"/>
          <w:color w:val="000000"/>
          <w:position w:val="0"/>
          <w:sz w:val="20"/>
          <w:u w:val="none"/>
          <w:vertAlign w:val="baseline"/>
        </w:rPr>
        <w:t xml:space="preserve"> ("a layperson may not represent a separate legal entity such as a corporation"); </w:t>
      </w:r>
      <w:hyperlink r:id="rId15" w:history="1">
        <w:r>
          <w:rPr>
            <w:rFonts w:ascii="arial" w:eastAsia="arial" w:hAnsi="arial" w:cs="arial"/>
            <w:b w:val="0"/>
            <w:i/>
            <w:strike w:val="0"/>
            <w:noProof w:val="0"/>
            <w:color w:val="0077CC"/>
            <w:position w:val="0"/>
            <w:sz w:val="20"/>
            <w:u w:val="single"/>
            <w:vertAlign w:val="baseline"/>
          </w:rPr>
          <w:t>Caballero II</w:t>
        </w:r>
      </w:hyperlink>
      <w:hyperlink r:id="rId15" w:history="1">
        <w:r>
          <w:rPr>
            <w:rFonts w:ascii="arial" w:eastAsia="arial" w:hAnsi="arial" w:cs="arial"/>
            <w:b w:val="0"/>
            <w:i/>
            <w:strike w:val="0"/>
            <w:noProof w:val="0"/>
            <w:color w:val="0077CC"/>
            <w:position w:val="0"/>
            <w:sz w:val="20"/>
            <w:u w:val="single"/>
            <w:vertAlign w:val="baseline"/>
          </w:rPr>
          <w:t>, 579 F.3d at 319</w:t>
        </w:r>
      </w:hyperlink>
      <w:r>
        <w:rPr>
          <w:rFonts w:ascii="arial" w:eastAsia="arial" w:hAnsi="arial" w:cs="arial"/>
          <w:b w:val="0"/>
          <w:i w:val="0"/>
          <w:strike w:val="0"/>
          <w:noProof w:val="0"/>
          <w:color w:val="000000"/>
          <w:position w:val="0"/>
          <w:sz w:val="20"/>
          <w:u w:val="none"/>
          <w:vertAlign w:val="baseline"/>
        </w:rPr>
        <w:t xml:space="preserve"> (if a party is an "artificial entity," including a government-owned corporation, "federal law requires the appearance and assistance of licensed counsel"). Libyan government officials are or should be aware of this well-settled feature of American jurisprudence, having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run afoul of it in at least one recent federal case. </w:t>
      </w:r>
      <w:r>
        <w:rPr>
          <w:rFonts w:ascii="arial" w:eastAsia="arial" w:hAnsi="arial" w:cs="arial"/>
          <w:b w:val="0"/>
          <w:i/>
          <w:strike w:val="0"/>
          <w:noProof w:val="0"/>
          <w:color w:val="000000"/>
          <w:position w:val="0"/>
          <w:sz w:val="20"/>
          <w:u w:val="none"/>
          <w:vertAlign w:val="baseline"/>
        </w:rPr>
        <w:t xml:space="preserve">See </w:t>
      </w:r>
      <w:bookmarkStart w:id="60" w:name="Bookmark_I6BB15B728T4YV0040000400"/>
      <w:bookmarkEnd w:id="60"/>
      <w:hyperlink r:id="rId18" w:history="1">
        <w:r>
          <w:rPr>
            <w:rFonts w:ascii="arial" w:eastAsia="arial" w:hAnsi="arial" w:cs="arial"/>
            <w:b w:val="0"/>
            <w:i/>
            <w:strike w:val="0"/>
            <w:noProof w:val="0"/>
            <w:color w:val="0077CC"/>
            <w:position w:val="0"/>
            <w:sz w:val="20"/>
            <w:u w:val="single"/>
            <w:vertAlign w:val="baseline"/>
          </w:rPr>
          <w:t>Rhuma v. Libya</w:t>
        </w:r>
      </w:hyperlink>
      <w:hyperlink r:id="rId18" w:history="1">
        <w:r>
          <w:rPr>
            <w:rFonts w:ascii="arial" w:eastAsia="arial" w:hAnsi="arial" w:cs="arial"/>
            <w:b w:val="0"/>
            <w:i/>
            <w:strike w:val="0"/>
            <w:noProof w:val="0"/>
            <w:color w:val="0077CC"/>
            <w:position w:val="0"/>
            <w:sz w:val="20"/>
            <w:u w:val="single"/>
            <w:vertAlign w:val="baseline"/>
          </w:rPr>
          <w:t>, 2023 U.S. Dist. LEXIS 54025, 2023 WL 2696776, at *4 (E.D. Cal. Mar. 29, 2023)</w:t>
        </w:r>
      </w:hyperlink>
      <w:r>
        <w:rPr>
          <w:rFonts w:ascii="arial" w:eastAsia="arial" w:hAnsi="arial" w:cs="arial"/>
          <w:b w:val="0"/>
          <w:i w:val="0"/>
          <w:strike w:val="0"/>
          <w:noProof w:val="0"/>
          <w:color w:val="000000"/>
          <w:position w:val="0"/>
          <w:sz w:val="20"/>
          <w:u w:val="none"/>
          <w:vertAlign w:val="baseline"/>
        </w:rPr>
        <w:t xml:space="preserve"> (refusing to accept an "answer" signed by the Director of Libya's Ministry of Foreign Affairs because, even assuming that the Ministry of Foreign Affairs was authorized to conduct U.S. litigation on behalf of the Libyan State, "the Minister himself would not be able to appear or file documents except through counsel"), </w:t>
      </w:r>
      <w:r>
        <w:rPr>
          <w:rFonts w:ascii="arial" w:eastAsia="arial" w:hAnsi="arial" w:cs="arial"/>
          <w:b w:val="0"/>
          <w:i/>
          <w:strike w:val="0"/>
          <w:noProof w:val="0"/>
          <w:color w:val="000000"/>
          <w:position w:val="0"/>
          <w:sz w:val="20"/>
          <w:u w:val="none"/>
          <w:vertAlign w:val="baseline"/>
        </w:rPr>
        <w:t>report and recommendation rejected on other grounds</w:t>
      </w:r>
      <w:r>
        <w:rPr>
          <w:rFonts w:ascii="arial" w:eastAsia="arial" w:hAnsi="arial" w:cs="arial"/>
          <w:b w:val="0"/>
          <w:i w:val="0"/>
          <w:strike w:val="0"/>
          <w:noProof w:val="0"/>
          <w:color w:val="000000"/>
          <w:position w:val="0"/>
          <w:sz w:val="20"/>
          <w:u w:val="none"/>
          <w:vertAlign w:val="baseline"/>
        </w:rPr>
        <w:t xml:space="preserve">, </w:t>
      </w:r>
      <w:bookmarkStart w:id="61" w:name="Bookmark_I69P8NPT2D6P010050000400"/>
      <w:bookmarkEnd w:id="61"/>
      <w:hyperlink r:id="rId19" w:history="1">
        <w:r>
          <w:rPr>
            <w:rFonts w:ascii="arial" w:eastAsia="arial" w:hAnsi="arial" w:cs="arial"/>
            <w:b w:val="0"/>
            <w:i/>
            <w:strike w:val="0"/>
            <w:noProof w:val="0"/>
            <w:color w:val="0077CC"/>
            <w:position w:val="0"/>
            <w:sz w:val="20"/>
            <w:u w:val="single"/>
            <w:vertAlign w:val="baseline"/>
          </w:rPr>
          <w:t>2023 U.S. Dist. LEXIS 159802, 2023 WL 5817713 (E.D. Cal. Sept. 8, 2023)</w:t>
        </w:r>
      </w:hyperlink>
      <w:r>
        <w:rPr>
          <w:rFonts w:ascii="arial" w:eastAsia="arial" w:hAnsi="arial" w:cs="arial"/>
          <w:b w:val="0"/>
          <w:i w:val="0"/>
          <w:strike w:val="0"/>
          <w:noProof w:val="0"/>
          <w:color w:val="000000"/>
          <w:position w:val="0"/>
          <w:sz w:val="20"/>
          <w:u w:val="none"/>
          <w:vertAlign w:val="baseline"/>
        </w:rPr>
        <w:t xml:space="preserve">. </w:t>
      </w:r>
      <w:bookmarkStart w:id="62" w:name="Bookmark_I6BB15B72SF7TP0020000400_2"/>
      <w:bookmarkEnd w:id="62"/>
      <w:r>
        <w:rPr>
          <w:rFonts w:ascii="arial" w:eastAsia="arial" w:hAnsi="arial" w:cs="arial"/>
          <w:b w:val="0"/>
          <w:i w:val="0"/>
          <w:strike w:val="0"/>
          <w:noProof w:val="0"/>
          <w:color w:val="000000"/>
          <w:position w:val="0"/>
          <w:sz w:val="20"/>
          <w:u w:val="none"/>
          <w:vertAlign w:val="baseline"/>
        </w:rPr>
        <w:t xml:space="preserve">Nonetheless - unlike the competing officials in </w:t>
      </w:r>
      <w:r>
        <w:rPr>
          <w:rFonts w:ascii="arial" w:eastAsia="arial" w:hAnsi="arial" w:cs="arial"/>
          <w:b w:val="0"/>
          <w:i/>
          <w:strike w:val="0"/>
          <w:noProof w:val="0"/>
          <w:color w:val="000000"/>
          <w:position w:val="0"/>
          <w:sz w:val="20"/>
          <w:u w:val="none"/>
          <w:vertAlign w:val="baseline"/>
        </w:rPr>
        <w:t>Caballero 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 xml:space="preserve"> - Mr. Mensli made no effort to retain counsel of his own choosing to appear on LARMO's behalf in place of B&amp;H and H&amp;K. Consequently, although Mr. Mensli claims in his letters to be speaking for "the Government of Libya," Mensli 7/11/23 Ltr. at ECF p. 3; </w:t>
      </w:r>
      <w:r>
        <w:rPr>
          <w:rFonts w:ascii="arial" w:eastAsia="arial" w:hAnsi="arial" w:cs="arial"/>
          <w:b w:val="0"/>
          <w:i/>
          <w:strike w:val="0"/>
          <w:noProof w:val="0"/>
          <w:color w:val="000000"/>
          <w:position w:val="0"/>
          <w:sz w:val="20"/>
          <w:u w:val="none"/>
          <w:vertAlign w:val="baseline"/>
        </w:rPr>
        <w:t>accord</w:t>
      </w:r>
      <w:r>
        <w:rPr>
          <w:rFonts w:ascii="arial" w:eastAsia="arial" w:hAnsi="arial" w:cs="arial"/>
          <w:b w:val="0"/>
          <w:i w:val="0"/>
          <w:strike w:val="0"/>
          <w:noProof w:val="0"/>
          <w:color w:val="000000"/>
          <w:position w:val="0"/>
          <w:sz w:val="20"/>
          <w:u w:val="none"/>
          <w:vertAlign w:val="baseline"/>
        </w:rPr>
        <w:t xml:space="preserve">, Mensli 8/21/23 Ltr. at ECF p. 2, his request that this Court "dismiss or dispose of the [A]pplication," Mensli 12/17/21 Ltr. at ECF p. 2, has "no legal effect whatsoever." </w:t>
      </w:r>
      <w:bookmarkStart w:id="63" w:name="Bookmark_I6BB15B72SF7TP0010000400"/>
      <w:bookmarkEnd w:id="63"/>
      <w:hyperlink r:id="rId18" w:history="1">
        <w:r>
          <w:rPr>
            <w:rFonts w:ascii="arial" w:eastAsia="arial" w:hAnsi="arial" w:cs="arial"/>
            <w:b w:val="0"/>
            <w:i/>
            <w:strike w:val="0"/>
            <w:noProof w:val="0"/>
            <w:color w:val="0077CC"/>
            <w:position w:val="0"/>
            <w:sz w:val="20"/>
            <w:u w:val="single"/>
            <w:vertAlign w:val="baseline"/>
          </w:rPr>
          <w:t>Rhuma v. Libya</w:t>
        </w:r>
      </w:hyperlink>
      <w:hyperlink r:id="rId18" w:history="1">
        <w:r>
          <w:rPr>
            <w:rFonts w:ascii="arial" w:eastAsia="arial" w:hAnsi="arial" w:cs="arial"/>
            <w:b w:val="0"/>
            <w:i/>
            <w:strike w:val="0"/>
            <w:noProof w:val="0"/>
            <w:color w:val="0077CC"/>
            <w:position w:val="0"/>
            <w:sz w:val="20"/>
            <w:u w:val="single"/>
            <w:vertAlign w:val="baseline"/>
          </w:rPr>
          <w:t>, 2023 U.S. Dist. LEXIS 54025, 2023 WL 2696776, at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26"/>
      <w:bookmarkEnd w:id="64"/>
      <w:r>
        <w:rPr>
          <w:rFonts w:ascii="arial" w:eastAsia="arial" w:hAnsi="arial" w:cs="arial"/>
          <w:b w:val="0"/>
          <w:i w:val="0"/>
          <w:strike w:val="0"/>
          <w:noProof w:val="0"/>
          <w:color w:val="000000"/>
          <w:position w:val="0"/>
          <w:sz w:val="20"/>
          <w:u w:val="none"/>
          <w:vertAlign w:val="baseline"/>
        </w:rPr>
        <w:t xml:space="preserve">Second, Mr. Mensli's unsworn letters - even if proffered by counsel - could not overcome the "uniform" and "ancient" presumption that an attorney at law who appears on behalf of a party has the authority to do so. </w:t>
      </w:r>
      <w:hyperlink r:id="rId20" w:history="1">
        <w:r>
          <w:rPr>
            <w:rFonts w:ascii="arial" w:eastAsia="arial" w:hAnsi="arial" w:cs="arial"/>
            <w:b w:val="0"/>
            <w:i/>
            <w:strike w:val="0"/>
            <w:noProof w:val="0"/>
            <w:color w:val="0077CC"/>
            <w:position w:val="0"/>
            <w:sz w:val="20"/>
            <w:u w:val="single"/>
            <w:vertAlign w:val="baseline"/>
          </w:rPr>
          <w:t>Communist Party of U.S.A. v. Comm'r</w:t>
        </w:r>
      </w:hyperlink>
      <w:hyperlink r:id="rId20" w:history="1">
        <w:r>
          <w:rPr>
            <w:rFonts w:ascii="arial" w:eastAsia="arial" w:hAnsi="arial" w:cs="arial"/>
            <w:b w:val="0"/>
            <w:i/>
            <w:strike w:val="0"/>
            <w:noProof w:val="0"/>
            <w:color w:val="0077CC"/>
            <w:position w:val="0"/>
            <w:sz w:val="20"/>
            <w:u w:val="single"/>
            <w:vertAlign w:val="baseline"/>
          </w:rPr>
          <w:t>, 332 F.2d 325, 328, 118 U.S. App. D.C. 125 (D.C. Cir. 1964)</w:t>
        </w:r>
      </w:hyperlink>
      <w:r>
        <w:rPr>
          <w:rFonts w:ascii="arial" w:eastAsia="arial" w:hAnsi="arial" w:cs="arial"/>
          <w:b w:val="0"/>
          <w:i w:val="0"/>
          <w:strike w:val="0"/>
          <w:noProof w:val="0"/>
          <w:color w:val="000000"/>
          <w:position w:val="0"/>
          <w:sz w:val="20"/>
          <w:u w:val="none"/>
          <w:vertAlign w:val="baseline"/>
        </w:rPr>
        <w:t xml:space="preserve"> (holding that district court erred in dismissing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Communist Party's tax petition on the ground that the Party failed to show that its counsel of record was properly authorized to initiate the case); </w:t>
      </w:r>
      <w:r>
        <w:rPr>
          <w:rFonts w:ascii="arial" w:eastAsia="arial" w:hAnsi="arial" w:cs="arial"/>
          <w:b w:val="0"/>
          <w:i/>
          <w:strike w:val="0"/>
          <w:noProof w:val="0"/>
          <w:color w:val="000000"/>
          <w:position w:val="0"/>
          <w:sz w:val="20"/>
          <w:u w:val="none"/>
          <w:vertAlign w:val="baseline"/>
        </w:rPr>
        <w:t xml:space="preserve">see also </w:t>
      </w:r>
      <w:hyperlink r:id="rId21" w:history="1">
        <w:r>
          <w:rPr>
            <w:rFonts w:ascii="arial" w:eastAsia="arial" w:hAnsi="arial" w:cs="arial"/>
            <w:b w:val="0"/>
            <w:i/>
            <w:strike w:val="0"/>
            <w:noProof w:val="0"/>
            <w:color w:val="0077CC"/>
            <w:position w:val="0"/>
            <w:sz w:val="20"/>
            <w:u w:val="single"/>
            <w:vertAlign w:val="baseline"/>
          </w:rPr>
          <w:t>Child v. Beame</w:t>
        </w:r>
      </w:hyperlink>
      <w:hyperlink r:id="rId21" w:history="1">
        <w:r>
          <w:rPr>
            <w:rFonts w:ascii="arial" w:eastAsia="arial" w:hAnsi="arial" w:cs="arial"/>
            <w:b w:val="0"/>
            <w:i/>
            <w:strike w:val="0"/>
            <w:noProof w:val="0"/>
            <w:color w:val="0077CC"/>
            <w:position w:val="0"/>
            <w:sz w:val="20"/>
            <w:u w:val="single"/>
            <w:vertAlign w:val="baseline"/>
          </w:rPr>
          <w:t>, 412 F. Supp. 593, 599 n.2 (S.D.N.Y. 1976)</w:t>
        </w:r>
      </w:hyperlink>
      <w:r>
        <w:rPr>
          <w:rFonts w:ascii="arial" w:eastAsia="arial" w:hAnsi="arial" w:cs="arial"/>
          <w:b w:val="0"/>
          <w:i w:val="0"/>
          <w:strike w:val="0"/>
          <w:noProof w:val="0"/>
          <w:color w:val="000000"/>
          <w:position w:val="0"/>
          <w:sz w:val="20"/>
          <w:u w:val="none"/>
          <w:vertAlign w:val="baseline"/>
        </w:rPr>
        <w:t xml:space="preserve"> ("The general rule is that an appearance by an attorney for a party creates a presumption that the attorney had authority to act on behalf of such party[.]"). As the D.C. Circuit explained in </w:t>
      </w:r>
      <w:hyperlink r:id="rId20" w:history="1">
        <w:r>
          <w:rPr>
            <w:rFonts w:ascii="arial" w:eastAsia="arial" w:hAnsi="arial" w:cs="arial"/>
            <w:b w:val="0"/>
            <w:i/>
            <w:strike w:val="0"/>
            <w:noProof w:val="0"/>
            <w:color w:val="0077CC"/>
            <w:position w:val="0"/>
            <w:sz w:val="20"/>
            <w:u w:val="single"/>
            <w:vertAlign w:val="baseline"/>
          </w:rPr>
          <w:t>Communist Party of U.S.A.</w:t>
        </w:r>
      </w:hyperlink>
      <w:r>
        <w:rPr>
          <w:rFonts w:ascii="arial" w:eastAsia="arial" w:hAnsi="arial" w:cs="arial"/>
          <w:b w:val="0"/>
          <w:i w:val="0"/>
          <w:strike w:val="0"/>
          <w:noProof w:val="0"/>
          <w:color w:val="000000"/>
          <w:position w:val="0"/>
          <w:sz w:val="20"/>
          <w:u w:val="none"/>
          <w:vertAlign w:val="baseline"/>
        </w:rPr>
        <w:t xml:space="preserve">, "[t]he presumption does not attach only in respect of the last link in the chain of authority, but to the whole process," including (in that case) whether the Communist Party officials who retained counsel were themselves properly authorized by the Party's National Committee to do so. </w:t>
      </w:r>
      <w:hyperlink r:id="rId20" w:history="1">
        <w:r>
          <w:rPr>
            <w:rFonts w:ascii="arial" w:eastAsia="arial" w:hAnsi="arial" w:cs="arial"/>
            <w:b w:val="0"/>
            <w:i/>
            <w:strike w:val="0"/>
            <w:noProof w:val="0"/>
            <w:color w:val="0077CC"/>
            <w:position w:val="0"/>
            <w:sz w:val="20"/>
            <w:u w:val="single"/>
            <w:vertAlign w:val="baseline"/>
          </w:rPr>
          <w:t>332 F.2d at 328</w:t>
        </w:r>
      </w:hyperlink>
      <w:r>
        <w:rPr>
          <w:rFonts w:ascii="arial" w:eastAsia="arial" w:hAnsi="arial" w:cs="arial"/>
          <w:b w:val="0"/>
          <w:i w:val="0"/>
          <w:strike w:val="0"/>
          <w:noProof w:val="0"/>
          <w:color w:val="000000"/>
          <w:position w:val="0"/>
          <w:sz w:val="20"/>
          <w:u w:val="none"/>
          <w:vertAlign w:val="baseline"/>
        </w:rPr>
        <w:t xml:space="preserve">. Thus, "[w]hen challenging an act undertaken by an attorney of record with actual or apparent authority, the client bears the burden of proof to produce </w:t>
      </w:r>
      <w:r>
        <w:rPr>
          <w:rFonts w:ascii="arial" w:eastAsia="arial" w:hAnsi="arial" w:cs="arial"/>
          <w:b w:val="0"/>
          <w:i/>
          <w:strike w:val="0"/>
          <w:noProof w:val="0"/>
          <w:color w:val="000000"/>
          <w:position w:val="0"/>
          <w:sz w:val="20"/>
          <w:u w:val="none"/>
          <w:vertAlign w:val="baseline"/>
        </w:rPr>
        <w:t>evidence</w:t>
      </w:r>
      <w:r>
        <w:rPr>
          <w:rFonts w:ascii="arial" w:eastAsia="arial" w:hAnsi="arial" w:cs="arial"/>
          <w:b w:val="0"/>
          <w:i w:val="0"/>
          <w:strike w:val="0"/>
          <w:noProof w:val="0"/>
          <w:color w:val="000000"/>
          <w:position w:val="0"/>
          <w:sz w:val="20"/>
          <w:u w:val="none"/>
          <w:vertAlign w:val="baseline"/>
        </w:rPr>
        <w:t xml:space="preserve"> that the attorney's act was not authorized." </w:t>
      </w:r>
      <w:hyperlink r:id="rId22" w:history="1">
        <w:r>
          <w:rPr>
            <w:rFonts w:ascii="arial" w:eastAsia="arial" w:hAnsi="arial" w:cs="arial"/>
            <w:b w:val="0"/>
            <w:i/>
            <w:strike w:val="0"/>
            <w:noProof w:val="0"/>
            <w:color w:val="0077CC"/>
            <w:position w:val="0"/>
            <w:sz w:val="20"/>
            <w:u w:val="single"/>
            <w:vertAlign w:val="baseline"/>
          </w:rPr>
          <w:t>In re Taub</w:t>
        </w:r>
      </w:hyperlink>
      <w:hyperlink r:id="rId22" w:history="1">
        <w:r>
          <w:rPr>
            <w:rFonts w:ascii="arial" w:eastAsia="arial" w:hAnsi="arial" w:cs="arial"/>
            <w:b w:val="0"/>
            <w:i/>
            <w:strike w:val="0"/>
            <w:noProof w:val="0"/>
            <w:color w:val="0077CC"/>
            <w:position w:val="0"/>
            <w:sz w:val="20"/>
            <w:u w:val="single"/>
            <w:vertAlign w:val="baseline"/>
          </w:rPr>
          <w:t>, 421 B.R. 93, 104 (Bankr. E.D.N.Y. 2009)</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w:t>
      </w:r>
      <w:hyperlink r:id="rId20" w:history="1">
        <w:r>
          <w:rPr>
            <w:rFonts w:ascii="arial" w:eastAsia="arial" w:hAnsi="arial" w:cs="arial"/>
            <w:b w:val="0"/>
            <w:i/>
            <w:strike w:val="0"/>
            <w:noProof w:val="0"/>
            <w:color w:val="0077CC"/>
            <w:position w:val="0"/>
            <w:sz w:val="20"/>
            <w:u w:val="single"/>
            <w:vertAlign w:val="baseline"/>
          </w:rPr>
          <w:t>Communist Party of U.S.A.</w:t>
        </w:r>
      </w:hyperlink>
      <w:hyperlink r:id="rId20" w:history="1">
        <w:r>
          <w:rPr>
            <w:rFonts w:ascii="arial" w:eastAsia="arial" w:hAnsi="arial" w:cs="arial"/>
            <w:b w:val="0"/>
            <w:i/>
            <w:strike w:val="0"/>
            <w:noProof w:val="0"/>
            <w:color w:val="0077CC"/>
            <w:position w:val="0"/>
            <w:sz w:val="20"/>
            <w:u w:val="single"/>
            <w:vertAlign w:val="baseline"/>
          </w:rPr>
          <w:t>, 332 F.2d at 328</w:t>
        </w:r>
      </w:hyperlink>
      <w:r>
        <w:rPr>
          <w:rFonts w:ascii="arial" w:eastAsia="arial" w:hAnsi="arial" w:cs="arial"/>
          <w:b w:val="0"/>
          <w:i w:val="0"/>
          <w:strike w:val="0"/>
          <w:noProof w:val="0"/>
          <w:color w:val="000000"/>
          <w:position w:val="0"/>
          <w:sz w:val="20"/>
          <w:u w:val="none"/>
          <w:vertAlign w:val="baseline"/>
        </w:rPr>
        <w:t xml:space="preserve"> ("a party challenging the authority of an attorney at law 'must present substantial proof in the form of countervailing evidence that authority is lacking'") (quoting </w:t>
      </w:r>
      <w:hyperlink r:id="rId23" w:history="1">
        <w:r>
          <w:rPr>
            <w:rFonts w:ascii="arial" w:eastAsia="arial" w:hAnsi="arial" w:cs="arial"/>
            <w:b w:val="0"/>
            <w:i/>
            <w:strike w:val="0"/>
            <w:noProof w:val="0"/>
            <w:color w:val="0077CC"/>
            <w:position w:val="0"/>
            <w:sz w:val="20"/>
            <w:u w:val="single"/>
            <w:vertAlign w:val="baseline"/>
          </w:rPr>
          <w:t>Booth v. Fletcher</w:t>
        </w:r>
      </w:hyperlink>
      <w:hyperlink r:id="rId23" w:history="1">
        <w:r>
          <w:rPr>
            <w:rFonts w:ascii="arial" w:eastAsia="arial" w:hAnsi="arial" w:cs="arial"/>
            <w:b w:val="0"/>
            <w:i/>
            <w:strike w:val="0"/>
            <w:noProof w:val="0"/>
            <w:color w:val="0077CC"/>
            <w:position w:val="0"/>
            <w:sz w:val="20"/>
            <w:u w:val="single"/>
            <w:vertAlign w:val="baseline"/>
          </w:rPr>
          <w:t>, 101 F.2d 676, 683 (D.C. Cir.1938)</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Danisch v. Guardian Life Ins. Co. of Am.</w:t>
        </w:r>
      </w:hyperlink>
      <w:hyperlink r:id="rId24" w:history="1">
        <w:r>
          <w:rPr>
            <w:rFonts w:ascii="arial" w:eastAsia="arial" w:hAnsi="arial" w:cs="arial"/>
            <w:b w:val="0"/>
            <w:i/>
            <w:strike w:val="0"/>
            <w:noProof w:val="0"/>
            <w:color w:val="0077CC"/>
            <w:position w:val="0"/>
            <w:sz w:val="20"/>
            <w:u w:val="single"/>
            <w:vertAlign w:val="baseline"/>
          </w:rPr>
          <w:t>, 151 F. Supp. 17, 19 (S.D.N.Y. 1957)</w:t>
        </w:r>
      </w:hyperlink>
      <w:r>
        <w:rPr>
          <w:rFonts w:ascii="arial" w:eastAsia="arial" w:hAnsi="arial" w:cs="arial"/>
          <w:b w:val="0"/>
          <w:i w:val="0"/>
          <w:strike w:val="0"/>
          <w:noProof w:val="0"/>
          <w:color w:val="000000"/>
          <w:position w:val="0"/>
          <w:sz w:val="20"/>
          <w:u w:val="none"/>
          <w:vertAlign w:val="baseline"/>
        </w:rPr>
        <w:t xml:space="preserve"> ("It has long been well settled that an appearance by a practicing attorney creates a presumption that he has authority to act and the law casts the burden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proving the contrary upon the one asserting it.").</w:t>
      </w:r>
    </w:p>
    <w:p>
      <w:pPr>
        <w:keepNext w:val="0"/>
        <w:spacing w:before="240" w:after="0" w:line="260" w:lineRule="atLeast"/>
        <w:ind w:left="0" w:right="0" w:firstLine="0"/>
        <w:jc w:val="both"/>
      </w:pPr>
      <w:bookmarkStart w:id="65" w:name="Bookmark_para_27"/>
      <w:bookmarkEnd w:id="65"/>
      <w:r>
        <w:rPr>
          <w:rFonts w:ascii="arial" w:eastAsia="arial" w:hAnsi="arial" w:cs="arial"/>
          <w:b w:val="0"/>
          <w:i w:val="0"/>
          <w:strike w:val="0"/>
          <w:noProof w:val="0"/>
          <w:color w:val="000000"/>
          <w:position w:val="0"/>
          <w:sz w:val="20"/>
          <w:u w:val="none"/>
          <w:vertAlign w:val="baseline"/>
        </w:rPr>
        <w:t xml:space="preserve">In this case, the Court specifically directed Mr. Mensli that, should he wish to respond to LARMO's upcoming submission confirming its desire to pursue this action, he must do so "under oath." 5/30/23 Order at 4. Instead, he continued submitting unsworn letters with unauthenticated attachments, which are inadmissible as evidence. </w:t>
      </w:r>
      <w:r>
        <w:rPr>
          <w:rFonts w:ascii="arial" w:eastAsia="arial" w:hAnsi="arial" w:cs="arial"/>
          <w:b w:val="0"/>
          <w:i/>
          <w:strike w:val="0"/>
          <w:noProof w:val="0"/>
          <w:color w:val="000000"/>
          <w:position w:val="0"/>
          <w:sz w:val="20"/>
          <w:u w:val="none"/>
          <w:vertAlign w:val="baseline"/>
        </w:rPr>
        <w:t xml:space="preserve">See </w:t>
      </w:r>
      <w:hyperlink r:id="rId25" w:history="1">
        <w:r>
          <w:rPr>
            <w:rFonts w:ascii="arial" w:eastAsia="arial" w:hAnsi="arial" w:cs="arial"/>
            <w:b w:val="0"/>
            <w:i/>
            <w:strike w:val="0"/>
            <w:noProof w:val="0"/>
            <w:color w:val="0077CC"/>
            <w:position w:val="0"/>
            <w:sz w:val="20"/>
            <w:u w:val="single"/>
            <w:vertAlign w:val="baseline"/>
          </w:rPr>
          <w:t>Edwards v. Arocho</w:t>
        </w:r>
      </w:hyperlink>
      <w:hyperlink r:id="rId25" w:history="1">
        <w:r>
          <w:rPr>
            <w:rFonts w:ascii="arial" w:eastAsia="arial" w:hAnsi="arial" w:cs="arial"/>
            <w:b w:val="0"/>
            <w:i/>
            <w:strike w:val="0"/>
            <w:noProof w:val="0"/>
            <w:color w:val="0077CC"/>
            <w:position w:val="0"/>
            <w:sz w:val="20"/>
            <w:u w:val="single"/>
            <w:vertAlign w:val="baseline"/>
          </w:rPr>
          <w:t>, 2022 U.S. Dist. LEXIS 18254, 2022 WL 294067, at *1 n.2 (S.D.N.Y. Feb. 1, 2022)</w:t>
        </w:r>
      </w:hyperlink>
      <w:r>
        <w:rPr>
          <w:rFonts w:ascii="arial" w:eastAsia="arial" w:hAnsi="arial" w:cs="arial"/>
          <w:b w:val="0"/>
          <w:i w:val="0"/>
          <w:strike w:val="0"/>
          <w:noProof w:val="0"/>
          <w:color w:val="000000"/>
          <w:position w:val="0"/>
          <w:sz w:val="20"/>
          <w:u w:val="none"/>
          <w:vertAlign w:val="baseline"/>
        </w:rPr>
        <w:t xml:space="preserve"> ("As a general matter, a Court may not consider unsworn statements, that is, those made without a 'declaration, certificate, verification, or statement' that what the declarant states is true 'under penalty of perjury.'") (quoting </w:t>
      </w:r>
      <w:hyperlink r:id="rId26" w:history="1">
        <w:r>
          <w:rPr>
            <w:rFonts w:ascii="arial" w:eastAsia="arial" w:hAnsi="arial" w:cs="arial"/>
            <w:b w:val="0"/>
            <w:i/>
            <w:strike w:val="0"/>
            <w:noProof w:val="0"/>
            <w:color w:val="0077CC"/>
            <w:position w:val="0"/>
            <w:sz w:val="20"/>
            <w:u w:val="single"/>
            <w:vertAlign w:val="baseline"/>
          </w:rPr>
          <w:t>In re World Trade Ctr. Disaster Site Litig.</w:t>
        </w:r>
      </w:hyperlink>
      <w:hyperlink r:id="rId26" w:history="1">
        <w:r>
          <w:rPr>
            <w:rFonts w:ascii="arial" w:eastAsia="arial" w:hAnsi="arial" w:cs="arial"/>
            <w:b w:val="0"/>
            <w:i/>
            <w:strike w:val="0"/>
            <w:noProof w:val="0"/>
            <w:color w:val="0077CC"/>
            <w:position w:val="0"/>
            <w:sz w:val="20"/>
            <w:u w:val="single"/>
            <w:vertAlign w:val="baseline"/>
          </w:rPr>
          <w:t>, 722 F.3d 483, 488 (2d Cir. 2013)</w:t>
        </w:r>
      </w:hyperlink>
      <w:r>
        <w:rPr>
          <w:rFonts w:ascii="arial" w:eastAsia="arial" w:hAnsi="arial" w:cs="arial"/>
          <w:b w:val="0"/>
          <w:i w:val="0"/>
          <w:strike w:val="0"/>
          <w:noProof w:val="0"/>
          <w:color w:val="000000"/>
          <w:position w:val="0"/>
          <w:sz w:val="20"/>
          <w:u w:val="none"/>
          <w:vertAlign w:val="baseline"/>
        </w:rPr>
        <w:t xml:space="preserve">). Since Mr. Mensli has failed to produce "substantial proof" of his claims "in the form of countervailing evidence," </w:t>
      </w:r>
      <w:hyperlink r:id="rId20" w:history="1">
        <w:r>
          <w:rPr>
            <w:rFonts w:ascii="arial" w:eastAsia="arial" w:hAnsi="arial" w:cs="arial"/>
            <w:b w:val="0"/>
            <w:i/>
            <w:strike w:val="0"/>
            <w:noProof w:val="0"/>
            <w:color w:val="0077CC"/>
            <w:position w:val="0"/>
            <w:sz w:val="20"/>
            <w:u w:val="single"/>
            <w:vertAlign w:val="baseline"/>
          </w:rPr>
          <w:t>Communist Party of U.S.A.</w:t>
        </w:r>
      </w:hyperlink>
      <w:hyperlink r:id="rId20" w:history="1">
        <w:r>
          <w:rPr>
            <w:rFonts w:ascii="arial" w:eastAsia="arial" w:hAnsi="arial" w:cs="arial"/>
            <w:b w:val="0"/>
            <w:i/>
            <w:strike w:val="0"/>
            <w:noProof w:val="0"/>
            <w:color w:val="0077CC"/>
            <w:position w:val="0"/>
            <w:sz w:val="20"/>
            <w:u w:val="single"/>
            <w:vertAlign w:val="baseline"/>
          </w:rPr>
          <w:t>, 332 F.2d at 328</w:t>
        </w:r>
      </w:hyperlink>
      <w:r>
        <w:rPr>
          <w:rFonts w:ascii="arial" w:eastAsia="arial" w:hAnsi="arial" w:cs="arial"/>
          <w:b w:val="0"/>
          <w:i w:val="0"/>
          <w:strike w:val="0"/>
          <w:noProof w:val="0"/>
          <w:color w:val="000000"/>
          <w:position w:val="0"/>
          <w:sz w:val="20"/>
          <w:u w:val="none"/>
          <w:vertAlign w:val="baseline"/>
        </w:rPr>
        <w:t>, he has failed to overcome the presumption that LARMO's current counsel of record, B&amp;H and H&amp;K, were properly authorized, by Mr. Arif, to commence and pursue this action on its behalf. I therefore proceed to the merits of the Application.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LARMO'S </w:t>
      </w:r>
      <w:hyperlink r:id="rId10" w:history="1">
        <w:r>
          <w:rPr>
            <w:rFonts w:ascii="arial" w:eastAsia="arial" w:hAnsi="arial" w:cs="arial"/>
            <w:b/>
            <w:i/>
            <w:strike w:val="0"/>
            <w:noProof w:val="0"/>
            <w:color w:val="0077CC"/>
            <w:position w:val="0"/>
            <w:sz w:val="20"/>
            <w:u w:val="single"/>
            <w:vertAlign w:val="baseline"/>
          </w:rPr>
          <w:t>§ 1782</w:t>
        </w:r>
      </w:hyperlink>
      <w:r>
        <w:rPr>
          <w:rFonts w:ascii="arial" w:eastAsia="arial" w:hAnsi="arial" w:cs="arial"/>
          <w:b/>
          <w:i w:val="0"/>
          <w:strike w:val="0"/>
          <w:noProof w:val="0"/>
          <w:color w:val="000000"/>
          <w:position w:val="0"/>
          <w:sz w:val="20"/>
          <w:u w:val="none"/>
          <w:vertAlign w:val="baseline"/>
        </w:rPr>
        <w:t xml:space="preserve"> APPLICATION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Standards</w:t>
      </w:r>
    </w:p>
    <w:p>
      <w:pPr>
        <w:keepNext w:val="0"/>
        <w:spacing w:before="240" w:after="0" w:line="260" w:lineRule="atLeast"/>
        <w:ind w:left="0" w:right="0" w:firstLine="0"/>
        <w:jc w:val="both"/>
      </w:pPr>
      <w:bookmarkStart w:id="66" w:name="Bookmark_para_28"/>
      <w:bookmarkEnd w:id="66"/>
      <w:hyperlink r:id="rId10" w:history="1">
        <w:r>
          <w:rPr>
            <w:rFonts w:ascii="arial" w:eastAsia="arial" w:hAnsi="arial" w:cs="arial"/>
            <w:b w:val="0"/>
            <w:i/>
            <w:strike w:val="0"/>
            <w:color w:val="0077CC"/>
            <w:sz w:val="20"/>
            <w:u w:val="single"/>
            <w:vertAlign w:val="baseline"/>
          </w:rPr>
          <w:t>28 U.S.C. § 1782(a)</w:t>
        </w:r>
      </w:hyperlink>
      <w:r>
        <w:rPr>
          <w:rFonts w:ascii="arial" w:eastAsia="arial" w:hAnsi="arial" w:cs="arial"/>
          <w:b w:val="0"/>
          <w:i w:val="0"/>
          <w:strike w:val="0"/>
          <w:noProof w:val="0"/>
          <w:color w:val="000000"/>
          <w:position w:val="0"/>
          <w:sz w:val="20"/>
          <w:u w:val="none"/>
          <w:vertAlign w:val="baseline"/>
        </w:rPr>
        <w:t xml:space="preserve"> permits a federal district court to order any person who "resides or is found" in that district "to produce a document or other thing for use in a proceeding in a foreign or international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tribunal . . . . upon the application of any interested person." The applicant must establish that (1) "the person from whom discovery is sought reside[s] (or is found) in the district of the district court to which the application is made," (2) "the discovery [is] for use in a proceeding before a foreign tribunal," and (3) "the application is made by a foreign or international tribunal or 'any interested person.'" </w:t>
      </w:r>
      <w:hyperlink r:id="rId27" w:history="1">
        <w:r>
          <w:rPr>
            <w:rFonts w:ascii="arial" w:eastAsia="arial" w:hAnsi="arial" w:cs="arial"/>
            <w:b w:val="0"/>
            <w:i/>
            <w:strike w:val="0"/>
            <w:noProof w:val="0"/>
            <w:color w:val="0077CC"/>
            <w:position w:val="0"/>
            <w:sz w:val="20"/>
            <w:u w:val="single"/>
            <w:vertAlign w:val="baseline"/>
          </w:rPr>
          <w:t>Schmitz v. Bernstein Liebhard &amp; Lifshitz, LLP</w:t>
        </w:r>
      </w:hyperlink>
      <w:hyperlink r:id="rId27" w:history="1">
        <w:r>
          <w:rPr>
            <w:rFonts w:ascii="arial" w:eastAsia="arial" w:hAnsi="arial" w:cs="arial"/>
            <w:b w:val="0"/>
            <w:i/>
            <w:strike w:val="0"/>
            <w:noProof w:val="0"/>
            <w:color w:val="0077CC"/>
            <w:position w:val="0"/>
            <w:sz w:val="20"/>
            <w:u w:val="single"/>
            <w:vertAlign w:val="baseline"/>
          </w:rPr>
          <w:t>, 376 F.3d 79, 83 (2d Cir. 2004)</w:t>
        </w:r>
      </w:hyperlink>
      <w:r>
        <w:rPr>
          <w:rFonts w:ascii="arial" w:eastAsia="arial" w:hAnsi="arial" w:cs="arial"/>
          <w:b w:val="0"/>
          <w:i w:val="0"/>
          <w:strike w:val="0"/>
          <w:noProof w:val="0"/>
          <w:color w:val="000000"/>
          <w:position w:val="0"/>
          <w:sz w:val="20"/>
          <w:u w:val="none"/>
          <w:vertAlign w:val="baseline"/>
        </w:rPr>
        <w:t xml:space="preserve"> (quoting </w:t>
      </w:r>
      <w:hyperlink r:id="rId28" w:history="1">
        <w:r>
          <w:rPr>
            <w:rFonts w:ascii="arial" w:eastAsia="arial" w:hAnsi="arial" w:cs="arial"/>
            <w:b w:val="0"/>
            <w:i/>
            <w:strike w:val="0"/>
            <w:noProof w:val="0"/>
            <w:color w:val="0077CC"/>
            <w:position w:val="0"/>
            <w:sz w:val="20"/>
            <w:u w:val="single"/>
            <w:vertAlign w:val="baseline"/>
          </w:rPr>
          <w:t>Application of Esses</w:t>
        </w:r>
      </w:hyperlink>
      <w:hyperlink r:id="rId28" w:history="1">
        <w:r>
          <w:rPr>
            <w:rFonts w:ascii="arial" w:eastAsia="arial" w:hAnsi="arial" w:cs="arial"/>
            <w:b w:val="0"/>
            <w:i/>
            <w:strike w:val="0"/>
            <w:noProof w:val="0"/>
            <w:color w:val="0077CC"/>
            <w:position w:val="0"/>
            <w:sz w:val="20"/>
            <w:u w:val="single"/>
            <w:vertAlign w:val="baseline"/>
          </w:rPr>
          <w:t>, 101 F.3d 873, 875 (2d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29"/>
      <w:bookmarkEnd w:id="67"/>
      <w:r>
        <w:rPr>
          <w:rFonts w:ascii="arial" w:eastAsia="arial" w:hAnsi="arial" w:cs="arial"/>
          <w:b w:val="0"/>
          <w:i w:val="0"/>
          <w:strike w:val="0"/>
          <w:noProof w:val="0"/>
          <w:color w:val="000000"/>
          <w:position w:val="0"/>
          <w:sz w:val="20"/>
          <w:u w:val="none"/>
          <w:vertAlign w:val="baseline"/>
        </w:rPr>
        <w:t xml:space="preserve">Once the statutory factors are satisfied, the district court "is free to grant discovery in its discretion." </w:t>
      </w:r>
      <w:hyperlink r:id="rId27" w:history="1">
        <w:r>
          <w:rPr>
            <w:rFonts w:ascii="arial" w:eastAsia="arial" w:hAnsi="arial" w:cs="arial"/>
            <w:b w:val="0"/>
            <w:i/>
            <w:strike w:val="0"/>
            <w:noProof w:val="0"/>
            <w:color w:val="0077CC"/>
            <w:position w:val="0"/>
            <w:sz w:val="20"/>
            <w:u w:val="single"/>
            <w:vertAlign w:val="baseline"/>
          </w:rPr>
          <w:t>Schmitz</w:t>
        </w:r>
      </w:hyperlink>
      <w:hyperlink r:id="rId27" w:history="1">
        <w:r>
          <w:rPr>
            <w:rFonts w:ascii="arial" w:eastAsia="arial" w:hAnsi="arial" w:cs="arial"/>
            <w:b w:val="0"/>
            <w:i/>
            <w:strike w:val="0"/>
            <w:noProof w:val="0"/>
            <w:color w:val="0077CC"/>
            <w:position w:val="0"/>
            <w:sz w:val="20"/>
            <w:u w:val="single"/>
            <w:vertAlign w:val="baseline"/>
          </w:rPr>
          <w:t>, 376 F.3d at 83-84</w:t>
        </w:r>
      </w:hyperlink>
      <w:r>
        <w:rPr>
          <w:rFonts w:ascii="arial" w:eastAsia="arial" w:hAnsi="arial" w:cs="arial"/>
          <w:b w:val="0"/>
          <w:i w:val="0"/>
          <w:strike w:val="0"/>
          <w:noProof w:val="0"/>
          <w:color w:val="000000"/>
          <w:position w:val="0"/>
          <w:sz w:val="20"/>
          <w:u w:val="none"/>
          <w:vertAlign w:val="baseline"/>
        </w:rPr>
        <w:t xml:space="preserve"> (quoting </w:t>
      </w:r>
      <w:hyperlink r:id="rId29" w:history="1">
        <w:r>
          <w:rPr>
            <w:rFonts w:ascii="arial" w:eastAsia="arial" w:hAnsi="arial" w:cs="arial"/>
            <w:b w:val="0"/>
            <w:i/>
            <w:strike w:val="0"/>
            <w:noProof w:val="0"/>
            <w:color w:val="0077CC"/>
            <w:position w:val="0"/>
            <w:sz w:val="20"/>
            <w:u w:val="single"/>
            <w:vertAlign w:val="baseline"/>
          </w:rPr>
          <w:t>In re Metallgesellschaft AG</w:t>
        </w:r>
      </w:hyperlink>
      <w:hyperlink r:id="rId29" w:history="1">
        <w:r>
          <w:rPr>
            <w:rFonts w:ascii="arial" w:eastAsia="arial" w:hAnsi="arial" w:cs="arial"/>
            <w:b w:val="0"/>
            <w:i/>
            <w:strike w:val="0"/>
            <w:noProof w:val="0"/>
            <w:color w:val="0077CC"/>
            <w:position w:val="0"/>
            <w:sz w:val="20"/>
            <w:u w:val="single"/>
            <w:vertAlign w:val="baseline"/>
          </w:rPr>
          <w:t>, 121 F.3d 77, 78 (2d Cir. 1997)</w:t>
        </w:r>
      </w:hyperlink>
      <w:r>
        <w:rPr>
          <w:rFonts w:ascii="arial" w:eastAsia="arial" w:hAnsi="arial" w:cs="arial"/>
          <w:b w:val="0"/>
          <w:i w:val="0"/>
          <w:strike w:val="0"/>
          <w:noProof w:val="0"/>
          <w:color w:val="000000"/>
          <w:position w:val="0"/>
          <w:sz w:val="20"/>
          <w:u w:val="none"/>
          <w:vertAlign w:val="baseline"/>
        </w:rPr>
        <w:t xml:space="preserve">). Although the district court's discretion is broad, it must be exercised "in light of the twin aims of the statute: 'providing efficient means of assistance to participants in international litigation in our federal courts and encouraging foreign countries by example to provide similar means of assistance to our courts.'" </w:t>
      </w:r>
      <w:hyperlink r:id="rId29" w:history="1">
        <w:r>
          <w:rPr>
            <w:rFonts w:ascii="arial" w:eastAsia="arial" w:hAnsi="arial" w:cs="arial"/>
            <w:b w:val="0"/>
            <w:i/>
            <w:strike w:val="0"/>
            <w:noProof w:val="0"/>
            <w:color w:val="0077CC"/>
            <w:position w:val="0"/>
            <w:sz w:val="20"/>
            <w:u w:val="single"/>
            <w:vertAlign w:val="baseline"/>
          </w:rPr>
          <w:t>In re Metallgesellschaft</w:t>
        </w:r>
      </w:hyperlink>
      <w:hyperlink r:id="rId29" w:history="1">
        <w:r>
          <w:rPr>
            <w:rFonts w:ascii="arial" w:eastAsia="arial" w:hAnsi="arial" w:cs="arial"/>
            <w:b w:val="0"/>
            <w:i/>
            <w:strike w:val="0"/>
            <w:noProof w:val="0"/>
            <w:color w:val="0077CC"/>
            <w:position w:val="0"/>
            <w:sz w:val="20"/>
            <w:u w:val="single"/>
            <w:vertAlign w:val="baseline"/>
          </w:rPr>
          <w:t>, 121 F.3d at 79</w:t>
        </w:r>
      </w:hyperlink>
      <w:r>
        <w:rPr>
          <w:rFonts w:ascii="arial" w:eastAsia="arial" w:hAnsi="arial" w:cs="arial"/>
          <w:b w:val="0"/>
          <w:i w:val="0"/>
          <w:strike w:val="0"/>
          <w:noProof w:val="0"/>
          <w:color w:val="000000"/>
          <w:position w:val="0"/>
          <w:sz w:val="20"/>
          <w:u w:val="none"/>
          <w:vertAlign w:val="baseline"/>
        </w:rPr>
        <w:t xml:space="preserve"> (quoting </w:t>
      </w:r>
      <w:hyperlink r:id="rId30" w:history="1">
        <w:r>
          <w:rPr>
            <w:rFonts w:ascii="arial" w:eastAsia="arial" w:hAnsi="arial" w:cs="arial"/>
            <w:b w:val="0"/>
            <w:i/>
            <w:strike w:val="0"/>
            <w:noProof w:val="0"/>
            <w:color w:val="0077CC"/>
            <w:position w:val="0"/>
            <w:sz w:val="20"/>
            <w:u w:val="single"/>
            <w:vertAlign w:val="baseline"/>
          </w:rPr>
          <w:t>In re Malev</w:t>
        </w:r>
      </w:hyperlink>
      <w:hyperlink r:id="rId30" w:history="1">
        <w:r>
          <w:rPr>
            <w:rFonts w:ascii="arial" w:eastAsia="arial" w:hAnsi="arial" w:cs="arial"/>
            <w:b w:val="0"/>
            <w:i/>
            <w:strike w:val="0"/>
            <w:noProof w:val="0"/>
            <w:color w:val="0077CC"/>
            <w:position w:val="0"/>
            <w:sz w:val="20"/>
            <w:u w:val="single"/>
            <w:vertAlign w:val="baseline"/>
          </w:rPr>
          <w:t>, 964 F.2d 97, 100 (2d Cir. 1992)</w:t>
        </w:r>
      </w:hyperlink>
      <w:r>
        <w:rPr>
          <w:rFonts w:ascii="arial" w:eastAsia="arial" w:hAnsi="arial" w:cs="arial"/>
          <w:b w:val="0"/>
          <w:i w:val="0"/>
          <w:strike w:val="0"/>
          <w:noProof w:val="0"/>
          <w:color w:val="000000"/>
          <w:position w:val="0"/>
          <w:sz w:val="20"/>
          <w:u w:val="none"/>
          <w:vertAlign w:val="baseline"/>
        </w:rPr>
        <w:t xml:space="preserve">). In particular, the district court should consider the factors articulated in </w:t>
      </w:r>
      <w:hyperlink r:id="rId31" w:history="1">
        <w:r>
          <w:rPr>
            <w:rFonts w:ascii="arial" w:eastAsia="arial" w:hAnsi="arial" w:cs="arial"/>
            <w:b w:val="0"/>
            <w:i/>
            <w:strike w:val="0"/>
            <w:noProof w:val="0"/>
            <w:color w:val="0077CC"/>
            <w:position w:val="0"/>
            <w:sz w:val="20"/>
            <w:u w:val="single"/>
            <w:vertAlign w:val="baseline"/>
          </w:rPr>
          <w:t>Intel Corp. v. Advanced Micro Devices, Inc.</w:t>
        </w:r>
      </w:hyperlink>
      <w:hyperlink r:id="rId31" w:history="1">
        <w:r>
          <w:rPr>
            <w:rFonts w:ascii="arial" w:eastAsia="arial" w:hAnsi="arial" w:cs="arial"/>
            <w:b w:val="0"/>
            <w:i/>
            <w:strike w:val="0"/>
            <w:noProof w:val="0"/>
            <w:color w:val="0077CC"/>
            <w:position w:val="0"/>
            <w:sz w:val="20"/>
            <w:u w:val="single"/>
            <w:vertAlign w:val="baseline"/>
          </w:rPr>
          <w:t>, 542 U.S. 241, 124 S. Ct. 2466, 159 L. Ed. 2d 355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68" w:name="Bookmark_para_30"/>
      <w:bookmarkEnd w:id="68"/>
      <w:r>
        <w:rPr>
          <w:rFonts w:ascii="arial" w:eastAsia="arial" w:hAnsi="arial" w:cs="arial"/>
          <w:b w:val="0"/>
          <w:i w:val="0"/>
          <w:strike w:val="0"/>
          <w:noProof w:val="0"/>
          <w:color w:val="000000"/>
          <w:position w:val="0"/>
          <w:sz w:val="20"/>
          <w:u w:val="none"/>
          <w:vertAlign w:val="baseline"/>
        </w:rPr>
        <w:t xml:space="preserve">(1) whether "the person from whom discovery is sought is a participant in the foreign proceeding," in which event "the need for </w:t>
      </w:r>
      <w:hyperlink r:id="rId10" w:history="1">
        <w:r>
          <w:rPr>
            <w:rFonts w:ascii="arial" w:eastAsia="arial" w:hAnsi="arial" w:cs="arial"/>
            <w:b w:val="0"/>
            <w:i/>
            <w:strike w:val="0"/>
            <w:noProof w:val="0"/>
            <w:color w:val="0077CC"/>
            <w:position w:val="0"/>
            <w:sz w:val="20"/>
            <w:u w:val="single"/>
            <w:vertAlign w:val="baseline"/>
          </w:rPr>
          <w:t>§ 1782(a)</w:t>
        </w:r>
      </w:hyperlink>
      <w:r>
        <w:rPr>
          <w:rFonts w:ascii="arial" w:eastAsia="arial" w:hAnsi="arial" w:cs="arial"/>
          <w:b w:val="0"/>
          <w:i w:val="0"/>
          <w:strike w:val="0"/>
          <w:noProof w:val="0"/>
          <w:color w:val="000000"/>
          <w:position w:val="0"/>
          <w:sz w:val="20"/>
          <w:u w:val="none"/>
          <w:vertAlign w:val="baseline"/>
        </w:rPr>
        <w:t xml:space="preserve"> aid generally is not as apparent as it ordinarily is when evidence is sought from a nonparticipant in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matter arising abroad"; (2) "the nature of the foreign tribunal, the character of the proceedings underway abroad, and the receptivity of the foreign government or the court or agency abroad to U.S. federal-court assistance"; (3) "whether the </w:t>
      </w:r>
      <w:hyperlink r:id="rId10" w:history="1">
        <w:r>
          <w:rPr>
            <w:rFonts w:ascii="arial" w:eastAsia="arial" w:hAnsi="arial" w:cs="arial"/>
            <w:b w:val="0"/>
            <w:i/>
            <w:strike w:val="0"/>
            <w:noProof w:val="0"/>
            <w:color w:val="0077CC"/>
            <w:position w:val="0"/>
            <w:sz w:val="20"/>
            <w:u w:val="single"/>
            <w:vertAlign w:val="baseline"/>
          </w:rPr>
          <w:t>§ 1782(a)</w:t>
        </w:r>
      </w:hyperlink>
      <w:r>
        <w:rPr>
          <w:rFonts w:ascii="arial" w:eastAsia="arial" w:hAnsi="arial" w:cs="arial"/>
          <w:b w:val="0"/>
          <w:i w:val="0"/>
          <w:strike w:val="0"/>
          <w:noProof w:val="0"/>
          <w:color w:val="000000"/>
          <w:position w:val="0"/>
          <w:sz w:val="20"/>
          <w:u w:val="none"/>
          <w:vertAlign w:val="baseline"/>
        </w:rPr>
        <w:t xml:space="preserve"> request conceals an attempt to circumvent foreign proof-gathering restrictions or other policies of a foreign country or the United States"; and (4) whether the request is "unduly intrusive or burdensome."</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In re del Valle Ruiz</w:t>
        </w:r>
      </w:hyperlink>
      <w:hyperlink r:id="rId32" w:history="1">
        <w:r>
          <w:rPr>
            <w:rFonts w:ascii="arial" w:eastAsia="arial" w:hAnsi="arial" w:cs="arial"/>
            <w:b w:val="0"/>
            <w:i/>
            <w:strike w:val="0"/>
            <w:color w:val="0077CC"/>
            <w:sz w:val="20"/>
            <w:u w:val="single"/>
            <w:vertAlign w:val="baseline"/>
          </w:rPr>
          <w:t>, 939 F.3d 520, 533-34 (2d Cir. 2019)</w:t>
        </w:r>
      </w:hyperlink>
      <w:r>
        <w:rPr>
          <w:rFonts w:ascii="arial" w:eastAsia="arial" w:hAnsi="arial" w:cs="arial"/>
          <w:b w:val="0"/>
          <w:i w:val="0"/>
          <w:strike w:val="0"/>
          <w:noProof w:val="0"/>
          <w:color w:val="000000"/>
          <w:position w:val="0"/>
          <w:sz w:val="20"/>
          <w:u w:val="none"/>
          <w:vertAlign w:val="baseline"/>
        </w:rPr>
        <w:t xml:space="preserve"> (quoting </w:t>
      </w:r>
      <w:hyperlink r:id="rId31" w:history="1">
        <w:r>
          <w:rPr>
            <w:rFonts w:ascii="arial" w:eastAsia="arial" w:hAnsi="arial" w:cs="arial"/>
            <w:b w:val="0"/>
            <w:i/>
            <w:strike w:val="0"/>
            <w:noProof w:val="0"/>
            <w:color w:val="0077CC"/>
            <w:position w:val="0"/>
            <w:sz w:val="20"/>
            <w:u w:val="single"/>
            <w:vertAlign w:val="baseline"/>
          </w:rPr>
          <w:t>Intel</w:t>
        </w:r>
      </w:hyperlink>
      <w:hyperlink r:id="rId31" w:history="1">
        <w:r>
          <w:rPr>
            <w:rFonts w:ascii="arial" w:eastAsia="arial" w:hAnsi="arial" w:cs="arial"/>
            <w:b w:val="0"/>
            <w:i/>
            <w:strike w:val="0"/>
            <w:noProof w:val="0"/>
            <w:color w:val="0077CC"/>
            <w:position w:val="0"/>
            <w:sz w:val="20"/>
            <w:u w:val="single"/>
            <w:vertAlign w:val="baseline"/>
          </w:rPr>
          <w:t>, 542 U.S. at 264-65</w:t>
        </w:r>
      </w:hyperlink>
      <w:r>
        <w:rPr>
          <w:rFonts w:ascii="arial" w:eastAsia="arial" w:hAnsi="arial" w:cs="arial"/>
          <w:b w:val="0"/>
          <w:i w:val="0"/>
          <w:strike w:val="0"/>
          <w:noProof w:val="0"/>
          <w:color w:val="000000"/>
          <w:position w:val="0"/>
          <w:sz w:val="20"/>
          <w:u w:val="none"/>
          <w:vertAlign w:val="baseline"/>
        </w:rPr>
        <w:t xml:space="preserve">). The Supreme Court has emphasized the discretionary nature of the judicial function under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 xml:space="preserve">: "[A] district court is not required to grant a </w:t>
      </w:r>
      <w:hyperlink r:id="rId10" w:history="1">
        <w:r>
          <w:rPr>
            <w:rFonts w:ascii="arial" w:eastAsia="arial" w:hAnsi="arial" w:cs="arial"/>
            <w:b w:val="0"/>
            <w:i/>
            <w:strike w:val="0"/>
            <w:noProof w:val="0"/>
            <w:color w:val="0077CC"/>
            <w:position w:val="0"/>
            <w:sz w:val="20"/>
            <w:u w:val="single"/>
            <w:vertAlign w:val="baseline"/>
          </w:rPr>
          <w:t>§ 1782(a)</w:t>
        </w:r>
      </w:hyperlink>
      <w:r>
        <w:rPr>
          <w:rFonts w:ascii="arial" w:eastAsia="arial" w:hAnsi="arial" w:cs="arial"/>
          <w:b w:val="0"/>
          <w:i w:val="0"/>
          <w:strike w:val="0"/>
          <w:noProof w:val="0"/>
          <w:color w:val="000000"/>
          <w:position w:val="0"/>
          <w:sz w:val="20"/>
          <w:u w:val="none"/>
          <w:vertAlign w:val="baseline"/>
        </w:rPr>
        <w:t xml:space="preserve"> discovery application simply because it has the authority to do so." </w:t>
      </w:r>
      <w:hyperlink r:id="rId31" w:history="1">
        <w:r>
          <w:rPr>
            <w:rFonts w:ascii="arial" w:eastAsia="arial" w:hAnsi="arial" w:cs="arial"/>
            <w:b w:val="0"/>
            <w:i/>
            <w:strike w:val="0"/>
            <w:noProof w:val="0"/>
            <w:color w:val="0077CC"/>
            <w:position w:val="0"/>
            <w:sz w:val="20"/>
            <w:u w:val="single"/>
            <w:vertAlign w:val="baseline"/>
          </w:rPr>
          <w:t>Intel</w:t>
        </w:r>
      </w:hyperlink>
      <w:hyperlink r:id="rId31" w:history="1">
        <w:r>
          <w:rPr>
            <w:rFonts w:ascii="arial" w:eastAsia="arial" w:hAnsi="arial" w:cs="arial"/>
            <w:b w:val="0"/>
            <w:i/>
            <w:strike w:val="0"/>
            <w:noProof w:val="0"/>
            <w:color w:val="0077CC"/>
            <w:position w:val="0"/>
            <w:sz w:val="20"/>
            <w:u w:val="single"/>
            <w:vertAlign w:val="baseline"/>
          </w:rPr>
          <w:t>, 542 U.S. at 264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Discussion</w:t>
      </w:r>
    </w:p>
    <w:p>
      <w:pPr>
        <w:keepNext w:val="0"/>
        <w:spacing w:before="240" w:after="0" w:line="260" w:lineRule="atLeast"/>
        <w:ind w:left="0" w:right="0" w:firstLine="0"/>
        <w:jc w:val="both"/>
      </w:pPr>
      <w:bookmarkStart w:id="69" w:name="Bookmark_para_31"/>
      <w:bookmarkEnd w:id="69"/>
      <w:r>
        <w:rPr>
          <w:rFonts w:ascii="arial" w:eastAsia="arial" w:hAnsi="arial" w:cs="arial"/>
          <w:b w:val="0"/>
          <w:i w:val="0"/>
          <w:strike w:val="0"/>
          <w:noProof w:val="0"/>
          <w:color w:val="000000"/>
          <w:position w:val="0"/>
          <w:sz w:val="20"/>
          <w:u w:val="none"/>
          <w:vertAlign w:val="baseline"/>
        </w:rPr>
        <w:t xml:space="preserve">LARMO's Application meets the first statutory requirement set out in </w:t>
      </w:r>
      <w:hyperlink r:id="rId10" w:history="1">
        <w:r>
          <w:rPr>
            <w:rFonts w:ascii="arial" w:eastAsia="arial" w:hAnsi="arial" w:cs="arial"/>
            <w:b w:val="0"/>
            <w:i/>
            <w:strike w:val="0"/>
            <w:noProof w:val="0"/>
            <w:color w:val="0077CC"/>
            <w:position w:val="0"/>
            <w:sz w:val="20"/>
            <w:u w:val="single"/>
            <w:vertAlign w:val="baseline"/>
          </w:rPr>
          <w:t>§ 1782(a)</w:t>
        </w:r>
      </w:hyperlink>
      <w:r>
        <w:rPr>
          <w:rFonts w:ascii="arial" w:eastAsia="arial" w:hAnsi="arial" w:cs="arial"/>
          <w:b w:val="0"/>
          <w:i w:val="0"/>
          <w:strike w:val="0"/>
          <w:noProof w:val="0"/>
          <w:color w:val="000000"/>
          <w:position w:val="0"/>
          <w:sz w:val="20"/>
          <w:u w:val="none"/>
          <w:vertAlign w:val="baseline"/>
        </w:rPr>
        <w:t xml:space="preserve">. The Banks on which it seeks to serve subpoenas all maintain addresses within this District and may therefore be "found" here. </w:t>
      </w:r>
      <w:r>
        <w:rPr>
          <w:rFonts w:ascii="arial" w:eastAsia="arial" w:hAnsi="arial" w:cs="arial"/>
          <w:b w:val="0"/>
          <w:i/>
          <w:strike w:val="0"/>
          <w:noProof w:val="0"/>
          <w:color w:val="000000"/>
          <w:position w:val="0"/>
          <w:sz w:val="20"/>
          <w:u w:val="none"/>
          <w:vertAlign w:val="baseline"/>
        </w:rPr>
        <w:t xml:space="preserve">See </w:t>
      </w:r>
      <w:hyperlink r:id="rId32" w:history="1">
        <w:r>
          <w:rPr>
            <w:rFonts w:ascii="arial" w:eastAsia="arial" w:hAnsi="arial" w:cs="arial"/>
            <w:b w:val="0"/>
            <w:i/>
            <w:strike w:val="0"/>
            <w:noProof w:val="0"/>
            <w:color w:val="0077CC"/>
            <w:position w:val="0"/>
            <w:sz w:val="20"/>
            <w:u w:val="single"/>
            <w:vertAlign w:val="baseline"/>
          </w:rPr>
          <w:t>In re del Valle Ruiz</w:t>
        </w:r>
      </w:hyperlink>
      <w:hyperlink r:id="rId32" w:history="1">
        <w:r>
          <w:rPr>
            <w:rFonts w:ascii="arial" w:eastAsia="arial" w:hAnsi="arial" w:cs="arial"/>
            <w:b w:val="0"/>
            <w:i/>
            <w:strike w:val="0"/>
            <w:noProof w:val="0"/>
            <w:color w:val="0077CC"/>
            <w:position w:val="0"/>
            <w:sz w:val="20"/>
            <w:u w:val="single"/>
            <w:vertAlign w:val="baseline"/>
          </w:rPr>
          <w:t>, 939 F.3d at 527</w:t>
        </w:r>
      </w:hyperlink>
      <w:r>
        <w:rPr>
          <w:rFonts w:ascii="arial" w:eastAsia="arial" w:hAnsi="arial" w:cs="arial"/>
          <w:b w:val="0"/>
          <w:i w:val="0"/>
          <w:strike w:val="0"/>
          <w:noProof w:val="0"/>
          <w:color w:val="000000"/>
          <w:position w:val="0"/>
          <w:sz w:val="20"/>
          <w:u w:val="none"/>
          <w:vertAlign w:val="baseline"/>
        </w:rPr>
        <w:t xml:space="preserve"> ("[T]ag jurisdiction [is] sufficient to satisfy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's 'found' requirement.").</w:t>
      </w:r>
    </w:p>
    <w:p>
      <w:pPr>
        <w:keepNext w:val="0"/>
        <w:spacing w:before="240" w:after="0" w:line="260" w:lineRule="atLeast"/>
        <w:ind w:left="0" w:right="0" w:firstLine="0"/>
        <w:jc w:val="both"/>
      </w:pPr>
      <w:bookmarkStart w:id="70" w:name="Bookmark_para_32"/>
      <w:bookmarkEnd w:id="70"/>
      <w:r>
        <w:rPr>
          <w:rFonts w:ascii="arial" w:eastAsia="arial" w:hAnsi="arial" w:cs="arial"/>
          <w:b w:val="0"/>
          <w:i w:val="0"/>
          <w:strike w:val="0"/>
          <w:noProof w:val="0"/>
          <w:color w:val="000000"/>
          <w:position w:val="0"/>
          <w:sz w:val="20"/>
          <w:u w:val="none"/>
          <w:vertAlign w:val="baseline"/>
        </w:rPr>
        <w:t xml:space="preserve">LARMO has also met the third statutory requirement. Both Arif and Mensli agree that LARMO is the Libyan government agency charged with the international recovery of looted, abandoned, or neglected assets of the Libyan State.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Arif</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12/9/21 Decl. ¶ 1; Mensli 12/17/21 Ltr. at ECF p. 2. It is specifically authorized by statute to act "as a law enforcement agency" and to initiate litigation, both "inside and outside Libya," Arif 12/9/21 Decl. ¶ 24 &amp; Ex. 13, Arts. 6-7, 8, 32, and would therefore be an "interested person" with respect to any legal proceedings it brings to recover such assets. </w:t>
      </w:r>
      <w:r>
        <w:rPr>
          <w:rFonts w:ascii="arial" w:eastAsia="arial" w:hAnsi="arial" w:cs="arial"/>
          <w:b w:val="0"/>
          <w:i/>
          <w:strike w:val="0"/>
          <w:noProof w:val="0"/>
          <w:color w:val="000000"/>
          <w:position w:val="0"/>
          <w:sz w:val="20"/>
          <w:u w:val="none"/>
          <w:vertAlign w:val="baseline"/>
        </w:rPr>
        <w:t xml:space="preserve">See </w:t>
      </w:r>
      <w:hyperlink r:id="rId33" w:history="1">
        <w:r>
          <w:rPr>
            <w:rFonts w:ascii="arial" w:eastAsia="arial" w:hAnsi="arial" w:cs="arial"/>
            <w:b w:val="0"/>
            <w:i/>
            <w:strike w:val="0"/>
            <w:noProof w:val="0"/>
            <w:color w:val="0077CC"/>
            <w:position w:val="0"/>
            <w:sz w:val="20"/>
            <w:u w:val="single"/>
            <w:vertAlign w:val="baseline"/>
          </w:rPr>
          <w:t>Certain Funds, Accts. &amp;/or Inv. Vehicles v. KPMG, L.L.P.</w:t>
        </w:r>
      </w:hyperlink>
      <w:hyperlink r:id="rId33" w:history="1">
        <w:r>
          <w:rPr>
            <w:rFonts w:ascii="arial" w:eastAsia="arial" w:hAnsi="arial" w:cs="arial"/>
            <w:b w:val="0"/>
            <w:i/>
            <w:strike w:val="0"/>
            <w:noProof w:val="0"/>
            <w:color w:val="0077CC"/>
            <w:position w:val="0"/>
            <w:sz w:val="20"/>
            <w:u w:val="single"/>
            <w:vertAlign w:val="baseline"/>
          </w:rPr>
          <w:t>, 798 F.3d 113, 123 (2d Cir. 2015)</w:t>
        </w:r>
      </w:hyperlink>
      <w:r>
        <w:rPr>
          <w:rFonts w:ascii="arial" w:eastAsia="arial" w:hAnsi="arial" w:cs="arial"/>
          <w:b w:val="0"/>
          <w:i w:val="0"/>
          <w:strike w:val="0"/>
          <w:noProof w:val="0"/>
          <w:color w:val="000000"/>
          <w:position w:val="0"/>
          <w:sz w:val="20"/>
          <w:u w:val="none"/>
          <w:vertAlign w:val="baseline"/>
        </w:rPr>
        <w:t xml:space="preserve"> ("[a]ssuming that the Funds would actually be parties" to certain planned legal proceedings, "there is no question as to these proceedings that the Funds meet the 'interested persons' . . . requirement[].").</w:t>
      </w:r>
    </w:p>
    <w:p>
      <w:pPr>
        <w:keepNext w:val="0"/>
        <w:spacing w:before="240" w:after="0" w:line="260" w:lineRule="atLeast"/>
        <w:ind w:left="0" w:right="0" w:firstLine="0"/>
        <w:jc w:val="both"/>
      </w:pPr>
      <w:bookmarkStart w:id="71" w:name="Bookmark_para_33"/>
      <w:bookmarkEnd w:id="71"/>
      <w:r>
        <w:rPr>
          <w:rFonts w:ascii="arial" w:eastAsia="arial" w:hAnsi="arial" w:cs="arial"/>
          <w:b w:val="0"/>
          <w:i w:val="0"/>
          <w:strike w:val="0"/>
          <w:noProof w:val="0"/>
          <w:color w:val="000000"/>
          <w:position w:val="0"/>
          <w:sz w:val="20"/>
          <w:u w:val="none"/>
          <w:vertAlign w:val="baseline"/>
        </w:rPr>
        <w:t xml:space="preserve">However, the Application founders on the second statutory requirement: that the information sought be "for use in a proceeding before a foreign tribunal." </w:t>
      </w:r>
      <w:hyperlink r:id="rId10" w:history="1">
        <w:r>
          <w:rPr>
            <w:rFonts w:ascii="arial" w:eastAsia="arial" w:hAnsi="arial" w:cs="arial"/>
            <w:b w:val="0"/>
            <w:i/>
            <w:strike w:val="0"/>
            <w:noProof w:val="0"/>
            <w:color w:val="0077CC"/>
            <w:position w:val="0"/>
            <w:sz w:val="20"/>
            <w:u w:val="single"/>
            <w:vertAlign w:val="baseline"/>
          </w:rPr>
          <w:t>28 U.S.C. § 1782(a)</w:t>
        </w:r>
      </w:hyperlink>
      <w:r>
        <w:rPr>
          <w:rFonts w:ascii="arial" w:eastAsia="arial" w:hAnsi="arial" w:cs="arial"/>
          <w:b w:val="0"/>
          <w:i w:val="0"/>
          <w:strike w:val="0"/>
          <w:noProof w:val="0"/>
          <w:color w:val="000000"/>
          <w:position w:val="0"/>
          <w:sz w:val="20"/>
          <w:u w:val="none"/>
          <w:vertAlign w:val="baseline"/>
        </w:rPr>
        <w:t xml:space="preserve">. While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 xml:space="preserve"> "does not limit the provision of judicial assistance to 'pending' adjudicative proceedings," </w:t>
      </w:r>
      <w:hyperlink r:id="rId31" w:history="1">
        <w:r>
          <w:rPr>
            <w:rFonts w:ascii="arial" w:eastAsia="arial" w:hAnsi="arial" w:cs="arial"/>
            <w:b w:val="0"/>
            <w:i/>
            <w:strike w:val="0"/>
            <w:noProof w:val="0"/>
            <w:color w:val="0077CC"/>
            <w:position w:val="0"/>
            <w:sz w:val="20"/>
            <w:u w:val="single"/>
            <w:vertAlign w:val="baseline"/>
          </w:rPr>
          <w:t>Intel</w:t>
        </w:r>
      </w:hyperlink>
      <w:hyperlink r:id="rId31" w:history="1">
        <w:r>
          <w:rPr>
            <w:rFonts w:ascii="arial" w:eastAsia="arial" w:hAnsi="arial" w:cs="arial"/>
            <w:b w:val="0"/>
            <w:i/>
            <w:strike w:val="0"/>
            <w:noProof w:val="0"/>
            <w:color w:val="0077CC"/>
            <w:position w:val="0"/>
            <w:sz w:val="20"/>
            <w:u w:val="single"/>
            <w:vertAlign w:val="baseline"/>
          </w:rPr>
          <w:t>, 542 U.S at 258</w:t>
        </w:r>
      </w:hyperlink>
      <w:r>
        <w:rPr>
          <w:rFonts w:ascii="arial" w:eastAsia="arial" w:hAnsi="arial" w:cs="arial"/>
          <w:b w:val="0"/>
          <w:i w:val="0"/>
          <w:strike w:val="0"/>
          <w:noProof w:val="0"/>
          <w:color w:val="000000"/>
          <w:position w:val="0"/>
          <w:sz w:val="20"/>
          <w:u w:val="none"/>
          <w:vertAlign w:val="baseline"/>
        </w:rPr>
        <w:t xml:space="preserve">, it does require the applicant to put forward "reliable indications of the likelihood that proceedings will be instituted within a reasonable time." </w:t>
      </w:r>
      <w:hyperlink r:id="rId33" w:history="1">
        <w:r>
          <w:rPr>
            <w:rFonts w:ascii="arial" w:eastAsia="arial" w:hAnsi="arial" w:cs="arial"/>
            <w:b w:val="0"/>
            <w:i/>
            <w:strike w:val="0"/>
            <w:noProof w:val="0"/>
            <w:color w:val="0077CC"/>
            <w:position w:val="0"/>
            <w:sz w:val="20"/>
            <w:u w:val="single"/>
            <w:vertAlign w:val="baseline"/>
          </w:rPr>
          <w:t>Certain Funds</w:t>
        </w:r>
      </w:hyperlink>
      <w:hyperlink r:id="rId33" w:history="1">
        <w:r>
          <w:rPr>
            <w:rFonts w:ascii="arial" w:eastAsia="arial" w:hAnsi="arial" w:cs="arial"/>
            <w:b w:val="0"/>
            <w:i/>
            <w:strike w:val="0"/>
            <w:noProof w:val="0"/>
            <w:color w:val="0077CC"/>
            <w:position w:val="0"/>
            <w:sz w:val="20"/>
            <w:u w:val="single"/>
            <w:vertAlign w:val="baseline"/>
          </w:rPr>
          <w:t>, 798 F.3d at 123</w:t>
        </w:r>
      </w:hyperlink>
      <w:r>
        <w:rPr>
          <w:rFonts w:ascii="arial" w:eastAsia="arial" w:hAnsi="arial" w:cs="arial"/>
          <w:b w:val="0"/>
          <w:i w:val="0"/>
          <w:strike w:val="0"/>
          <w:noProof w:val="0"/>
          <w:color w:val="000000"/>
          <w:position w:val="0"/>
          <w:sz w:val="20"/>
          <w:u w:val="none"/>
          <w:vertAlign w:val="baseline"/>
        </w:rPr>
        <w:t xml:space="preserve"> (quoting </w:t>
      </w:r>
      <w:hyperlink r:id="rId34" w:history="1">
        <w:r>
          <w:rPr>
            <w:rFonts w:ascii="arial" w:eastAsia="arial" w:hAnsi="arial" w:cs="arial"/>
            <w:b w:val="0"/>
            <w:i/>
            <w:strike w:val="0"/>
            <w:noProof w:val="0"/>
            <w:color w:val="0077CC"/>
            <w:position w:val="0"/>
            <w:sz w:val="20"/>
            <w:u w:val="single"/>
            <w:vertAlign w:val="baseline"/>
          </w:rPr>
          <w:t>Application of Consorcio Ecuatoriano de Telecomunicaciones S.A. v. JAS Forwarding (USA), Inc.</w:t>
        </w:r>
      </w:hyperlink>
      <w:hyperlink r:id="rId34" w:history="1">
        <w:r>
          <w:rPr>
            <w:rFonts w:ascii="arial" w:eastAsia="arial" w:hAnsi="arial" w:cs="arial"/>
            <w:b w:val="0"/>
            <w:i/>
            <w:strike w:val="0"/>
            <w:noProof w:val="0"/>
            <w:color w:val="0077CC"/>
            <w:position w:val="0"/>
            <w:sz w:val="20"/>
            <w:u w:val="single"/>
            <w:vertAlign w:val="baseline"/>
          </w:rPr>
          <w:t>, 747 F.3d 1262, 1270 (11th Cir. 2014)</w:t>
        </w:r>
      </w:hyperlink>
      <w:r>
        <w:rPr>
          <w:rFonts w:ascii="arial" w:eastAsia="arial" w:hAnsi="arial" w:cs="arial"/>
          <w:b w:val="0"/>
          <w:i w:val="0"/>
          <w:strike w:val="0"/>
          <w:noProof w:val="0"/>
          <w:color w:val="000000"/>
          <w:position w:val="0"/>
          <w:sz w:val="20"/>
          <w:u w:val="none"/>
          <w:vertAlign w:val="baseline"/>
        </w:rPr>
        <w:t xml:space="preserve">). The contemplated proceedings "cannot be merely speculative."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124</w:t>
        </w:r>
      </w:hyperlink>
      <w:r>
        <w:rPr>
          <w:rFonts w:ascii="arial" w:eastAsia="arial" w:hAnsi="arial" w:cs="arial"/>
          <w:b w:val="0"/>
          <w:i w:val="0"/>
          <w:strike w:val="0"/>
          <w:noProof w:val="0"/>
          <w:color w:val="000000"/>
          <w:position w:val="0"/>
          <w:sz w:val="20"/>
          <w:u w:val="none"/>
          <w:vertAlign w:val="baseline"/>
        </w:rPr>
        <w:t xml:space="preserve">. Thus, "a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 xml:space="preserve"> applicant must present to the district court some concrete basis from which it can determine that the contemplated proceeding is more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than just a twinkle in counsel's eye." </w:t>
      </w:r>
      <w:hyperlink r:id="rId33" w:history="1">
        <w:r>
          <w:rPr>
            <w:rFonts w:ascii="arial" w:eastAsia="arial" w:hAnsi="arial" w:cs="arial"/>
            <w:b w:val="0"/>
            <w:i/>
            <w:strike w:val="0"/>
            <w:noProof w:val="0"/>
            <w:color w:val="0077CC"/>
            <w:position w:val="0"/>
            <w:sz w:val="20"/>
            <w:u w:val="single"/>
            <w:vertAlign w:val="baseline"/>
          </w:rPr>
          <w:t>Certain Funds</w:t>
        </w:r>
      </w:hyperlink>
      <w:hyperlink r:id="rId33" w:history="1">
        <w:r>
          <w:rPr>
            <w:rFonts w:ascii="arial" w:eastAsia="arial" w:hAnsi="arial" w:cs="arial"/>
            <w:b w:val="0"/>
            <w:i/>
            <w:strike w:val="0"/>
            <w:noProof w:val="0"/>
            <w:color w:val="0077CC"/>
            <w:position w:val="0"/>
            <w:sz w:val="20"/>
            <w:u w:val="single"/>
            <w:vertAlign w:val="baseline"/>
          </w:rPr>
          <w:t>, 798 F.3d at 124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34"/>
      <w:bookmarkEnd w:id="72"/>
      <w:r>
        <w:rPr>
          <w:rFonts w:ascii="arial" w:eastAsia="arial" w:hAnsi="arial" w:cs="arial"/>
          <w:b w:val="0"/>
          <w:i w:val="0"/>
          <w:strike w:val="0"/>
          <w:noProof w:val="0"/>
          <w:color w:val="000000"/>
          <w:position w:val="0"/>
          <w:sz w:val="20"/>
          <w:u w:val="none"/>
          <w:vertAlign w:val="baseline"/>
        </w:rPr>
        <w:t xml:space="preserve">In </w:t>
      </w:r>
      <w:hyperlink r:id="rId33" w:history="1">
        <w:r>
          <w:rPr>
            <w:rFonts w:ascii="arial" w:eastAsia="arial" w:hAnsi="arial" w:cs="arial"/>
            <w:b w:val="0"/>
            <w:i/>
            <w:strike w:val="0"/>
            <w:noProof w:val="0"/>
            <w:color w:val="0077CC"/>
            <w:position w:val="0"/>
            <w:sz w:val="20"/>
            <w:u w:val="single"/>
            <w:vertAlign w:val="baseline"/>
          </w:rPr>
          <w:t>Certain Funds</w:t>
        </w:r>
      </w:hyperlink>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 xml:space="preserve"> applicants (the Funds) held financial instruments (including a Shari'a compliant </w:t>
      </w:r>
      <w:r>
        <w:rPr>
          <w:rFonts w:ascii="arial" w:eastAsia="arial" w:hAnsi="arial" w:cs="arial"/>
          <w:b w:val="0"/>
          <w:i/>
          <w:strike w:val="0"/>
          <w:noProof w:val="0"/>
          <w:color w:val="000000"/>
          <w:position w:val="0"/>
          <w:sz w:val="20"/>
          <w:u w:val="none"/>
          <w:vertAlign w:val="baseline"/>
        </w:rPr>
        <w:t>sukuk</w:t>
      </w:r>
      <w:r>
        <w:rPr>
          <w:rFonts w:ascii="arial" w:eastAsia="arial" w:hAnsi="arial" w:cs="arial"/>
          <w:b w:val="0"/>
          <w:i w:val="0"/>
          <w:strike w:val="0"/>
          <w:noProof w:val="0"/>
          <w:color w:val="000000"/>
          <w:position w:val="0"/>
          <w:sz w:val="20"/>
          <w:u w:val="none"/>
          <w:vertAlign w:val="baseline"/>
        </w:rPr>
        <w:t xml:space="preserve">) issued by two Saudi conglomerates, Saad and AHAB, which defaulted on those instruments as a result of fraud and embezzlement by the owner of </w:t>
      </w:r>
      <w:hyperlink r:id="rId33" w:history="1">
        <w:r>
          <w:rPr>
            <w:rFonts w:ascii="arial" w:eastAsia="arial" w:hAnsi="arial" w:cs="arial"/>
            <w:b w:val="0"/>
            <w:i/>
            <w:strike w:val="0"/>
            <w:noProof w:val="0"/>
            <w:color w:val="0077CC"/>
            <w:position w:val="0"/>
            <w:sz w:val="20"/>
            <w:u w:val="single"/>
            <w:vertAlign w:val="baseline"/>
          </w:rPr>
          <w:t>Saad. 798 F.3d at 115</w:t>
        </w:r>
      </w:hyperlink>
      <w:r>
        <w:rPr>
          <w:rFonts w:ascii="arial" w:eastAsia="arial" w:hAnsi="arial" w:cs="arial"/>
          <w:b w:val="0"/>
          <w:i w:val="0"/>
          <w:strike w:val="0"/>
          <w:noProof w:val="0"/>
          <w:color w:val="000000"/>
          <w:position w:val="0"/>
          <w:sz w:val="20"/>
          <w:u w:val="none"/>
          <w:vertAlign w:val="baseline"/>
        </w:rPr>
        <w:t xml:space="preserve">. Five years after the defaults, the Funds sought discovery in this Court from various accounting firms that were "likely to have information about the finances of the two conglomerates," which information, according to the Funds, would be "highly useful and relevant" to certain pending foreign proceedings, and would also be used in "several legal actions that the Funds planned to initiate directly."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116</w:t>
        </w:r>
      </w:hyperlink>
      <w:r>
        <w:rPr>
          <w:rFonts w:ascii="arial" w:eastAsia="arial" w:hAnsi="arial" w:cs="arial"/>
          <w:b w:val="0"/>
          <w:i w:val="0"/>
          <w:strike w:val="0"/>
          <w:noProof w:val="0"/>
          <w:color w:val="000000"/>
          <w:position w:val="0"/>
          <w:sz w:val="20"/>
          <w:u w:val="none"/>
          <w:vertAlign w:val="baseline"/>
        </w:rPr>
        <w:t>. The Funds identified three planned proceedings as follows:</w:t>
      </w:r>
    </w:p>
    <w:p>
      <w:pPr>
        <w:keepNext w:val="0"/>
        <w:spacing w:before="200" w:after="0" w:line="260" w:lineRule="atLeast"/>
        <w:ind w:left="400" w:right="0" w:firstLine="0"/>
        <w:jc w:val="both"/>
      </w:pPr>
      <w:bookmarkStart w:id="73" w:name="Bookmark_para_35"/>
      <w:bookmarkEnd w:id="73"/>
      <w:r>
        <w:rPr>
          <w:rFonts w:ascii="arial" w:eastAsia="arial" w:hAnsi="arial" w:cs="arial"/>
          <w:b w:val="0"/>
          <w:i w:val="0"/>
          <w:strike w:val="0"/>
          <w:noProof w:val="0"/>
          <w:color w:val="000000"/>
          <w:position w:val="0"/>
          <w:sz w:val="20"/>
          <w:u w:val="none"/>
          <w:vertAlign w:val="baseline"/>
        </w:rPr>
        <w:t>(1) direct claims brought against Saad and AHAB before the Saudi quasi-judicial Negotiable Instruments and Banking Disputes Committees, relating to obligations under promissory notes and various debt instruments; (2) a claim in English courts, sounding in tort and breach of contract, 'against those responsible for the faulty financial reports that misled investors into purchasing interests in [the] GB1 [</w:t>
      </w:r>
      <w:r>
        <w:rPr>
          <w:rFonts w:ascii="arial" w:eastAsia="arial" w:hAnsi="arial" w:cs="arial"/>
          <w:b w:val="0"/>
          <w:i/>
          <w:strike w:val="0"/>
          <w:noProof w:val="0"/>
          <w:color w:val="000000"/>
          <w:position w:val="0"/>
          <w:sz w:val="20"/>
          <w:u w:val="none"/>
          <w:vertAlign w:val="baseline"/>
        </w:rPr>
        <w:t>sukuk</w:t>
      </w:r>
      <w:r>
        <w:rPr>
          <w:rFonts w:ascii="arial" w:eastAsia="arial" w:hAnsi="arial" w:cs="arial"/>
          <w:b w:val="0"/>
          <w:i w:val="0"/>
          <w:strike w:val="0"/>
          <w:noProof w:val="0"/>
          <w:color w:val="000000"/>
          <w:position w:val="0"/>
          <w:sz w:val="20"/>
          <w:u w:val="none"/>
          <w:vertAlign w:val="baseline"/>
        </w:rPr>
        <w:t>]'; and (3) relief from 'the Kingdom of Saudi</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Arabia or its agencies' for alleged discriminatory conduct against foreign creditors in the settlement of debts owed by the various investment instruments.</w:t>
      </w:r>
    </w:p>
    <w:p>
      <w:pPr>
        <w:keepNext w:val="0"/>
        <w:spacing w:before="20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Id.</w:t>
        </w:r>
      </w:hyperlink>
      <w:hyperlink r:id="rId33" w:history="1">
        <w:r>
          <w:rPr>
            <w:rFonts w:ascii="arial" w:eastAsia="arial" w:hAnsi="arial" w:cs="arial"/>
            <w:b w:val="0"/>
            <w:i/>
            <w:strike w:val="0"/>
            <w:color w:val="0077CC"/>
            <w:sz w:val="20"/>
            <w:u w:val="single"/>
            <w:vertAlign w:val="baseline"/>
          </w:rPr>
          <w:t xml:space="preserve"> at 123</w:t>
        </w:r>
      </w:hyperlink>
      <w:r>
        <w:rPr>
          <w:rFonts w:ascii="arial" w:eastAsia="arial" w:hAnsi="arial" w:cs="arial"/>
          <w:b w:val="0"/>
          <w:i w:val="0"/>
          <w:strike w:val="0"/>
          <w:noProof w:val="0"/>
          <w:color w:val="000000"/>
          <w:position w:val="0"/>
          <w:sz w:val="20"/>
          <w:u w:val="none"/>
          <w:vertAlign w:val="baseline"/>
        </w:rPr>
        <w:t xml:space="preserve">. The district court denied the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 xml:space="preserve"> application, ruling - among other things - that even though the Funds had "retained counsel to investigate and prosecute their claims in the planned proceedings," those proceedings were not yet "within reasonable contemplation."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117</w:t>
        </w:r>
      </w:hyperlink>
      <w:r>
        <w:rPr>
          <w:rFonts w:ascii="arial" w:eastAsia="arial" w:hAnsi="arial" w:cs="arial"/>
          <w:b w:val="0"/>
          <w:i w:val="0"/>
          <w:strike w:val="0"/>
          <w:noProof w:val="0"/>
          <w:color w:val="000000"/>
          <w:position w:val="0"/>
          <w:sz w:val="20"/>
          <w:u w:val="none"/>
          <w:vertAlign w:val="baseline"/>
        </w:rPr>
        <w:t xml:space="preserve">. By the time the case came before the Court of Appeals, the action in the English courts "had finally been commenced." </w:t>
      </w:r>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124</w:t>
        </w:r>
      </w:hyperlink>
      <w:r>
        <w:rPr>
          <w:rFonts w:ascii="arial" w:eastAsia="arial" w:hAnsi="arial" w:cs="arial"/>
          <w:b w:val="0"/>
          <w:i w:val="0"/>
          <w:strike w:val="0"/>
          <w:noProof w:val="0"/>
          <w:color w:val="000000"/>
          <w:position w:val="0"/>
          <w:sz w:val="20"/>
          <w:u w:val="none"/>
          <w:vertAlign w:val="baseline"/>
        </w:rPr>
        <w:t xml:space="preserve">. Nonetheless, the Second Circuit affirmed the ruling below, explaining that the relevant question was "whether the contemplated proceedings were within reasonable contemplation at the time the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 xml:space="preserve"> application was filed,"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answering that question in the negative: "[A]ll that the Funds alleged before the district court was that they had retained counsel and were discussing the </w:t>
      </w:r>
      <w:r>
        <w:rPr>
          <w:rFonts w:ascii="arial" w:eastAsia="arial" w:hAnsi="arial" w:cs="arial"/>
          <w:b w:val="0"/>
          <w:i/>
          <w:strike w:val="0"/>
          <w:noProof w:val="0"/>
          <w:color w:val="000000"/>
          <w:position w:val="0"/>
          <w:sz w:val="20"/>
          <w:u w:val="none"/>
          <w:vertAlign w:val="baseline"/>
        </w:rPr>
        <w:t>possibility</w:t>
      </w:r>
      <w:r>
        <w:rPr>
          <w:rFonts w:ascii="arial" w:eastAsia="arial" w:hAnsi="arial" w:cs="arial"/>
          <w:b w:val="0"/>
          <w:i w:val="0"/>
          <w:strike w:val="0"/>
          <w:noProof w:val="0"/>
          <w:color w:val="000000"/>
          <w:position w:val="0"/>
          <w:sz w:val="20"/>
          <w:u w:val="none"/>
          <w:vertAlign w:val="baseline"/>
        </w:rPr>
        <w:t xml:space="preserve"> of initiating litigation. Accordingly, at the time the evidence was sought in this case, the Funds had done little to make an objective showing that the planned proceedings were within reasonable contemplation."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4" w:name="Bookmark_para_36"/>
      <w:bookmarkEnd w:id="74"/>
      <w:r>
        <w:rPr>
          <w:rFonts w:ascii="arial" w:eastAsia="arial" w:hAnsi="arial" w:cs="arial"/>
          <w:b w:val="0"/>
          <w:i w:val="0"/>
          <w:strike w:val="0"/>
          <w:noProof w:val="0"/>
          <w:color w:val="000000"/>
          <w:position w:val="0"/>
          <w:sz w:val="20"/>
          <w:u w:val="none"/>
          <w:vertAlign w:val="baseline"/>
        </w:rPr>
        <w:t xml:space="preserve">Similarly, in </w:t>
      </w:r>
      <w:hyperlink r:id="rId35" w:history="1">
        <w:r>
          <w:rPr>
            <w:rFonts w:ascii="arial" w:eastAsia="arial" w:hAnsi="arial" w:cs="arial"/>
            <w:b w:val="0"/>
            <w:i/>
            <w:strike w:val="0"/>
            <w:noProof w:val="0"/>
            <w:color w:val="0077CC"/>
            <w:position w:val="0"/>
            <w:sz w:val="20"/>
            <w:u w:val="single"/>
            <w:vertAlign w:val="baseline"/>
          </w:rPr>
          <w:t>Mangouras v. Squire Patton Boggs</w:t>
        </w:r>
      </w:hyperlink>
      <w:hyperlink r:id="rId35" w:history="1">
        <w:r>
          <w:rPr>
            <w:rFonts w:ascii="arial" w:eastAsia="arial" w:hAnsi="arial" w:cs="arial"/>
            <w:b w:val="0"/>
            <w:i/>
            <w:strike w:val="0"/>
            <w:noProof w:val="0"/>
            <w:color w:val="0077CC"/>
            <w:position w:val="0"/>
            <w:sz w:val="20"/>
            <w:u w:val="single"/>
            <w:vertAlign w:val="baseline"/>
          </w:rPr>
          <w:t>, 980 F.3d 88 (2d Cir. 2020)</w:t>
        </w:r>
      </w:hyperlink>
      <w:r>
        <w:rPr>
          <w:rFonts w:ascii="arial" w:eastAsia="arial" w:hAnsi="arial" w:cs="arial"/>
          <w:b w:val="0"/>
          <w:i w:val="0"/>
          <w:strike w:val="0"/>
          <w:noProof w:val="0"/>
          <w:color w:val="000000"/>
          <w:position w:val="0"/>
          <w:sz w:val="20"/>
          <w:u w:val="none"/>
          <w:vertAlign w:val="baseline"/>
        </w:rPr>
        <w:t>, the Second Circuit held that the district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court should have denied a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 xml:space="preserve"> application where the evidence was sought for use in a potential private criminal action in Spain, known as a Querella Criminal, against three individuals who allegedly testified falsely against Mangouras in prior Spanish proceedings. </w:t>
      </w:r>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93</w:t>
        </w:r>
      </w:hyperlink>
      <w:r>
        <w:rPr>
          <w:rFonts w:ascii="arial" w:eastAsia="arial" w:hAnsi="arial" w:cs="arial"/>
          <w:b w:val="0"/>
          <w:i w:val="0"/>
          <w:strike w:val="0"/>
          <w:noProof w:val="0"/>
          <w:color w:val="000000"/>
          <w:position w:val="0"/>
          <w:sz w:val="20"/>
          <w:u w:val="none"/>
          <w:vertAlign w:val="baseline"/>
        </w:rPr>
        <w:t xml:space="preserve">. Although Mangouras identified the forum and the intended defendants, he "did not provide the legal theory supporting such a proceeding, nor did he clearly lay out either the content of his claims or even a sufficiently concrete basis for Mangouras's belief that the witnesses gave false testimony in Spain." </w:t>
      </w:r>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101</w:t>
        </w:r>
      </w:hyperlink>
      <w:r>
        <w:rPr>
          <w:rFonts w:ascii="arial" w:eastAsia="arial" w:hAnsi="arial" w:cs="arial"/>
          <w:b w:val="0"/>
          <w:i w:val="0"/>
          <w:strike w:val="0"/>
          <w:noProof w:val="0"/>
          <w:color w:val="000000"/>
          <w:position w:val="0"/>
          <w:sz w:val="20"/>
          <w:u w:val="none"/>
          <w:vertAlign w:val="baseline"/>
        </w:rPr>
        <w:t xml:space="preserve">. Moreover, he admitted that the evidence he sought in New York was "necessary to establish </w:t>
      </w:r>
      <w:r>
        <w:rPr>
          <w:rFonts w:ascii="arial" w:eastAsia="arial" w:hAnsi="arial" w:cs="arial"/>
          <w:b w:val="0"/>
          <w:i/>
          <w:strike w:val="0"/>
          <w:noProof w:val="0"/>
          <w:color w:val="000000"/>
          <w:position w:val="0"/>
          <w:sz w:val="20"/>
          <w:u w:val="none"/>
          <w:vertAlign w:val="baseline"/>
        </w:rPr>
        <w:t>whether</w:t>
      </w:r>
      <w:r>
        <w:rPr>
          <w:rFonts w:ascii="arial" w:eastAsia="arial" w:hAnsi="arial" w:cs="arial"/>
          <w:b w:val="0"/>
          <w:i w:val="0"/>
          <w:strike w:val="0"/>
          <w:noProof w:val="0"/>
          <w:color w:val="000000"/>
          <w:position w:val="0"/>
          <w:sz w:val="20"/>
          <w:u w:val="none"/>
          <w:vertAlign w:val="baseline"/>
        </w:rPr>
        <w:t xml:space="preserve"> the witnesses, each of which provided false evidence, provided false evidence in New York or in Spain, or </w:t>
      </w:r>
      <w:r>
        <w:rPr>
          <w:rFonts w:ascii="arial" w:eastAsia="arial" w:hAnsi="arial" w:cs="arial"/>
          <w:b w:val="0"/>
          <w:i/>
          <w:strike w:val="0"/>
          <w:noProof w:val="0"/>
          <w:color w:val="000000"/>
          <w:position w:val="0"/>
          <w:sz w:val="20"/>
          <w:u w:val="none"/>
          <w:vertAlign w:val="baseline"/>
        </w:rPr>
        <w:t>possibly</w:t>
      </w:r>
      <w:r>
        <w:rPr>
          <w:rFonts w:ascii="arial" w:eastAsia="arial" w:hAnsi="arial" w:cs="arial"/>
          <w:b w:val="0"/>
          <w:i w:val="0"/>
          <w:strike w:val="0"/>
          <w:noProof w:val="0"/>
          <w:color w:val="000000"/>
          <w:position w:val="0"/>
          <w:sz w:val="20"/>
          <w:u w:val="none"/>
          <w:vertAlign w:val="baseline"/>
        </w:rPr>
        <w:t xml:space="preserve"> in both jurisdictions," </w:t>
      </w:r>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101-02</w:t>
        </w:r>
      </w:hyperlink>
      <w:r>
        <w:rPr>
          <w:rFonts w:ascii="arial" w:eastAsia="arial" w:hAnsi="arial" w:cs="arial"/>
          <w:b w:val="0"/>
          <w:i w:val="0"/>
          <w:strike w:val="0"/>
          <w:noProof w:val="0"/>
          <w:color w:val="000000"/>
          <w:position w:val="0"/>
          <w:sz w:val="20"/>
          <w:u w:val="none"/>
          <w:vertAlign w:val="baseline"/>
        </w:rPr>
        <w:t xml:space="preserve"> (emphasis in the original), which "underscored the tentativeness of the Querella Criminal proceedings." </w:t>
      </w:r>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101</w:t>
        </w:r>
      </w:hyperlink>
      <w:r>
        <w:rPr>
          <w:rFonts w:ascii="arial" w:eastAsia="arial" w:hAnsi="arial" w:cs="arial"/>
          <w:b w:val="0"/>
          <w:i w:val="0"/>
          <w:strike w:val="0"/>
          <w:noProof w:val="0"/>
          <w:color w:val="000000"/>
          <w:position w:val="0"/>
          <w:sz w:val="20"/>
          <w:u w:val="none"/>
          <w:vertAlign w:val="baseline"/>
        </w:rPr>
        <w:t xml:space="preserve">. Thus, the Second Circuit concluded, "the district court erred in finding that the Querella Criminal proceedings were reasonably contemplated." </w:t>
      </w:r>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37"/>
      <w:bookmarkEnd w:id="75"/>
      <w:bookmarkStart w:id="76" w:name="Bookmark_I69P8NR02SF84W0050000400"/>
      <w:bookmarkEnd w:id="76"/>
      <w:r>
        <w:rPr>
          <w:rFonts w:ascii="arial" w:eastAsia="arial" w:hAnsi="arial" w:cs="arial"/>
          <w:b w:val="0"/>
          <w:i w:val="0"/>
          <w:strike w:val="0"/>
          <w:noProof w:val="0"/>
          <w:color w:val="000000"/>
          <w:position w:val="0"/>
          <w:sz w:val="20"/>
          <w:u w:val="none"/>
          <w:vertAlign w:val="baseline"/>
        </w:rPr>
        <w:t xml:space="preserve">Both before and after </w:t>
      </w:r>
      <w:bookmarkStart w:id="77" w:name="Bookmark_I69P8NR02SF84W0040000400"/>
      <w:bookmarkEnd w:id="77"/>
      <w:hyperlink r:id="rId35" w:history="1">
        <w:r>
          <w:rPr>
            <w:rFonts w:ascii="arial" w:eastAsia="arial" w:hAnsi="arial" w:cs="arial"/>
            <w:b w:val="0"/>
            <w:i/>
            <w:strike w:val="0"/>
            <w:noProof w:val="0"/>
            <w:color w:val="0077CC"/>
            <w:position w:val="0"/>
            <w:sz w:val="20"/>
            <w:u w:val="single"/>
            <w:vertAlign w:val="baseline"/>
          </w:rPr>
          <w:t>Mangouras</w:t>
        </w:r>
      </w:hyperlink>
      <w:r>
        <w:rPr>
          <w:rFonts w:ascii="arial" w:eastAsia="arial" w:hAnsi="arial" w:cs="arial"/>
          <w:b w:val="0"/>
          <w:i w:val="0"/>
          <w:strike w:val="0"/>
          <w:noProof w:val="0"/>
          <w:color w:val="000000"/>
          <w:position w:val="0"/>
          <w:sz w:val="20"/>
          <w:u w:val="none"/>
          <w:vertAlign w:val="baseline"/>
        </w:rPr>
        <w:t xml:space="preserve">, the district courts within our Circuit have denied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 xml:space="preserve"> applications for failure to satisfy the second statutory factor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where the applicant proposes to use the requested discovery "to determine whether suit should be brought at all, rather than seeking it 'for use' in contemplated proceedings." </w:t>
      </w:r>
      <w:bookmarkStart w:id="78" w:name="Bookmark_I69P8NR02N1RTJ0010000400"/>
      <w:bookmarkEnd w:id="78"/>
      <w:hyperlink r:id="rId36" w:history="1">
        <w:r>
          <w:rPr>
            <w:rFonts w:ascii="arial" w:eastAsia="arial" w:hAnsi="arial" w:cs="arial"/>
            <w:b w:val="0"/>
            <w:i/>
            <w:strike w:val="0"/>
            <w:noProof w:val="0"/>
            <w:color w:val="0077CC"/>
            <w:position w:val="0"/>
            <w:sz w:val="20"/>
            <w:u w:val="single"/>
            <w:vertAlign w:val="baseline"/>
          </w:rPr>
          <w:t>In re Zouzar Bouka; Vision Indian Ocean S.A.</w:t>
        </w:r>
      </w:hyperlink>
      <w:hyperlink r:id="rId36" w:history="1">
        <w:r>
          <w:rPr>
            <w:rFonts w:ascii="arial" w:eastAsia="arial" w:hAnsi="arial" w:cs="arial"/>
            <w:b w:val="0"/>
            <w:i/>
            <w:strike w:val="0"/>
            <w:noProof w:val="0"/>
            <w:color w:val="0077CC"/>
            <w:position w:val="0"/>
            <w:sz w:val="20"/>
            <w:u w:val="single"/>
            <w:vertAlign w:val="baseline"/>
          </w:rPr>
          <w:t>, 637 F. Supp. 3d 74, 86 (S.D.N.Y.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modified on reconsideration, on other grounds, sub nom. </w:t>
      </w:r>
      <w:bookmarkStart w:id="79" w:name="Bookmark_I6BB15B72SF7TP0030000400"/>
      <w:bookmarkEnd w:id="79"/>
      <w:hyperlink r:id="rId37" w:history="1">
        <w:r>
          <w:rPr>
            <w:rFonts w:ascii="arial" w:eastAsia="arial" w:hAnsi="arial" w:cs="arial"/>
            <w:b w:val="0"/>
            <w:i/>
            <w:strike w:val="0"/>
            <w:noProof w:val="0"/>
            <w:color w:val="0077CC"/>
            <w:position w:val="0"/>
            <w:sz w:val="20"/>
            <w:u w:val="single"/>
            <w:vertAlign w:val="baseline"/>
          </w:rPr>
          <w:t>In re Bouka</w:t>
        </w:r>
      </w:hyperlink>
      <w:hyperlink r:id="rId37" w:history="1">
        <w:r>
          <w:rPr>
            <w:rFonts w:ascii="arial" w:eastAsia="arial" w:hAnsi="arial" w:cs="arial"/>
            <w:b w:val="0"/>
            <w:i/>
            <w:strike w:val="0"/>
            <w:noProof w:val="0"/>
            <w:color w:val="0077CC"/>
            <w:position w:val="0"/>
            <w:sz w:val="20"/>
            <w:u w:val="single"/>
            <w:vertAlign w:val="baseline"/>
          </w:rPr>
          <w:t>, 654 F. Supp. 3d 283, 2023 WL 1490378 (S.D.N.Y. Feb. 3,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0" w:name="Bookmark_I69P8NR02N1RTJ0050000400"/>
      <w:bookmarkEnd w:id="80"/>
      <w:hyperlink r:id="rId38" w:history="1">
        <w:r>
          <w:rPr>
            <w:rFonts w:ascii="arial" w:eastAsia="arial" w:hAnsi="arial" w:cs="arial"/>
            <w:b w:val="0"/>
            <w:i/>
            <w:strike w:val="0"/>
            <w:noProof w:val="0"/>
            <w:color w:val="0077CC"/>
            <w:position w:val="0"/>
            <w:sz w:val="20"/>
            <w:u w:val="single"/>
            <w:vertAlign w:val="baseline"/>
          </w:rPr>
          <w:t>In re Sargeant</w:t>
        </w:r>
      </w:hyperlink>
      <w:hyperlink r:id="rId38" w:history="1">
        <w:r>
          <w:rPr>
            <w:rFonts w:ascii="arial" w:eastAsia="arial" w:hAnsi="arial" w:cs="arial"/>
            <w:b w:val="0"/>
            <w:i/>
            <w:strike w:val="0"/>
            <w:noProof w:val="0"/>
            <w:color w:val="0077CC"/>
            <w:position w:val="0"/>
            <w:sz w:val="20"/>
            <w:u w:val="single"/>
            <w:vertAlign w:val="baseline"/>
          </w:rPr>
          <w:t>, 278 F. Supp. 3d 814, 823 (S.D.N.Y. 2017)</w:t>
        </w:r>
      </w:hyperlink>
      <w:r>
        <w:rPr>
          <w:rFonts w:ascii="arial" w:eastAsia="arial" w:hAnsi="arial" w:cs="arial"/>
          <w:b w:val="0"/>
          <w:i w:val="0"/>
          <w:strike w:val="0"/>
          <w:noProof w:val="0"/>
          <w:color w:val="000000"/>
          <w:position w:val="0"/>
          <w:sz w:val="20"/>
          <w:u w:val="none"/>
          <w:vertAlign w:val="baseline"/>
        </w:rPr>
        <w:t xml:space="preserve"> ("Courts must guard against the specter that parties may use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 xml:space="preserve"> to investigate whether litigation is possible before launching it.").</w:t>
      </w:r>
    </w:p>
    <w:p>
      <w:pPr>
        <w:keepNext w:val="0"/>
        <w:spacing w:before="240" w:after="0" w:line="260" w:lineRule="atLeast"/>
        <w:ind w:left="0" w:right="0" w:firstLine="0"/>
        <w:jc w:val="both"/>
      </w:pPr>
      <w:bookmarkStart w:id="81" w:name="Bookmark_para_38"/>
      <w:bookmarkEnd w:id="81"/>
      <w:r>
        <w:rPr>
          <w:rFonts w:ascii="arial" w:eastAsia="arial" w:hAnsi="arial" w:cs="arial"/>
          <w:b w:val="0"/>
          <w:i w:val="0"/>
          <w:strike w:val="0"/>
          <w:noProof w:val="0"/>
          <w:color w:val="000000"/>
          <w:position w:val="0"/>
          <w:sz w:val="20"/>
          <w:u w:val="none"/>
          <w:vertAlign w:val="baseline"/>
        </w:rPr>
        <w:t xml:space="preserve">For example, in </w:t>
      </w:r>
      <w:hyperlink r:id="rId39" w:history="1">
        <w:r>
          <w:rPr>
            <w:rFonts w:ascii="arial" w:eastAsia="arial" w:hAnsi="arial" w:cs="arial"/>
            <w:b w:val="0"/>
            <w:i/>
            <w:strike w:val="0"/>
            <w:noProof w:val="0"/>
            <w:color w:val="0077CC"/>
            <w:position w:val="0"/>
            <w:sz w:val="20"/>
            <w:u w:val="single"/>
            <w:vertAlign w:val="baseline"/>
          </w:rPr>
          <w:t>Banoka S.à.r.l v. Alvarez &amp; Marshal, Inc.</w:t>
        </w:r>
      </w:hyperlink>
      <w:hyperlink r:id="rId39" w:history="1">
        <w:r>
          <w:rPr>
            <w:rFonts w:ascii="arial" w:eastAsia="arial" w:hAnsi="arial" w:cs="arial"/>
            <w:b w:val="0"/>
            <w:i/>
            <w:strike w:val="0"/>
            <w:noProof w:val="0"/>
            <w:color w:val="0077CC"/>
            <w:position w:val="0"/>
            <w:sz w:val="20"/>
            <w:u w:val="single"/>
            <w:vertAlign w:val="baseline"/>
          </w:rPr>
          <w:t>, 2023 U.S. Dist. LEXIS 17176, 2023 WL 1433681, at *6 (S.D.N.Y. Feb. 1, 2023)</w:t>
        </w:r>
      </w:hyperlink>
      <w:r>
        <w:rPr>
          <w:rFonts w:ascii="arial" w:eastAsia="arial" w:hAnsi="arial" w:cs="arial"/>
          <w:b w:val="0"/>
          <w:i w:val="0"/>
          <w:strike w:val="0"/>
          <w:noProof w:val="0"/>
          <w:color w:val="000000"/>
          <w:position w:val="0"/>
          <w:sz w:val="20"/>
          <w:u w:val="none"/>
          <w:vertAlign w:val="baseline"/>
        </w:rPr>
        <w:t xml:space="preserve">, the court denied a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 xml:space="preserve"> application where the evidence was supposedly for use in an future fraud action in the English High Court of Justice against a specific defendant, but the applicants did not "provide a factual basis for their [fraud] theory" and their "broad demands reveal the discovery sought is more in the nature of a fishing expedition with the hope that it will turn up sufficient factual information to support a colorable claim of fraud." Similarly, in </w:t>
      </w:r>
      <w:hyperlink r:id="rId38" w:history="1">
        <w:r>
          <w:rPr>
            <w:rFonts w:ascii="arial" w:eastAsia="arial" w:hAnsi="arial" w:cs="arial"/>
            <w:b w:val="0"/>
            <w:i/>
            <w:strike w:val="0"/>
            <w:noProof w:val="0"/>
            <w:color w:val="0077CC"/>
            <w:position w:val="0"/>
            <w:sz w:val="20"/>
            <w:u w:val="single"/>
            <w:vertAlign w:val="baseline"/>
          </w:rPr>
          <w:t>Sargeant</w:t>
        </w:r>
      </w:hyperlink>
      <w:r>
        <w:rPr>
          <w:rFonts w:ascii="arial" w:eastAsia="arial" w:hAnsi="arial" w:cs="arial"/>
          <w:b w:val="0"/>
          <w:i w:val="0"/>
          <w:strike w:val="0"/>
          <w:noProof w:val="0"/>
          <w:color w:val="000000"/>
          <w:position w:val="0"/>
          <w:sz w:val="20"/>
          <w:u w:val="none"/>
          <w:vertAlign w:val="baseline"/>
        </w:rPr>
        <w:t xml:space="preserve">, the court denied relief under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 xml:space="preserve"> where the applicant needed the requested discovery "to assess whether he should . . . initiate additional proceedings . . . in the United Kingdom or the Isle of Man." </w:t>
      </w:r>
      <w:hyperlink r:id="rId38" w:history="1">
        <w:r>
          <w:rPr>
            <w:rFonts w:ascii="arial" w:eastAsia="arial" w:hAnsi="arial" w:cs="arial"/>
            <w:b w:val="0"/>
            <w:i/>
            <w:strike w:val="0"/>
            <w:noProof w:val="0"/>
            <w:color w:val="0077CC"/>
            <w:position w:val="0"/>
            <w:sz w:val="20"/>
            <w:u w:val="single"/>
            <w:vertAlign w:val="baseline"/>
          </w:rPr>
          <w:t>278 F. Supp. 3d at 818</w:t>
        </w:r>
      </w:hyperlink>
      <w:r>
        <w:rPr>
          <w:rFonts w:ascii="arial" w:eastAsia="arial" w:hAnsi="arial" w:cs="arial"/>
          <w:b w:val="0"/>
          <w:i w:val="0"/>
          <w:strike w:val="0"/>
          <w:noProof w:val="0"/>
          <w:color w:val="000000"/>
          <w:position w:val="0"/>
          <w:sz w:val="20"/>
          <w:u w:val="none"/>
          <w:vertAlign w:val="baseline"/>
        </w:rPr>
        <w:t>. Those "additional proceedings," the court explained, were "entirely embryonic," in that the application was "bereft of even the broadest contours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what the possible proceeding(s) in the United Kingdom or the Isle of Man may entail."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823</w:t>
        </w:r>
      </w:hyperlink>
      <w:r>
        <w:rPr>
          <w:rFonts w:ascii="arial" w:eastAsia="arial" w:hAnsi="arial" w:cs="arial"/>
          <w:b w:val="0"/>
          <w:i w:val="0"/>
          <w:strike w:val="0"/>
          <w:noProof w:val="0"/>
          <w:color w:val="000000"/>
          <w:position w:val="0"/>
          <w:sz w:val="20"/>
          <w:u w:val="none"/>
          <w:vertAlign w:val="baseline"/>
        </w:rPr>
        <w:t xml:space="preserve">. Moreover, "[t]he assertion that Sargeant plans to use the evidence he seeks to assess whether to initiate actions in the United Kingdom and the Isle of Man underscores the 'mere[ ] speculative[ness]' of the contemplated proceedings, and is plainly insufficient to provide this Court with 'some concrete basis from which it can determine that the contemplated proceeding is more than just a twinkle in counsel's eye.'"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33" w:history="1">
        <w:r>
          <w:rPr>
            <w:rFonts w:ascii="arial" w:eastAsia="arial" w:hAnsi="arial" w:cs="arial"/>
            <w:b w:val="0"/>
            <w:i/>
            <w:strike w:val="0"/>
            <w:noProof w:val="0"/>
            <w:color w:val="0077CC"/>
            <w:position w:val="0"/>
            <w:sz w:val="20"/>
            <w:u w:val="single"/>
            <w:vertAlign w:val="baseline"/>
          </w:rPr>
          <w:t>Certain Funds</w:t>
        </w:r>
      </w:hyperlink>
      <w:hyperlink r:id="rId33" w:history="1">
        <w:r>
          <w:rPr>
            <w:rFonts w:ascii="arial" w:eastAsia="arial" w:hAnsi="arial" w:cs="arial"/>
            <w:b w:val="0"/>
            <w:i/>
            <w:strike w:val="0"/>
            <w:noProof w:val="0"/>
            <w:color w:val="0077CC"/>
            <w:position w:val="0"/>
            <w:sz w:val="20"/>
            <w:u w:val="single"/>
            <w:vertAlign w:val="baseline"/>
          </w:rPr>
          <w:t>, 798 F.3d at 124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83" w:name="Bookmark_para_39"/>
      <w:bookmarkEnd w:id="83"/>
      <w:r>
        <w:rPr>
          <w:rFonts w:ascii="arial" w:eastAsia="arial" w:hAnsi="arial" w:cs="arial"/>
          <w:b w:val="0"/>
          <w:i w:val="0"/>
          <w:strike w:val="0"/>
          <w:noProof w:val="0"/>
          <w:color w:val="000000"/>
          <w:position w:val="0"/>
          <w:sz w:val="20"/>
          <w:u w:val="none"/>
          <w:vertAlign w:val="baseline"/>
        </w:rPr>
        <w:t xml:space="preserve">Here, as in </w:t>
      </w:r>
      <w:hyperlink r:id="rId38" w:history="1">
        <w:r>
          <w:rPr>
            <w:rFonts w:ascii="arial" w:eastAsia="arial" w:hAnsi="arial" w:cs="arial"/>
            <w:b w:val="0"/>
            <w:i/>
            <w:strike w:val="0"/>
            <w:noProof w:val="0"/>
            <w:color w:val="0077CC"/>
            <w:position w:val="0"/>
            <w:sz w:val="20"/>
            <w:u w:val="single"/>
            <w:vertAlign w:val="baseline"/>
          </w:rPr>
          <w:t>Sargeant</w:t>
        </w:r>
      </w:hyperlink>
      <w:r>
        <w:rPr>
          <w:rFonts w:ascii="arial" w:eastAsia="arial" w:hAnsi="arial" w:cs="arial"/>
          <w:b w:val="0"/>
          <w:i w:val="0"/>
          <w:strike w:val="0"/>
          <w:noProof w:val="0"/>
          <w:color w:val="000000"/>
          <w:position w:val="0"/>
          <w:sz w:val="20"/>
          <w:u w:val="none"/>
          <w:vertAlign w:val="baseline"/>
        </w:rPr>
        <w:t xml:space="preserve">, it is clear that the purpose of the requested discovery is "to investigate whether litigation is possible," </w:t>
      </w:r>
      <w:hyperlink r:id="rId38" w:history="1">
        <w:r>
          <w:rPr>
            <w:rFonts w:ascii="arial" w:eastAsia="arial" w:hAnsi="arial" w:cs="arial"/>
            <w:b w:val="0"/>
            <w:i/>
            <w:strike w:val="0"/>
            <w:noProof w:val="0"/>
            <w:color w:val="0077CC"/>
            <w:position w:val="0"/>
            <w:sz w:val="20"/>
            <w:u w:val="single"/>
            <w:vertAlign w:val="baseline"/>
          </w:rPr>
          <w:t>278 F. Supp. 3d at 823</w:t>
        </w:r>
      </w:hyperlink>
      <w:r>
        <w:rPr>
          <w:rFonts w:ascii="arial" w:eastAsia="arial" w:hAnsi="arial" w:cs="arial"/>
          <w:b w:val="0"/>
          <w:i w:val="0"/>
          <w:strike w:val="0"/>
          <w:noProof w:val="0"/>
          <w:color w:val="000000"/>
          <w:position w:val="0"/>
          <w:sz w:val="20"/>
          <w:u w:val="none"/>
          <w:vertAlign w:val="baseline"/>
        </w:rPr>
        <w:t xml:space="preserve">, rather than to use it in any identifiable forum, against any identifiable defendant, on any identifiable theory. Mr. Arif attests, in the broadest possible terms, that LARMO "intends to use the information obtained pursuant to this Application to bring legal proceedings around the world to seize and recover assets[.]" 12/9/21 Arif Decl. ¶ 30. </w:t>
      </w:r>
      <w:bookmarkStart w:id="84" w:name="Bookmark_I6BB15B728T5030010000400"/>
      <w:bookmarkEnd w:id="84"/>
      <w:r>
        <w:rPr>
          <w:rFonts w:ascii="arial" w:eastAsia="arial" w:hAnsi="arial" w:cs="arial"/>
          <w:b w:val="0"/>
          <w:i w:val="0"/>
          <w:strike w:val="0"/>
          <w:noProof w:val="0"/>
          <w:color w:val="000000"/>
          <w:position w:val="0"/>
          <w:sz w:val="20"/>
          <w:u w:val="none"/>
          <w:vertAlign w:val="baseline"/>
        </w:rPr>
        <w:t>He makes no effort to identify - as to even one of these contemplated actions - where it will be brought, when it will be brought, against whom it will be brought, or on what legal theory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it will be brought. Nor is there any indication, in the record before this Court, that LARMO has retained counsel in any of the foreign jurisdictions where the "contemplated actions" will be filed. On the contrary: Arif acknowledges that the purpose of the requested discovery is to "identify and trace assets" that may have been misappropriated from Libya, and that may have been held in (or moved through) the Banks, so that LARMO can </w:t>
      </w:r>
      <w:r>
        <w:rPr>
          <w:rFonts w:ascii="arial" w:eastAsia="arial" w:hAnsi="arial" w:cs="arial"/>
          <w:b w:val="0"/>
          <w:i/>
          <w:strike w:val="0"/>
          <w:noProof w:val="0"/>
          <w:color w:val="000000"/>
          <w:position w:val="0"/>
          <w:sz w:val="20"/>
          <w:u w:val="none"/>
          <w:vertAlign w:val="baseline"/>
        </w:rPr>
        <w:t>begin</w:t>
      </w:r>
      <w:r>
        <w:rPr>
          <w:rFonts w:ascii="arial" w:eastAsia="arial" w:hAnsi="arial" w:cs="arial"/>
          <w:b w:val="0"/>
          <w:i w:val="0"/>
          <w:strike w:val="0"/>
          <w:noProof w:val="0"/>
          <w:color w:val="000000"/>
          <w:position w:val="0"/>
          <w:sz w:val="20"/>
          <w:u w:val="none"/>
          <w:vertAlign w:val="baseline"/>
        </w:rPr>
        <w:t xml:space="preserve"> to "identify the persons improperly holding such assets in various foreign jurisdictions[.]"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34.</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Once that information is obtained, Arif states, unspecified "legal proceedings," in unspecified "relevant jurisdictions," will be commenced against unspecified persons or entities, through unspecified counsel, "to freeze and recover the identified assets."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37.</w:t>
      </w:r>
    </w:p>
    <w:p>
      <w:pPr>
        <w:keepNext w:val="0"/>
        <w:spacing w:before="240" w:after="0" w:line="260" w:lineRule="atLeast"/>
        <w:ind w:left="0" w:right="0" w:firstLine="0"/>
        <w:jc w:val="both"/>
      </w:pPr>
      <w:bookmarkStart w:id="87" w:name="Bookmark_para_40"/>
      <w:bookmarkEnd w:id="87"/>
      <w:r>
        <w:rPr>
          <w:rFonts w:ascii="arial" w:eastAsia="arial" w:hAnsi="arial" w:cs="arial"/>
          <w:b w:val="0"/>
          <w:i w:val="0"/>
          <w:strike w:val="0"/>
          <w:noProof w:val="0"/>
          <w:color w:val="000000"/>
          <w:position w:val="0"/>
          <w:sz w:val="20"/>
          <w:u w:val="none"/>
          <w:vertAlign w:val="baseline"/>
        </w:rPr>
        <w:t xml:space="preserve">LARMO's mission, as set forth in its enabling statutes and decrees, is clear, and its goals are laudable. But that is not enough to unlock the doors of civil discovery, pursuant to </w:t>
      </w:r>
      <w:hyperlink r:id="rId10" w:history="1">
        <w:r>
          <w:rPr>
            <w:rFonts w:ascii="arial" w:eastAsia="arial" w:hAnsi="arial" w:cs="arial"/>
            <w:b w:val="0"/>
            <w:i/>
            <w:strike w:val="0"/>
            <w:noProof w:val="0"/>
            <w:color w:val="0077CC"/>
            <w:position w:val="0"/>
            <w:sz w:val="20"/>
            <w:u w:val="single"/>
            <w:vertAlign w:val="baseline"/>
          </w:rPr>
          <w:t>§ 1782</w:t>
        </w:r>
      </w:hyperlink>
      <w:r>
        <w:rPr>
          <w:rFonts w:ascii="arial" w:eastAsia="arial" w:hAnsi="arial" w:cs="arial"/>
          <w:b w:val="0"/>
          <w:i w:val="0"/>
          <w:strike w:val="0"/>
          <w:noProof w:val="0"/>
          <w:color w:val="000000"/>
          <w:position w:val="0"/>
          <w:sz w:val="20"/>
          <w:u w:val="none"/>
          <w:vertAlign w:val="baseline"/>
        </w:rPr>
        <w:t>, for a wide-ranging investigation into whether, where, and against whom it may be able to bring future litigation to recover stolen assets. The potential foreign proceedings described by Mr. Arif are not yet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even at the "embryonic" stage. </w:t>
      </w:r>
      <w:hyperlink r:id="rId38" w:history="1">
        <w:r>
          <w:rPr>
            <w:rFonts w:ascii="arial" w:eastAsia="arial" w:hAnsi="arial" w:cs="arial"/>
            <w:b w:val="0"/>
            <w:i/>
            <w:strike w:val="0"/>
            <w:noProof w:val="0"/>
            <w:color w:val="0077CC"/>
            <w:position w:val="0"/>
            <w:sz w:val="20"/>
            <w:u w:val="single"/>
            <w:vertAlign w:val="baseline"/>
          </w:rPr>
          <w:t>Sargeant</w:t>
        </w:r>
      </w:hyperlink>
      <w:hyperlink r:id="rId38" w:history="1">
        <w:r>
          <w:rPr>
            <w:rFonts w:ascii="arial" w:eastAsia="arial" w:hAnsi="arial" w:cs="arial"/>
            <w:b w:val="0"/>
            <w:i/>
            <w:strike w:val="0"/>
            <w:noProof w:val="0"/>
            <w:color w:val="0077CC"/>
            <w:position w:val="0"/>
            <w:sz w:val="20"/>
            <w:u w:val="single"/>
            <w:vertAlign w:val="baseline"/>
          </w:rPr>
          <w:t>, 278 F. Supp. 3d at 823</w:t>
        </w:r>
      </w:hyperlink>
      <w:r>
        <w:rPr>
          <w:rFonts w:ascii="arial" w:eastAsia="arial" w:hAnsi="arial" w:cs="arial"/>
          <w:b w:val="0"/>
          <w:i w:val="0"/>
          <w:strike w:val="0"/>
          <w:noProof w:val="0"/>
          <w:color w:val="000000"/>
          <w:position w:val="0"/>
          <w:sz w:val="20"/>
          <w:u w:val="none"/>
          <w:vertAlign w:val="baseline"/>
        </w:rPr>
        <w:t xml:space="preserve">. At best, they are "a twinkle in counsel's eye." </w:t>
      </w:r>
      <w:hyperlink r:id="rId33" w:history="1">
        <w:r>
          <w:rPr>
            <w:rFonts w:ascii="arial" w:eastAsia="arial" w:hAnsi="arial" w:cs="arial"/>
            <w:b w:val="0"/>
            <w:i/>
            <w:strike w:val="0"/>
            <w:noProof w:val="0"/>
            <w:color w:val="0077CC"/>
            <w:position w:val="0"/>
            <w:sz w:val="20"/>
            <w:u w:val="single"/>
            <w:vertAlign w:val="baseline"/>
          </w:rPr>
          <w:t>Certain Funds</w:t>
        </w:r>
      </w:hyperlink>
      <w:hyperlink r:id="rId33" w:history="1">
        <w:r>
          <w:rPr>
            <w:rFonts w:ascii="arial" w:eastAsia="arial" w:hAnsi="arial" w:cs="arial"/>
            <w:b w:val="0"/>
            <w:i/>
            <w:strike w:val="0"/>
            <w:noProof w:val="0"/>
            <w:color w:val="0077CC"/>
            <w:position w:val="0"/>
            <w:sz w:val="20"/>
            <w:u w:val="single"/>
            <w:vertAlign w:val="baseline"/>
          </w:rPr>
          <w:t>, 798 F.3d at 124</w:t>
        </w:r>
      </w:hyperlink>
      <w:r>
        <w:rPr>
          <w:rFonts w:ascii="arial" w:eastAsia="arial" w:hAnsi="arial" w:cs="arial"/>
          <w:b w:val="0"/>
          <w:i w:val="0"/>
          <w:strike w:val="0"/>
          <w:noProof w:val="0"/>
          <w:color w:val="000000"/>
          <w:position w:val="0"/>
          <w:sz w:val="20"/>
          <w:u w:val="none"/>
          <w:vertAlign w:val="baseline"/>
        </w:rPr>
        <w:t xml:space="preserve">. Consequently, there is no need for the Court to reach the discretionary </w:t>
      </w:r>
      <w:hyperlink r:id="rId31" w:history="1">
        <w:r>
          <w:rPr>
            <w:rFonts w:ascii="arial" w:eastAsia="arial" w:hAnsi="arial" w:cs="arial"/>
            <w:b w:val="0"/>
            <w:i/>
            <w:strike w:val="0"/>
            <w:noProof w:val="0"/>
            <w:color w:val="0077CC"/>
            <w:position w:val="0"/>
            <w:sz w:val="20"/>
            <w:u w:val="single"/>
            <w:vertAlign w:val="baseline"/>
          </w:rPr>
          <w:t>Intel</w:t>
        </w:r>
      </w:hyperlink>
      <w:r>
        <w:rPr>
          <w:rFonts w:ascii="arial" w:eastAsia="arial" w:hAnsi="arial" w:cs="arial"/>
          <w:b w:val="0"/>
          <w:i w:val="0"/>
          <w:strike w:val="0"/>
          <w:noProof w:val="0"/>
          <w:color w:val="000000"/>
          <w:position w:val="0"/>
          <w:sz w:val="20"/>
          <w:u w:val="none"/>
          <w:vertAlign w:val="baseline"/>
        </w:rPr>
        <w:t xml:space="preserve"> factors. The Application should be denied because LARMO has failed to establish that the discovery sought is "for use in a proceeding before a foreign tribunal," </w:t>
      </w:r>
      <w:hyperlink r:id="rId10" w:history="1">
        <w:r>
          <w:rPr>
            <w:rFonts w:ascii="arial" w:eastAsia="arial" w:hAnsi="arial" w:cs="arial"/>
            <w:b w:val="0"/>
            <w:i/>
            <w:strike w:val="0"/>
            <w:noProof w:val="0"/>
            <w:color w:val="0077CC"/>
            <w:position w:val="0"/>
            <w:sz w:val="20"/>
            <w:u w:val="single"/>
            <w:vertAlign w:val="baseline"/>
          </w:rPr>
          <w:t>28 U.S.C. § 1782(a)</w:t>
        </w:r>
      </w:hyperlink>
      <w:r>
        <w:rPr>
          <w:rFonts w:ascii="arial" w:eastAsia="arial" w:hAnsi="arial" w:cs="arial"/>
          <w:b w:val="0"/>
          <w:i w:val="0"/>
          <w:strike w:val="0"/>
          <w:noProof w:val="0"/>
          <w:color w:val="000000"/>
          <w:position w:val="0"/>
          <w:sz w:val="20"/>
          <w:u w:val="none"/>
          <w:vertAlign w:val="baseline"/>
        </w:rPr>
        <w:t xml:space="preserve">, and that the planned proceedings are "within reasonable contemplation." </w:t>
      </w:r>
      <w:hyperlink r:id="rId33" w:history="1">
        <w:r>
          <w:rPr>
            <w:rFonts w:ascii="arial" w:eastAsia="arial" w:hAnsi="arial" w:cs="arial"/>
            <w:b w:val="0"/>
            <w:i/>
            <w:strike w:val="0"/>
            <w:noProof w:val="0"/>
            <w:color w:val="0077CC"/>
            <w:position w:val="0"/>
            <w:sz w:val="20"/>
            <w:u w:val="single"/>
            <w:vertAlign w:val="baseline"/>
          </w:rPr>
          <w:t>Certain Funds</w:t>
        </w:r>
      </w:hyperlink>
      <w:hyperlink r:id="rId33" w:history="1">
        <w:r>
          <w:rPr>
            <w:rFonts w:ascii="arial" w:eastAsia="arial" w:hAnsi="arial" w:cs="arial"/>
            <w:b w:val="0"/>
            <w:i/>
            <w:strike w:val="0"/>
            <w:noProof w:val="0"/>
            <w:color w:val="0077CC"/>
            <w:position w:val="0"/>
            <w:sz w:val="20"/>
            <w:u w:val="single"/>
            <w:vertAlign w:val="baseline"/>
          </w:rPr>
          <w:t>, 798 F.3d at 124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0"/>
        <w:t xml:space="preserve">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89" w:name="Bookmark_para_41"/>
      <w:bookmarkEnd w:id="89"/>
      <w:r>
        <w:rPr>
          <w:rFonts w:ascii="arial" w:eastAsia="arial" w:hAnsi="arial" w:cs="arial"/>
          <w:b w:val="0"/>
          <w:i w:val="0"/>
          <w:strike w:val="0"/>
          <w:noProof w:val="0"/>
          <w:color w:val="000000"/>
          <w:position w:val="0"/>
          <w:sz w:val="20"/>
          <w:u w:val="none"/>
          <w:vertAlign w:val="baseline"/>
        </w:rPr>
        <w:t>For the reasons set forth above, I recommend, respectfully, that the Application be DENIED.</w:t>
      </w:r>
    </w:p>
    <w:p>
      <w:pPr>
        <w:keepNext w:val="0"/>
        <w:spacing w:before="200" w:after="0" w:line="260" w:lineRule="atLeast"/>
        <w:ind w:left="0" w:right="0" w:firstLine="0"/>
        <w:jc w:val="both"/>
      </w:pPr>
      <w:bookmarkStart w:id="90" w:name="Bookmark_para_42"/>
      <w:bookmarkEnd w:id="90"/>
      <w:r>
        <w:rPr>
          <w:rFonts w:ascii="arial" w:eastAsia="arial" w:hAnsi="arial" w:cs="arial"/>
          <w:b w:val="0"/>
          <w:i w:val="0"/>
          <w:strike w:val="0"/>
          <w:noProof w:val="0"/>
          <w:color w:val="000000"/>
          <w:position w:val="0"/>
          <w:sz w:val="20"/>
          <w:u w:val="none"/>
          <w:vertAlign w:val="baseline"/>
        </w:rPr>
        <w:t>Dated: New York, New York</w:t>
      </w:r>
    </w:p>
    <w:p>
      <w:pPr>
        <w:keepNext w:val="0"/>
        <w:spacing w:before="200" w:after="0" w:line="260" w:lineRule="atLeast"/>
        <w:ind w:left="0" w:right="0" w:firstLine="0"/>
        <w:jc w:val="both"/>
      </w:pPr>
      <w:bookmarkStart w:id="91" w:name="Bookmark_para_43"/>
      <w:bookmarkEnd w:id="91"/>
      <w:r>
        <w:rPr>
          <w:rFonts w:ascii="arial" w:eastAsia="arial" w:hAnsi="arial" w:cs="arial"/>
          <w:b w:val="0"/>
          <w:i w:val="0"/>
          <w:strike w:val="0"/>
          <w:noProof w:val="0"/>
          <w:color w:val="000000"/>
          <w:position w:val="0"/>
          <w:sz w:val="20"/>
          <w:u w:val="none"/>
          <w:vertAlign w:val="baseline"/>
        </w:rPr>
        <w:t>November 16, 2023</w:t>
      </w:r>
    </w:p>
    <w:p>
      <w:pPr>
        <w:keepNext w:val="0"/>
        <w:spacing w:before="200" w:after="0" w:line="260" w:lineRule="atLeast"/>
        <w:ind w:left="0" w:right="0" w:firstLine="0"/>
        <w:jc w:val="both"/>
      </w:pPr>
      <w:bookmarkStart w:id="92" w:name="Bookmark_para_44"/>
      <w:bookmarkEnd w:id="92"/>
      <w:r>
        <w:rPr>
          <w:rFonts w:ascii="arial" w:eastAsia="arial" w:hAnsi="arial" w:cs="arial"/>
          <w:b w:val="0"/>
          <w:i w:val="0"/>
          <w:strike w:val="0"/>
          <w:noProof w:val="0"/>
          <w:color w:val="000000"/>
          <w:position w:val="0"/>
          <w:sz w:val="20"/>
          <w:u w:val="none"/>
          <w:vertAlign w:val="baseline"/>
        </w:rPr>
        <w:t>/s/ Barbara Moses</w:t>
      </w:r>
    </w:p>
    <w:p>
      <w:pPr>
        <w:keepNext w:val="0"/>
        <w:spacing w:before="200" w:after="0" w:line="260" w:lineRule="atLeast"/>
        <w:ind w:left="0" w:right="0" w:firstLine="0"/>
        <w:jc w:val="both"/>
      </w:pPr>
      <w:bookmarkStart w:id="93" w:name="Bookmark_para_45"/>
      <w:bookmarkEnd w:id="93"/>
      <w:r>
        <w:rPr>
          <w:rFonts w:ascii="arial" w:eastAsia="arial" w:hAnsi="arial" w:cs="arial"/>
          <w:b/>
          <w:i w:val="0"/>
          <w:strike w:val="0"/>
          <w:noProof w:val="0"/>
          <w:color w:val="000000"/>
          <w:position w:val="0"/>
          <w:sz w:val="20"/>
          <w:u w:val="none"/>
          <w:vertAlign w:val="baseline"/>
        </w:rPr>
        <w:t>BARBARA MOSES</w:t>
      </w:r>
    </w:p>
    <w:p>
      <w:pPr>
        <w:keepNext w:val="0"/>
        <w:spacing w:before="200" w:after="0" w:line="260" w:lineRule="atLeast"/>
        <w:ind w:left="0" w:right="0" w:firstLine="0"/>
        <w:jc w:val="both"/>
      </w:pPr>
      <w:bookmarkStart w:id="94" w:name="Bookmark_para_46"/>
      <w:bookmarkEnd w:id="94"/>
      <w:r>
        <w:rPr>
          <w:rFonts w:ascii="arial" w:eastAsia="arial" w:hAnsi="arial" w:cs="arial"/>
          <w:b/>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bookmarkStart w:id="10" w:name="Bookmark_I69P8NPR2D6NYN0040000400"/>
      <w:bookmarkEnd w:id="10"/>
      <w:r>
        <w:rPr>
          <w:rFonts w:ascii="arial" w:eastAsia="arial" w:hAnsi="arial" w:cs="arial"/>
          <w:b w:val="0"/>
          <w:i w:val="0"/>
          <w:strike w:val="0"/>
          <w:noProof w:val="0"/>
          <w:color w:val="000000"/>
          <w:position w:val="0"/>
          <w:sz w:val="18"/>
          <w:u w:val="none"/>
          <w:vertAlign w:val="baseline"/>
        </w:rPr>
        <w:t xml:space="preserve">Until recently, the consensus view in this District was that "rulings on </w:t>
      </w:r>
      <w:hyperlink r:id="rId1" w:history="1">
        <w:r>
          <w:rPr>
            <w:rFonts w:ascii="arial" w:eastAsia="arial" w:hAnsi="arial" w:cs="arial"/>
            <w:b w:val="0"/>
            <w:i/>
            <w:strike w:val="0"/>
            <w:noProof w:val="0"/>
            <w:color w:val="0077CC"/>
            <w:position w:val="0"/>
            <w:sz w:val="18"/>
            <w:u w:val="single"/>
            <w:vertAlign w:val="baseline"/>
          </w:rPr>
          <w:t>§ 1782</w:t>
        </w:r>
      </w:hyperlink>
      <w:r>
        <w:rPr>
          <w:rFonts w:ascii="arial" w:eastAsia="arial" w:hAnsi="arial" w:cs="arial"/>
          <w:b w:val="0"/>
          <w:i w:val="0"/>
          <w:strike w:val="0"/>
          <w:noProof w:val="0"/>
          <w:color w:val="000000"/>
          <w:position w:val="0"/>
          <w:sz w:val="18"/>
          <w:u w:val="none"/>
          <w:vertAlign w:val="baseline"/>
        </w:rPr>
        <w:t xml:space="preserve"> applications are not dispositive," and therefore that such an application could be disposed by order of the Magistrate Judge to whom it was referred, subject to "clear error" review by the District Judge in the event of an objection. </w:t>
      </w:r>
      <w:hyperlink r:id="rId2" w:history="1">
        <w:r>
          <w:rPr>
            <w:rFonts w:ascii="arial" w:eastAsia="arial" w:hAnsi="arial" w:cs="arial"/>
            <w:b w:val="0"/>
            <w:i/>
            <w:strike w:val="0"/>
            <w:noProof w:val="0"/>
            <w:color w:val="0077CC"/>
            <w:position w:val="0"/>
            <w:sz w:val="18"/>
            <w:u w:val="single"/>
            <w:vertAlign w:val="baseline"/>
          </w:rPr>
          <w:t>In re Hulley Enterprises Ltd.</w:t>
        </w:r>
      </w:hyperlink>
      <w:hyperlink r:id="rId2" w:history="1">
        <w:r>
          <w:rPr>
            <w:rFonts w:ascii="arial" w:eastAsia="arial" w:hAnsi="arial" w:cs="arial"/>
            <w:b w:val="0"/>
            <w:i/>
            <w:strike w:val="0"/>
            <w:noProof w:val="0"/>
            <w:color w:val="0077CC"/>
            <w:position w:val="0"/>
            <w:sz w:val="18"/>
            <w:u w:val="single"/>
            <w:vertAlign w:val="baseline"/>
          </w:rPr>
          <w:t>, 400 F. Supp. 3d 62, 71 (S.D.N.Y. 2019)</w:t>
        </w:r>
      </w:hyperlink>
      <w:r>
        <w:rPr>
          <w:rFonts w:ascii="arial" w:eastAsia="arial" w:hAnsi="arial" w:cs="arial"/>
          <w:b w:val="0"/>
          <w:i w:val="0"/>
          <w:strike w:val="0"/>
          <w:noProof w:val="0"/>
          <w:color w:val="000000"/>
          <w:position w:val="0"/>
          <w:sz w:val="18"/>
          <w:u w:val="none"/>
          <w:vertAlign w:val="baseline"/>
        </w:rPr>
        <w:t xml:space="preserve"> (collecting cases). Earlier this year, however, in </w:t>
      </w:r>
      <w:bookmarkStart w:id="11" w:name="Bookmark_I69P8NPR2D6NYN0030000400"/>
      <w:bookmarkEnd w:id="11"/>
      <w:hyperlink r:id="rId3" w:history="1">
        <w:r>
          <w:rPr>
            <w:rFonts w:ascii="arial" w:eastAsia="arial" w:hAnsi="arial" w:cs="arial"/>
            <w:b w:val="0"/>
            <w:i/>
            <w:strike w:val="0"/>
            <w:noProof w:val="0"/>
            <w:color w:val="0077CC"/>
            <w:position w:val="0"/>
            <w:sz w:val="18"/>
            <w:u w:val="single"/>
            <w:vertAlign w:val="baseline"/>
          </w:rPr>
          <w:t>Associacao dos Profissionais dos Correios v. Bank of New York Mellon Corp.</w:t>
        </w:r>
      </w:hyperlink>
      <w:hyperlink r:id="rId3" w:history="1">
        <w:r>
          <w:rPr>
            <w:rFonts w:ascii="arial" w:eastAsia="arial" w:hAnsi="arial" w:cs="arial"/>
            <w:b w:val="0"/>
            <w:i/>
            <w:strike w:val="0"/>
            <w:noProof w:val="0"/>
            <w:color w:val="0077CC"/>
            <w:position w:val="0"/>
            <w:sz w:val="18"/>
            <w:u w:val="single"/>
            <w:vertAlign w:val="baseline"/>
          </w:rPr>
          <w:t>, No. 22-2865, 2023 U.S. App. LEXIS 10740, 2023 WL 3166357 (2d Cir. Mar. 28, 2023)</w:t>
        </w:r>
      </w:hyperlink>
      <w:r>
        <w:rPr>
          <w:rFonts w:ascii="arial" w:eastAsia="arial" w:hAnsi="arial" w:cs="arial"/>
          <w:b w:val="0"/>
          <w:i w:val="0"/>
          <w:strike w:val="0"/>
          <w:noProof w:val="0"/>
          <w:color w:val="000000"/>
          <w:position w:val="0"/>
          <w:sz w:val="18"/>
          <w:u w:val="none"/>
          <w:vertAlign w:val="baseline"/>
        </w:rPr>
        <w:t xml:space="preserve">, a panel of the Second Circuit concluded that it lacked jurisdiction over a Magistrate Judge's order denying a </w:t>
      </w:r>
      <w:hyperlink r:id="rId1" w:history="1">
        <w:r>
          <w:rPr>
            <w:rFonts w:ascii="arial" w:eastAsia="arial" w:hAnsi="arial" w:cs="arial"/>
            <w:b w:val="0"/>
            <w:i/>
            <w:strike w:val="0"/>
            <w:noProof w:val="0"/>
            <w:color w:val="0077CC"/>
            <w:position w:val="0"/>
            <w:sz w:val="18"/>
            <w:u w:val="single"/>
            <w:vertAlign w:val="baseline"/>
          </w:rPr>
          <w:t>§ 1782</w:t>
        </w:r>
      </w:hyperlink>
      <w:r>
        <w:rPr>
          <w:rFonts w:ascii="arial" w:eastAsia="arial" w:hAnsi="arial" w:cs="arial"/>
          <w:b w:val="0"/>
          <w:i w:val="0"/>
          <w:strike w:val="0"/>
          <w:noProof w:val="0"/>
          <w:color w:val="000000"/>
          <w:position w:val="0"/>
          <w:sz w:val="18"/>
          <w:u w:val="none"/>
          <w:vertAlign w:val="baseline"/>
        </w:rPr>
        <w:t xml:space="preserve"> application, and remanded the matter so that the order could be "treated as a report and recommendation and appropriate proceedings can be held." </w:t>
      </w:r>
      <w:bookmarkStart w:id="12" w:name="Bookmark_I6BB15B62D6N9K0010000400"/>
      <w:bookmarkEnd w:id="12"/>
      <w:hyperlink r:id="rId3" w:history="1">
        <w:r>
          <w:rPr>
            <w:rFonts w:ascii="arial" w:eastAsia="arial" w:hAnsi="arial" w:cs="arial"/>
            <w:b w:val="0"/>
            <w:i/>
            <w:strike w:val="0"/>
            <w:noProof w:val="0"/>
            <w:color w:val="0077CC"/>
            <w:position w:val="0"/>
            <w:sz w:val="18"/>
            <w:u w:val="single"/>
            <w:vertAlign w:val="baseline"/>
          </w:rPr>
          <w:t>2023 U.S. App. LEXIS 10740, 2023 WL 3166357 at *1</w:t>
        </w:r>
      </w:hyperlink>
      <w:r>
        <w:rPr>
          <w:rFonts w:ascii="arial" w:eastAsia="arial" w:hAnsi="arial" w:cs="arial"/>
          <w:b w:val="0"/>
          <w:i w:val="0"/>
          <w:strike w:val="0"/>
          <w:noProof w:val="0"/>
          <w:color w:val="000000"/>
          <w:position w:val="0"/>
          <w:sz w:val="18"/>
          <w:u w:val="none"/>
          <w:vertAlign w:val="baseline"/>
        </w:rPr>
        <w:t>. Consequently, I present my analysis in the form of a report and recommendation.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The English translations of Decision No. 1012/2017 and Resolution No. 1496/2019 are uncertified, but Arif attests that they are accurate. Arif 12/9/21 Decl. ¶¶ 1, 23. In translation, both documents refer to the chief executive of LARMO as its General Manager.</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 xml:space="preserve">The reality in Libya was (and is) significantly more complex than the account provided by Mr. Arif. According to the U.S. Congressional Research Service, "Libya has yet to make a transition to stable governing arrangements." Cong. Research Serv., </w:t>
      </w:r>
      <w:r>
        <w:rPr>
          <w:rFonts w:ascii="arial" w:eastAsia="arial" w:hAnsi="arial" w:cs="arial"/>
          <w:b w:val="0"/>
          <w:i/>
          <w:strike w:val="0"/>
          <w:noProof w:val="0"/>
          <w:color w:val="000000"/>
          <w:position w:val="0"/>
          <w:sz w:val="18"/>
          <w:u w:val="none"/>
          <w:vertAlign w:val="baseline"/>
        </w:rPr>
        <w:t>In Focus: Libya and U.S. Policy</w:t>
      </w:r>
      <w:r>
        <w:rPr>
          <w:rFonts w:ascii="arial" w:eastAsia="arial" w:hAnsi="arial" w:cs="arial"/>
          <w:b w:val="0"/>
          <w:i w:val="0"/>
          <w:strike w:val="0"/>
          <w:noProof w:val="0"/>
          <w:color w:val="000000"/>
          <w:position w:val="0"/>
          <w:sz w:val="18"/>
          <w:u w:val="none"/>
          <w:vertAlign w:val="baseline"/>
        </w:rPr>
        <w:t xml:space="preserve">, at 1 (July 19, 2023), </w:t>
      </w:r>
      <w:r>
        <w:rPr>
          <w:rFonts w:ascii="arial" w:eastAsia="arial" w:hAnsi="arial" w:cs="arial"/>
          <w:b w:val="0"/>
          <w:i/>
          <w:strike w:val="0"/>
          <w:noProof w:val="0"/>
          <w:color w:val="000000"/>
          <w:position w:val="0"/>
          <w:sz w:val="18"/>
          <w:u w:val="none"/>
          <w:vertAlign w:val="baseline"/>
        </w:rPr>
        <w:t>available at</w:t>
      </w:r>
      <w:r>
        <w:rPr>
          <w:rFonts w:ascii="arial" w:eastAsia="arial" w:hAnsi="arial" w:cs="arial"/>
          <w:b w:val="0"/>
          <w:i w:val="0"/>
          <w:strike w:val="0"/>
          <w:noProof w:val="0"/>
          <w:color w:val="000000"/>
          <w:position w:val="0"/>
          <w:sz w:val="18"/>
          <w:u w:val="none"/>
          <w:vertAlign w:val="baseline"/>
        </w:rPr>
        <w:t xml:space="preserve"> https://crsreports.congress.gov/product/pdf/IF/IF11556 (hereafter </w:t>
      </w:r>
      <w:r>
        <w:rPr>
          <w:rFonts w:ascii="arial" w:eastAsia="arial" w:hAnsi="arial" w:cs="arial"/>
          <w:b w:val="0"/>
          <w:i/>
          <w:strike w:val="0"/>
          <w:noProof w:val="0"/>
          <w:color w:val="000000"/>
          <w:position w:val="0"/>
          <w:sz w:val="18"/>
          <w:u w:val="none"/>
          <w:vertAlign w:val="baseline"/>
        </w:rPr>
        <w:t>In Focus</w:t>
      </w:r>
      <w:r>
        <w:rPr>
          <w:rFonts w:ascii="arial" w:eastAsia="arial" w:hAnsi="arial" w:cs="arial"/>
          <w:b w:val="0"/>
          <w:i w:val="0"/>
          <w:strike w:val="0"/>
          <w:noProof w:val="0"/>
          <w:color w:val="000000"/>
          <w:position w:val="0"/>
          <w:sz w:val="18"/>
          <w:u w:val="none"/>
          <w:vertAlign w:val="baseline"/>
        </w:rPr>
        <w:t xml:space="preserve">) (all webpages last visited Nov. 16, 2023). In 2019, a coalition of armed groups known as the Libyan National Army (LNA) "attempted to seize the capital, Tripoli, from the internationally recognized Government of National Accord[.]"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 ceasefire was brokered in 2020, and in 2021, with the backing of the United Nations (UN) and the Libyan House of Representatives (HOR), the GNU was established as an "interim" government, "with a mandate to serve until elections or through June 2022."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GNU was headed by an interim Prime Minister, Abdul Hamid Dabaiba, and a "new presidential council charged with preparing for presidential and parliamentary elections in December 2021." U.S. Central Intelligence Agency, </w:t>
      </w:r>
      <w:r>
        <w:rPr>
          <w:rFonts w:ascii="arial" w:eastAsia="arial" w:hAnsi="arial" w:cs="arial"/>
          <w:b w:val="0"/>
          <w:i/>
          <w:strike w:val="0"/>
          <w:noProof w:val="0"/>
          <w:color w:val="000000"/>
          <w:position w:val="0"/>
          <w:sz w:val="18"/>
          <w:u w:val="none"/>
          <w:vertAlign w:val="baseline"/>
        </w:rPr>
        <w:t>The World Factbook: Libya</w:t>
      </w:r>
      <w:r>
        <w:rPr>
          <w:rFonts w:ascii="arial" w:eastAsia="arial" w:hAnsi="arial" w:cs="arial"/>
          <w:b w:val="0"/>
          <w:i w:val="0"/>
          <w:strike w:val="0"/>
          <w:noProof w:val="0"/>
          <w:color w:val="000000"/>
          <w:position w:val="0"/>
          <w:sz w:val="18"/>
          <w:u w:val="none"/>
          <w:vertAlign w:val="baseline"/>
        </w:rPr>
        <w:t xml:space="preserve">, https://www.cia.gov/the-world-factbook/countries/libya/#government (hereafter </w:t>
      </w:r>
      <w:r>
        <w:rPr>
          <w:rFonts w:ascii="arial" w:eastAsia="arial" w:hAnsi="arial" w:cs="arial"/>
          <w:b w:val="0"/>
          <w:i/>
          <w:strike w:val="0"/>
          <w:noProof w:val="0"/>
          <w:color w:val="000000"/>
          <w:position w:val="0"/>
          <w:sz w:val="18"/>
          <w:u w:val="none"/>
          <w:vertAlign w:val="baseline"/>
        </w:rPr>
        <w:t>Factbook</w:t>
      </w:r>
      <w:r>
        <w:rPr>
          <w:rFonts w:ascii="arial" w:eastAsia="arial" w:hAnsi="arial" w:cs="arial"/>
          <w:b w:val="0"/>
          <w:i w:val="0"/>
          <w:strike w:val="0"/>
          <w:noProof w:val="0"/>
          <w:color w:val="000000"/>
          <w:position w:val="0"/>
          <w:sz w:val="18"/>
          <w:u w:val="none"/>
          <w:vertAlign w:val="baseline"/>
        </w:rPr>
        <w:t xml:space="preserve">). However, the HOR called off the elections at the last minute, amid continuing political unrest, after which "political competition among Libyans intensified." </w:t>
      </w:r>
      <w:r>
        <w:rPr>
          <w:rFonts w:ascii="arial" w:eastAsia="arial" w:hAnsi="arial" w:cs="arial"/>
          <w:b w:val="0"/>
          <w:i/>
          <w:strike w:val="0"/>
          <w:noProof w:val="0"/>
          <w:color w:val="000000"/>
          <w:position w:val="0"/>
          <w:sz w:val="18"/>
          <w:u w:val="none"/>
          <w:vertAlign w:val="baseline"/>
        </w:rPr>
        <w:t>In Focus</w:t>
      </w:r>
      <w:r>
        <w:rPr>
          <w:rFonts w:ascii="arial" w:eastAsia="arial" w:hAnsi="arial" w:cs="arial"/>
          <w:b w:val="0"/>
          <w:i w:val="0"/>
          <w:strike w:val="0"/>
          <w:noProof w:val="0"/>
          <w:color w:val="000000"/>
          <w:position w:val="0"/>
          <w:sz w:val="18"/>
          <w:u w:val="none"/>
          <w:vertAlign w:val="baseline"/>
        </w:rPr>
        <w:t xml:space="preserve"> at 1. In February 2022, the HOR moved to dismiss Prime Minister Dabaiba - and since then has attempted to appoint two different successors - but Dabaiba has "asserted a continuing mandate and refused to yield to anything but a nationally elected government."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 According to the CIA, Libya's government remains "in transition," </w:t>
      </w:r>
      <w:r>
        <w:rPr>
          <w:rFonts w:ascii="arial" w:eastAsia="arial" w:hAnsi="arial" w:cs="arial"/>
          <w:b w:val="0"/>
          <w:i/>
          <w:strike w:val="0"/>
          <w:noProof w:val="0"/>
          <w:color w:val="000000"/>
          <w:position w:val="0"/>
          <w:sz w:val="18"/>
          <w:u w:val="none"/>
          <w:vertAlign w:val="baseline"/>
        </w:rPr>
        <w:t>Factbook</w:t>
      </w:r>
      <w:r>
        <w:rPr>
          <w:rFonts w:ascii="arial" w:eastAsia="arial" w:hAnsi="arial" w:cs="arial"/>
          <w:b w:val="0"/>
          <w:i w:val="0"/>
          <w:strike w:val="0"/>
          <w:noProof w:val="0"/>
          <w:color w:val="000000"/>
          <w:position w:val="0"/>
          <w:sz w:val="18"/>
          <w:u w:val="none"/>
          <w:vertAlign w:val="baseline"/>
        </w:rPr>
        <w:t xml:space="preserve">, and authority within the GNU is divided between Interim Prime Minister Dabaiba, as "head of government," and Mohammed al Menfi, Chairman of the Presidential Council, as "chief of state."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On the ground, the LNA and other militias remain "powerful security actors with diverse political aims and influence." </w:t>
      </w:r>
      <w:r>
        <w:rPr>
          <w:rFonts w:ascii="arial" w:eastAsia="arial" w:hAnsi="arial" w:cs="arial"/>
          <w:b w:val="0"/>
          <w:i/>
          <w:strike w:val="0"/>
          <w:noProof w:val="0"/>
          <w:color w:val="000000"/>
          <w:position w:val="0"/>
          <w:sz w:val="18"/>
          <w:u w:val="none"/>
          <w:vertAlign w:val="baseline"/>
        </w:rPr>
        <w:t>In Focus</w:t>
      </w:r>
      <w:r>
        <w:rPr>
          <w:rFonts w:ascii="arial" w:eastAsia="arial" w:hAnsi="arial" w:cs="arial"/>
          <w:b w:val="0"/>
          <w:i w:val="0"/>
          <w:strike w:val="0"/>
          <w:noProof w:val="0"/>
          <w:color w:val="000000"/>
          <w:position w:val="0"/>
          <w:sz w:val="18"/>
          <w:u w:val="none"/>
          <w:vertAlign w:val="baseline"/>
        </w:rPr>
        <w:t xml:space="preserve"> at 2. The LNA is influential in eastern Libya, including Tobruk, where the HOR sits, while other militias support the Dabaiba government in Tripoli.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1-2. The UN continues to push for legislative and presidential elections. </w:t>
      </w:r>
      <w:r>
        <w:rPr>
          <w:rFonts w:ascii="arial" w:eastAsia="arial" w:hAnsi="arial" w:cs="arial"/>
          <w:b w:val="0"/>
          <w:i/>
          <w:strike w:val="0"/>
          <w:noProof w:val="0"/>
          <w:color w:val="000000"/>
          <w:position w:val="0"/>
          <w:sz w:val="18"/>
          <w:u w:val="none"/>
          <w:vertAlign w:val="baseline"/>
        </w:rPr>
        <w:t>In Focus</w:t>
      </w:r>
      <w:r>
        <w:rPr>
          <w:rFonts w:ascii="arial" w:eastAsia="arial" w:hAnsi="arial" w:cs="arial"/>
          <w:b w:val="0"/>
          <w:i w:val="0"/>
          <w:strike w:val="0"/>
          <w:noProof w:val="0"/>
          <w:color w:val="000000"/>
          <w:position w:val="0"/>
          <w:sz w:val="18"/>
          <w:u w:val="none"/>
          <w:vertAlign w:val="baseline"/>
        </w:rPr>
        <w:t xml:space="preserve"> at 2.</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 xml:space="preserve">Mr. Mensli signed his initial letter as Mohamed Ramadan,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Mensli 12/17/21 Ltr. at ECF p. 2, but in more recent correspondence he has used longer versions of his name, including Mohamed Ramadan Mensli,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Mensli 7/5/23 Ltr. (Dkt. 21) at ECF p. 3, and Mohamed Ramadan Mohamed Mensli.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Mensli 8/21/23 Ltr. (Dkt. 24) at 1-2. For the sake of consistency, the Court refers to him throughout as Mr. Mensli.</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7" w:name="Bookmark_fnpara_5"/>
      <w:bookmarkEnd w:id="27"/>
      <w:r>
        <w:rPr>
          <w:rFonts w:ascii="arial" w:eastAsia="arial" w:hAnsi="arial" w:cs="arial"/>
          <w:b w:val="0"/>
          <w:i w:val="0"/>
          <w:strike w:val="0"/>
          <w:noProof w:val="0"/>
          <w:color w:val="000000"/>
          <w:position w:val="0"/>
          <w:sz w:val="18"/>
          <w:u w:val="none"/>
          <w:vertAlign w:val="baseline"/>
        </w:rPr>
        <w:t xml:space="preserve">Warshavsky attached copies of the relevant Libyan agency and court decisions, in Arabic, with what he described as "certified translations." Warshavsky 5/18/23 Ltr. at 2 &amp; Exs. A-D (Dkts. 15-1 through 5-4). However, no recognizable certification appears on or attached to the English translations. Moreover, three of the translations appear to have been incompletely photocopied so as to cut off the right margin, making part of each line unreadable.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Exs. A, C-D.</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9" w:name="Bookmark_fnpara_6"/>
      <w:bookmarkEnd w:id="29"/>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Benoit Faucon and Chao Deng, </w:t>
      </w:r>
      <w:r>
        <w:rPr>
          <w:rFonts w:ascii="arial" w:eastAsia="arial" w:hAnsi="arial" w:cs="arial"/>
          <w:b w:val="0"/>
          <w:i/>
          <w:strike w:val="0"/>
          <w:noProof w:val="0"/>
          <w:color w:val="000000"/>
          <w:position w:val="0"/>
          <w:sz w:val="18"/>
          <w:u w:val="none"/>
          <w:vertAlign w:val="baseline"/>
        </w:rPr>
        <w:t>Libya Seeks U.S. Help in Fresh Effort to Recover Gadhafi Billions</w:t>
      </w:r>
      <w:r>
        <w:rPr>
          <w:rFonts w:ascii="arial" w:eastAsia="arial" w:hAnsi="arial" w:cs="arial"/>
          <w:b w:val="0"/>
          <w:i w:val="0"/>
          <w:strike w:val="0"/>
          <w:noProof w:val="0"/>
          <w:color w:val="000000"/>
          <w:position w:val="0"/>
          <w:sz w:val="18"/>
          <w:u w:val="none"/>
          <w:vertAlign w:val="baseline"/>
        </w:rPr>
        <w:t xml:space="preserve">, Wall St. Journal, April 24, 2023, available at https://www.wsj.com/articles/libya-seeks-u-s-help-in-fresh-effort-to-recover-gadhafi-billions-45155b41 (identifying Mensli as "the Libyan official tasked with tracing and recovering stolen Libyan assets," and noting that he "took charge of LARMO in 2021 after infighting in the recovery office derailed an advanced effort at the time to recover some assets in the U.S."); Adam Ciralsky, </w:t>
      </w:r>
      <w:r>
        <w:rPr>
          <w:rFonts w:ascii="arial" w:eastAsia="arial" w:hAnsi="arial" w:cs="arial"/>
          <w:b w:val="0"/>
          <w:i/>
          <w:strike w:val="0"/>
          <w:noProof w:val="0"/>
          <w:color w:val="000000"/>
          <w:position w:val="0"/>
          <w:sz w:val="18"/>
          <w:u w:val="none"/>
          <w:vertAlign w:val="baseline"/>
        </w:rPr>
        <w:t>Raiders of the Looted Assets: Inside the High-Stakes Race to Recover Qaddafi's Ill-Gotten Billions</w:t>
      </w:r>
      <w:r>
        <w:rPr>
          <w:rFonts w:ascii="arial" w:eastAsia="arial" w:hAnsi="arial" w:cs="arial"/>
          <w:b w:val="0"/>
          <w:i w:val="0"/>
          <w:strike w:val="0"/>
          <w:noProof w:val="0"/>
          <w:color w:val="000000"/>
          <w:position w:val="0"/>
          <w:sz w:val="18"/>
          <w:u w:val="none"/>
          <w:vertAlign w:val="baseline"/>
        </w:rPr>
        <w:t xml:space="preserve">, Vanity Fair, June 9, 2022, </w:t>
      </w:r>
      <w:r>
        <w:rPr>
          <w:rFonts w:ascii="arial" w:eastAsia="arial" w:hAnsi="arial" w:cs="arial"/>
          <w:b w:val="0"/>
          <w:i/>
          <w:strike w:val="0"/>
          <w:noProof w:val="0"/>
          <w:color w:val="000000"/>
          <w:position w:val="0"/>
          <w:sz w:val="18"/>
          <w:u w:val="none"/>
          <w:vertAlign w:val="baseline"/>
        </w:rPr>
        <w:t>available at</w:t>
      </w:r>
      <w:r>
        <w:rPr>
          <w:rFonts w:ascii="arial" w:eastAsia="arial" w:hAnsi="arial" w:cs="arial"/>
          <w:b w:val="0"/>
          <w:i w:val="0"/>
          <w:strike w:val="0"/>
          <w:noProof w:val="0"/>
          <w:color w:val="000000"/>
          <w:position w:val="0"/>
          <w:sz w:val="18"/>
          <w:u w:val="none"/>
          <w:vertAlign w:val="baseline"/>
        </w:rPr>
        <w:t xml:space="preserve"> https://www.vanityfair.com/news/2022/06/the-race-to-recover-qaddafis-ill-gotten-billions (hereafter </w:t>
      </w:r>
      <w:r>
        <w:rPr>
          <w:rFonts w:ascii="arial" w:eastAsia="arial" w:hAnsi="arial" w:cs="arial"/>
          <w:b w:val="0"/>
          <w:i/>
          <w:strike w:val="0"/>
          <w:noProof w:val="0"/>
          <w:color w:val="000000"/>
          <w:position w:val="0"/>
          <w:sz w:val="18"/>
          <w:u w:val="none"/>
          <w:vertAlign w:val="baseline"/>
        </w:rPr>
        <w:t>Raiders of the Looted Assets</w:t>
      </w:r>
      <w:r>
        <w:rPr>
          <w:rFonts w:ascii="arial" w:eastAsia="arial" w:hAnsi="arial" w:cs="arial"/>
          <w:b w:val="0"/>
          <w:i w:val="0"/>
          <w:strike w:val="0"/>
          <w:noProof w:val="0"/>
          <w:color w:val="000000"/>
          <w:position w:val="0"/>
          <w:sz w:val="18"/>
          <w:u w:val="none"/>
          <w:vertAlign w:val="baseline"/>
        </w:rPr>
        <w:t>) (identifying Mensli as the man "at the helm of the hunt" for looted Libyan assets, after "Dabaiba placed him in charge of the LARMO effort to find and reclaim the country's missing riches").</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0" w:name="Bookmark_fnpara_7"/>
      <w:bookmarkEnd w:id="3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https://larmo.gov.ly/en/about/ (identifying LARMO's director as "Dr. Mohammed Mensli"). The most recent posts on the LARMO website identify the same individual as "Mr. Mensli" rather than "Dr. Mensli."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https://larmo.gov.ly/en/larmo-calls-for-eased-sanctions-on-assets-to-address-humanitarian-needs-and-improve-the-economy-in-libya/. The Court follows suit.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2" w:name="Bookmark_fnpara_8"/>
      <w:bookmarkEnd w:id="32"/>
      <w:r>
        <w:rPr>
          <w:rFonts w:ascii="arial" w:eastAsia="arial" w:hAnsi="arial" w:cs="arial"/>
          <w:b w:val="0"/>
          <w:i w:val="0"/>
          <w:strike w:val="0"/>
          <w:noProof w:val="0"/>
          <w:color w:val="000000"/>
          <w:position w:val="0"/>
          <w:sz w:val="18"/>
          <w:u w:val="none"/>
          <w:vertAlign w:val="baseline"/>
        </w:rPr>
        <w:t>The court filing attributed to Mr. Mensli is attached in Arabic only. Arif 6/16/23 Decl. Ex. K (Dkt. 18-17).</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4" w:name="Bookmark_fnpara_9"/>
      <w:bookmarkEnd w:id="34"/>
      <w:r>
        <w:rPr>
          <w:rFonts w:ascii="arial" w:eastAsia="arial" w:hAnsi="arial" w:cs="arial"/>
          <w:b w:val="0"/>
          <w:i w:val="0"/>
          <w:strike w:val="0"/>
          <w:noProof w:val="0"/>
          <w:color w:val="000000"/>
          <w:position w:val="0"/>
          <w:sz w:val="18"/>
          <w:u w:val="none"/>
          <w:vertAlign w:val="baseline"/>
        </w:rPr>
        <w:t>The letter is in Arabic, with what appears to be an uncertified English translation. (Dkt. 18-19.) The English version is addressed to "Respected Madam/Minister of Foreign Affairs and International Cooperation." It requests that the recipient "circulate to all embassies and diplomatic missions and the like to adhere to dealing with the legal representative of the Libyan asset recovery &amp; management office, Mr. Anwar Lutfi Arif only, and that any dealings with another parallel body is in violation of the law and regulations in force."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6" w:name="Bookmark_fnpara_10"/>
      <w:bookmarkEnd w:id="36"/>
      <w:r>
        <w:rPr>
          <w:rFonts w:ascii="arial" w:eastAsia="arial" w:hAnsi="arial" w:cs="arial"/>
          <w:b w:val="0"/>
          <w:i w:val="0"/>
          <w:strike w:val="0"/>
          <w:noProof w:val="0"/>
          <w:color w:val="000000"/>
          <w:position w:val="0"/>
          <w:sz w:val="18"/>
          <w:u w:val="none"/>
          <w:vertAlign w:val="baseline"/>
        </w:rPr>
        <w:t xml:space="preserve">The circular, which is attached to Mr. Mensli's letter only in English, is undated, unsigned, and printed on plain white paper with no letterhead or insignia. It identifies "Mr. Muhammad Ramadan Mohamed" as the Director General of LARMO and states that LARMO "is the only legitimate representative globally, and the exclusive tool of the Libyan State to implement its policy and vision regarding the search and investigation of funds and assets and their recovery wherever they are." Mensli 7/11/23 Ltr. at ECF p. 6. The circular concludes, "Therefore, you are kindly requested to provide all sorts of support and cooperation to the Libyan Assets Recovery and Management Office LARMO and not to deal with any other bodies or entitles, so that the LARMO can accomplish its tasks entrusted to it and carry out its international responsibilities in the service of the public interest." </w:t>
      </w:r>
      <w:r>
        <w:rPr>
          <w:rFonts w:ascii="arial" w:eastAsia="arial" w:hAnsi="arial" w:cs="arial"/>
          <w:b w:val="0"/>
          <w:i/>
          <w:strike w:val="0"/>
          <w:noProof w:val="0"/>
          <w:color w:val="000000"/>
          <w:position w:val="0"/>
          <w:sz w:val="18"/>
          <w:u w:val="none"/>
          <w:vertAlign w:val="baseline"/>
        </w:rPr>
        <w:t>Id.</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9" w:name="Bookmark_fnpara_11"/>
      <w:bookmarkEnd w:id="39"/>
      <w:r>
        <w:rPr>
          <w:rFonts w:ascii="arial" w:eastAsia="arial" w:hAnsi="arial" w:cs="arial"/>
          <w:b w:val="0"/>
          <w:i w:val="0"/>
          <w:strike w:val="0"/>
          <w:noProof w:val="0"/>
          <w:color w:val="000000"/>
          <w:position w:val="0"/>
          <w:sz w:val="18"/>
          <w:u w:val="none"/>
          <w:vertAlign w:val="baseline"/>
        </w:rPr>
        <w:t>Once again, no recognizable certifications appear on or attached to the English translations. As translated, "Mr. Mensli's court filings" appear to include a motion to stay enforcement of the ruling of the Tripoli Court of Appeal, on the grounds, among others, that execution of the ruling would "entail[] destabilizing confidence and stability regarding the Cabinet of Ministers' decisions and delaying the protection of these funds that [LARMO] was established to preserve," and could "threaten public order and result in a serious breach that cannot be remedied, which is the disruption of the functioning of the Office." Arif 7/13/23 Decl. Ex. 4, at ECF p. 4.</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41" w:name="Bookmark_fnpara_12"/>
      <w:bookmarkEnd w:id="41"/>
      <w:r>
        <w:rPr>
          <w:rFonts w:ascii="arial" w:eastAsia="arial" w:hAnsi="arial" w:cs="arial"/>
          <w:b w:val="0"/>
          <w:i w:val="0"/>
          <w:strike w:val="0"/>
          <w:noProof w:val="0"/>
          <w:color w:val="000000"/>
          <w:position w:val="0"/>
          <w:sz w:val="18"/>
          <w:u w:val="none"/>
          <w:vertAlign w:val="baseline"/>
        </w:rPr>
        <w:t xml:space="preserve">He does note, however, that on December 22, 2021 - shortly after this action was filed - he was "unlawfully detained without charges for nearly 60 days." Arif 7/13/23 Decl. ¶ 16. Press reports suggest that the filing of the instant action may have been "too public a gesture for some members of the Libyan power elite, worried perhaps that legal proceedings in New York might ensure current officials who themselves had played some role in Quaddfi's original power grab." </w:t>
      </w:r>
      <w:r>
        <w:rPr>
          <w:rFonts w:ascii="arial" w:eastAsia="arial" w:hAnsi="arial" w:cs="arial"/>
          <w:b w:val="0"/>
          <w:i/>
          <w:strike w:val="0"/>
          <w:noProof w:val="0"/>
          <w:color w:val="000000"/>
          <w:position w:val="0"/>
          <w:sz w:val="18"/>
          <w:u w:val="none"/>
          <w:vertAlign w:val="baseline"/>
        </w:rPr>
        <w:t>Raiders of the Looted Assets</w:t>
      </w:r>
      <w:r>
        <w:rPr>
          <w:rFonts w:ascii="arial" w:eastAsia="arial" w:hAnsi="arial" w:cs="arial"/>
          <w:b w:val="0"/>
          <w:i w:val="0"/>
          <w:strike w:val="0"/>
          <w:noProof w:val="0"/>
          <w:color w:val="000000"/>
          <w:position w:val="0"/>
          <w:sz w:val="18"/>
          <w:u w:val="none"/>
          <w:vertAlign w:val="baseline"/>
        </w:rPr>
        <w:t xml:space="preserve">. Vanity Fair reported that the office of the Interim Prime Minister did not respond to "questions concerning Arif's ouster or Dabaiba's motives in placing LARMO under Mensli." </w:t>
      </w:r>
      <w:r>
        <w:rPr>
          <w:rFonts w:ascii="arial" w:eastAsia="arial" w:hAnsi="arial" w:cs="arial"/>
          <w:b w:val="0"/>
          <w:i/>
          <w:strike w:val="0"/>
          <w:noProof w:val="0"/>
          <w:color w:val="000000"/>
          <w:position w:val="0"/>
          <w:sz w:val="18"/>
          <w:u w:val="none"/>
          <w:vertAlign w:val="baseline"/>
        </w:rPr>
        <w:t>Id.</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43" w:name="Bookmark_fnpara_13"/>
      <w:bookmarkEnd w:id="43"/>
      <w:r>
        <w:rPr>
          <w:rFonts w:ascii="arial" w:eastAsia="arial" w:hAnsi="arial" w:cs="arial"/>
          <w:b w:val="0"/>
          <w:i w:val="0"/>
          <w:strike w:val="0"/>
          <w:noProof w:val="0"/>
          <w:color w:val="000000"/>
          <w:position w:val="0"/>
          <w:sz w:val="18"/>
          <w:u w:val="none"/>
          <w:vertAlign w:val="baseline"/>
        </w:rPr>
        <w:t xml:space="preserve">The attachments to Mr. Mensli's August 21 submission include </w:t>
      </w:r>
      <w:r>
        <w:rPr>
          <w:rFonts w:ascii="arial" w:eastAsia="arial" w:hAnsi="arial" w:cs="arial"/>
          <w:b w:val="0"/>
          <w:i/>
          <w:strike w:val="0"/>
          <w:noProof w:val="0"/>
          <w:color w:val="000000"/>
          <w:position w:val="0"/>
          <w:sz w:val="18"/>
          <w:u w:val="none"/>
          <w:vertAlign w:val="baseline"/>
        </w:rPr>
        <w:t>three</w:t>
      </w:r>
      <w:r>
        <w:rPr>
          <w:rFonts w:ascii="arial" w:eastAsia="arial" w:hAnsi="arial" w:cs="arial"/>
          <w:b w:val="0"/>
          <w:i w:val="0"/>
          <w:strike w:val="0"/>
          <w:noProof w:val="0"/>
          <w:color w:val="000000"/>
          <w:position w:val="0"/>
          <w:sz w:val="18"/>
          <w:u w:val="none"/>
          <w:vertAlign w:val="baseline"/>
        </w:rPr>
        <w:t xml:space="preserve"> letters to LARMO, written in Arabic, together with a single page containing uncertified translations of all three. Mensli 8/21/23 Ltr. at ECF pp. 5-10. Two of the letters are from present or former LARMO board members requesting that their salaries be paid.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ECF p. 10. The third letter, from al-Falah, reads (in translation): "With reference to the case filed by the Board of Directors of the previous office regarding the affiliation of the office, I state and inform you that I did not sign any powers of attorney related to assigning the lawyer any work except for the first power of attorney for the case and the second for following up on the ruling, which was signed in my capacity as a member of the Board of Directors. I also inform you that I did not sign any Power of attorneys or other papers regarding this matter, so I am convinced that any change that occurs will lead to the obstruction of the work of the office, especially after the successes achieved by this administration, which is considered a gain for this office, which contributes to facilitate the recover[y] of Libyan assets of Libyans, which is the goal for which it was established for it." </w:t>
      </w:r>
      <w:r>
        <w:rPr>
          <w:rFonts w:ascii="arial" w:eastAsia="arial" w:hAnsi="arial" w:cs="arial"/>
          <w:b w:val="0"/>
          <w:i/>
          <w:strike w:val="0"/>
          <w:noProof w:val="0"/>
          <w:color w:val="000000"/>
          <w:position w:val="0"/>
          <w:sz w:val="18"/>
          <w:u w:val="none"/>
          <w:vertAlign w:val="baseline"/>
        </w:rPr>
        <w:t>Id.</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6" w:name="Bookmark_fnpara_14"/>
      <w:bookmarkEnd w:id="4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Part III.B,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hyperlink r:id="rId4" w:history="1">
        <w:r>
          <w:rPr>
            <w:rFonts w:ascii="arial" w:eastAsia="arial" w:hAnsi="arial" w:cs="arial"/>
            <w:b w:val="0"/>
            <w:i w:val="0"/>
            <w:strike w:val="0"/>
            <w:color w:val="0077CC"/>
            <w:sz w:val="18"/>
            <w:u w:val="single"/>
            <w:vertAlign w:val="superscript"/>
          </w:rPr>
          <w:t>15 </w:t>
        </w:r>
      </w:hyperlink>
      <w:bookmarkStart w:id="51" w:name="Bookmark_fnpara_15"/>
      <w:bookmarkEnd w:id="51"/>
      <w:bookmarkStart w:id="52" w:name="Bookmark_I6BB15B728T4YV0030000400"/>
      <w:bookmarkEnd w:id="52"/>
      <w:hyperlink r:id="rId4" w:history="1">
        <w:r>
          <w:rPr>
            <w:rFonts w:ascii="arial" w:eastAsia="arial" w:hAnsi="arial" w:cs="arial"/>
            <w:b w:val="0"/>
            <w:i w:val="0"/>
            <w:strike w:val="0"/>
            <w:color w:val="0077CC"/>
            <w:sz w:val="18"/>
            <w:u w:val="single"/>
            <w:vertAlign w:val="baseline"/>
          </w:rPr>
          <w:t xml:space="preserve">In </w:t>
        </w:r>
      </w:hyperlink>
      <w:hyperlink r:id="rId4" w:history="1">
        <w:r>
          <w:rPr>
            <w:rFonts w:ascii="arial" w:eastAsia="arial" w:hAnsi="arial" w:cs="arial"/>
            <w:b w:val="0"/>
            <w:i/>
            <w:strike w:val="0"/>
            <w:color w:val="0077CC"/>
            <w:sz w:val="18"/>
            <w:u w:val="single"/>
            <w:vertAlign w:val="baseline"/>
          </w:rPr>
          <w:t>Caballero I</w:t>
        </w:r>
      </w:hyperlink>
      <w:hyperlink r:id="rId4" w:history="1">
        <w:r>
          <w:rPr>
            <w:rFonts w:ascii="arial" w:eastAsia="arial" w:hAnsi="arial" w:cs="arial"/>
            <w:b w:val="0"/>
            <w:i w:val="0"/>
            <w:strike w:val="0"/>
            <w:color w:val="0077CC"/>
            <w:sz w:val="18"/>
            <w:u w:val="single"/>
            <w:vertAlign w:val="baseline"/>
          </w:rPr>
          <w:t xml:space="preserve">, the question before the district court was which of two competing groups of lawyers had the right to represent Petróleos de Venezuela, S.A (PDVSA), a Venezuelan corporation owned by the Republic of Venezuela. Flynn and Jiménez appeared first, on PDVSA's behalf, seeking to challenge a turnover judgment issued against its assets. </w:t>
        </w:r>
      </w:hyperlink>
      <w:bookmarkStart w:id="53" w:name="Bookmark_I6BB15B728T4YV0020000400"/>
      <w:bookmarkEnd w:id="53"/>
      <w:hyperlink r:id="rId5" w:history="1">
        <w:r>
          <w:rPr>
            <w:rFonts w:ascii="arial" w:eastAsia="arial" w:hAnsi="arial" w:cs="arial"/>
            <w:b w:val="0"/>
            <w:i/>
            <w:strike w:val="0"/>
            <w:color w:val="0077CC"/>
            <w:sz w:val="18"/>
            <w:u w:val="single"/>
            <w:vertAlign w:val="baseline"/>
          </w:rPr>
          <w:t>2021 U.S. Dist. LEXIS 90029, 2021 WL 1884110, at *1</w:t>
        </w:r>
      </w:hyperlink>
      <w:hyperlink r:id="rId4" w:history="1">
        <w:r>
          <w:rPr>
            <w:rFonts w:ascii="arial" w:eastAsia="arial" w:hAnsi="arial" w:cs="arial"/>
            <w:b w:val="0"/>
            <w:i w:val="0"/>
            <w:strike w:val="0"/>
            <w:color w:val="0077CC"/>
            <w:sz w:val="18"/>
            <w:u w:val="single"/>
            <w:vertAlign w:val="baseline"/>
          </w:rPr>
          <w:t xml:space="preserve">. Thereafter, White &amp; Case appeared on behalf of the same party, "moved to substitute counsel," and sought a stay of the proceedings. </w:t>
        </w:r>
      </w:hyperlink>
      <w:hyperlink r:id="rId6" w:history="1">
        <w:r>
          <w:rPr>
            <w:rFonts w:ascii="arial" w:eastAsia="arial" w:hAnsi="arial" w:cs="arial"/>
            <w:b w:val="0"/>
            <w:i/>
            <w:strike w:val="0"/>
            <w:color w:val="0077CC"/>
            <w:sz w:val="18"/>
            <w:u w:val="single"/>
            <w:vertAlign w:val="baseline"/>
          </w:rPr>
          <w:t>Id.</w:t>
        </w:r>
      </w:hyperlink>
      <w:hyperlink r:id="rId6" w:history="1">
        <w:r>
          <w:rPr>
            <w:rFonts w:ascii="arial" w:eastAsia="arial" w:hAnsi="arial" w:cs="arial"/>
            <w:b w:val="0"/>
            <w:i/>
            <w:strike w:val="0"/>
            <w:color w:val="0077CC"/>
            <w:sz w:val="18"/>
            <w:u w:val="single"/>
            <w:vertAlign w:val="baseline"/>
          </w:rPr>
          <w:t xml:space="preserve"> at *2</w:t>
        </w:r>
      </w:hyperlink>
      <w:hyperlink r:id="rId4" w:history="1">
        <w:r>
          <w:rPr>
            <w:rFonts w:ascii="arial" w:eastAsia="arial" w:hAnsi="arial" w:cs="arial"/>
            <w:b w:val="0"/>
            <w:i w:val="0"/>
            <w:strike w:val="0"/>
            <w:color w:val="0077CC"/>
            <w:sz w:val="18"/>
            <w:u w:val="single"/>
            <w:vertAlign w:val="baseline"/>
          </w:rPr>
          <w:t xml:space="preserve">. The underlying problem was political: After Venezuela's 2018 elections, former President Nicolás Maduro claimed victory, but the National Assembly "declared Maduro's presidency illegitimate and declared Juan Guaidó the Interim President of Venezuela." </w:t>
        </w:r>
      </w:hyperlink>
      <w:hyperlink r:id="rId6" w:history="1">
        <w:r>
          <w:rPr>
            <w:rFonts w:ascii="arial" w:eastAsia="arial" w:hAnsi="arial" w:cs="arial"/>
            <w:b w:val="0"/>
            <w:i/>
            <w:strike w:val="0"/>
            <w:color w:val="0077CC"/>
            <w:sz w:val="18"/>
            <w:u w:val="single"/>
            <w:vertAlign w:val="baseline"/>
          </w:rPr>
          <w:t>Id.</w:t>
        </w:r>
      </w:hyperlink>
      <w:hyperlink r:id="rId6" w:history="1">
        <w:r>
          <w:rPr>
            <w:rFonts w:ascii="arial" w:eastAsia="arial" w:hAnsi="arial" w:cs="arial"/>
            <w:b w:val="0"/>
            <w:i/>
            <w:strike w:val="0"/>
            <w:color w:val="0077CC"/>
            <w:sz w:val="18"/>
            <w:u w:val="single"/>
            <w:vertAlign w:val="baseline"/>
          </w:rPr>
          <w:t xml:space="preserve"> *2</w:t>
        </w:r>
      </w:hyperlink>
      <w:hyperlink r:id="rId4" w:history="1">
        <w:r>
          <w:rPr>
            <w:rFonts w:ascii="arial" w:eastAsia="arial" w:hAnsi="arial" w:cs="arial"/>
            <w:b w:val="0"/>
            <w:i w:val="0"/>
            <w:strike w:val="0"/>
            <w:color w:val="0077CC"/>
            <w:sz w:val="18"/>
            <w:u w:val="single"/>
            <w:vertAlign w:val="baseline"/>
          </w:rPr>
          <w:t xml:space="preserve">. The U.S. Government recognized the Guaidó government. </w:t>
        </w:r>
      </w:hyperlink>
      <w:hyperlink r:id="rId4" w:history="1">
        <w:r>
          <w:rPr>
            <w:rFonts w:ascii="arial" w:eastAsia="arial" w:hAnsi="arial" w:cs="arial"/>
            <w:b w:val="0"/>
            <w:i/>
            <w:strike w:val="0"/>
            <w:color w:val="0077CC"/>
            <w:sz w:val="18"/>
            <w:u w:val="single"/>
            <w:vertAlign w:val="baseline"/>
          </w:rPr>
          <w:t>Id.</w:t>
        </w:r>
      </w:hyperlink>
      <w:hyperlink r:id="rId4" w:history="1">
        <w:r>
          <w:rPr>
            <w:rFonts w:ascii="arial" w:eastAsia="arial" w:hAnsi="arial" w:cs="arial"/>
            <w:b w:val="0"/>
            <w:i w:val="0"/>
            <w:strike w:val="0"/>
            <w:color w:val="0077CC"/>
            <w:sz w:val="18"/>
            <w:u w:val="single"/>
            <w:vertAlign w:val="baseline"/>
          </w:rPr>
          <w:t xml:space="preserve"> The National Assembly then authorized Guaidó to appoint an Ad Hoc Board to govern PDVSA, which he did. </w:t>
        </w:r>
      </w:hyperlink>
      <w:hyperlink r:id="rId6" w:history="1">
        <w:r>
          <w:rPr>
            <w:rFonts w:ascii="arial" w:eastAsia="arial" w:hAnsi="arial" w:cs="arial"/>
            <w:b w:val="0"/>
            <w:i/>
            <w:strike w:val="0"/>
            <w:color w:val="0077CC"/>
            <w:sz w:val="18"/>
            <w:u w:val="single"/>
            <w:vertAlign w:val="baseline"/>
          </w:rPr>
          <w:t>Id.</w:t>
        </w:r>
      </w:hyperlink>
      <w:hyperlink r:id="rId6" w:history="1">
        <w:r>
          <w:rPr>
            <w:rFonts w:ascii="arial" w:eastAsia="arial" w:hAnsi="arial" w:cs="arial"/>
            <w:b w:val="0"/>
            <w:i/>
            <w:strike w:val="0"/>
            <w:color w:val="0077CC"/>
            <w:sz w:val="18"/>
            <w:u w:val="single"/>
            <w:vertAlign w:val="baseline"/>
          </w:rPr>
          <w:t xml:space="preserve"> at *3</w:t>
        </w:r>
      </w:hyperlink>
      <w:hyperlink r:id="rId4" w:history="1">
        <w:r>
          <w:rPr>
            <w:rFonts w:ascii="arial" w:eastAsia="arial" w:hAnsi="arial" w:cs="arial"/>
            <w:b w:val="0"/>
            <w:i w:val="0"/>
            <w:strike w:val="0"/>
            <w:color w:val="0077CC"/>
            <w:sz w:val="18"/>
            <w:u w:val="single"/>
            <w:vertAlign w:val="baseline"/>
          </w:rPr>
          <w:t xml:space="preserve">. "Flynn and Jiménez were retained to represent PDVSA by its general counsel, part of the Maduro regime. White &amp; Case was retained to represent PDVSA by the Ad Hoc Board, appointed by Guaidó. Both claim to be the legitimate attorneys for PDVSA and the subsidiaries, and both ask this Court to recognize them as such." </w:t>
        </w:r>
      </w:hyperlink>
      <w:hyperlink r:id="rId4" w:history="1">
        <w:r>
          <w:rPr>
            <w:rFonts w:ascii="arial" w:eastAsia="arial" w:hAnsi="arial" w:cs="arial"/>
            <w:b w:val="0"/>
            <w:i/>
            <w:strike w:val="0"/>
            <w:color w:val="0077CC"/>
            <w:sz w:val="18"/>
            <w:u w:val="single"/>
            <w:vertAlign w:val="baseline"/>
          </w:rPr>
          <w:t>Id.</w:t>
        </w:r>
      </w:hyperlink>
      <w:hyperlink r:id="rId4" w:history="1">
        <w:r>
          <w:rPr>
            <w:rFonts w:ascii="arial" w:eastAsia="arial" w:hAnsi="arial" w:cs="arial"/>
            <w:b w:val="0"/>
            <w:i w:val="0"/>
            <w:strike w:val="0"/>
            <w:color w:val="0077CC"/>
            <w:sz w:val="18"/>
            <w:u w:val="single"/>
            <w:vertAlign w:val="baseline"/>
          </w:rPr>
          <w:t xml:space="preserve"> (record citations omitted). Applying the political question doctrine, the court resolved the dispute in favor of White &amp; Case, because "at least as far as the United States courts are concerned, the Guaidó government is the only legitimate government of Venezuela," and it was the Guaidó government that appointed White &amp; Case. </w:t>
        </w:r>
      </w:hyperlink>
      <w:hyperlink r:id="rId5" w:history="1">
        <w:r>
          <w:rPr>
            <w:rFonts w:ascii="arial" w:eastAsia="arial" w:hAnsi="arial" w:cs="arial"/>
            <w:b w:val="0"/>
            <w:i/>
            <w:strike w:val="0"/>
            <w:color w:val="0077CC"/>
            <w:sz w:val="18"/>
            <w:u w:val="single"/>
            <w:vertAlign w:val="baseline"/>
          </w:rPr>
          <w:t>Id.</w:t>
        </w:r>
      </w:hyperlink>
      <w:hyperlink r:id="rId5" w:history="1">
        <w:r>
          <w:rPr>
            <w:rFonts w:ascii="arial" w:eastAsia="arial" w:hAnsi="arial" w:cs="arial"/>
            <w:b w:val="0"/>
            <w:i/>
            <w:strike w:val="0"/>
            <w:color w:val="0077CC"/>
            <w:sz w:val="18"/>
            <w:u w:val="single"/>
            <w:vertAlign w:val="baseline"/>
          </w:rPr>
          <w:t xml:space="preserve"> at *6</w:t>
        </w:r>
      </w:hyperlink>
      <w:hyperlink r:id="rId4" w:history="1">
        <w:r>
          <w:rPr>
            <w:rFonts w:ascii="arial" w:eastAsia="arial" w:hAnsi="arial" w:cs="arial"/>
            <w:b w:val="0"/>
            <w:i w:val="0"/>
            <w:strike w:val="0"/>
            <w:color w:val="0077CC"/>
            <w:sz w:val="18"/>
            <w:u w:val="single"/>
            <w:vertAlign w:val="baseline"/>
          </w:rPr>
          <w:t>.</w:t>
        </w:r>
      </w:hyperlink>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56" w:name="Bookmark_fnpara_16"/>
      <w:bookmarkEnd w:id="56"/>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Caballero II</w:t>
      </w:r>
      <w:r>
        <w:rPr>
          <w:rFonts w:ascii="arial" w:eastAsia="arial" w:hAnsi="arial" w:cs="arial"/>
          <w:b w:val="0"/>
          <w:i w:val="0"/>
          <w:strike w:val="0"/>
          <w:noProof w:val="0"/>
          <w:color w:val="000000"/>
          <w:position w:val="0"/>
          <w:sz w:val="18"/>
          <w:u w:val="none"/>
          <w:vertAlign w:val="baseline"/>
        </w:rPr>
        <w:t xml:space="preserve">, the same two groups of lawyers claimed the right to represent another corporation, ALBA, which was 60% owned by PDVSA. </w:t>
      </w:r>
      <w:hyperlink r:id="rId7" w:history="1">
        <w:r>
          <w:rPr>
            <w:rFonts w:ascii="arial" w:eastAsia="arial" w:hAnsi="arial" w:cs="arial"/>
            <w:b w:val="0"/>
            <w:i/>
            <w:strike w:val="0"/>
            <w:noProof w:val="0"/>
            <w:color w:val="0077CC"/>
            <w:position w:val="0"/>
            <w:sz w:val="18"/>
            <w:u w:val="single"/>
            <w:vertAlign w:val="baseline"/>
          </w:rPr>
          <w:t>579 F. Supp. 3d at 316-17</w:t>
        </w:r>
      </w:hyperlink>
      <w:r>
        <w:rPr>
          <w:rFonts w:ascii="arial" w:eastAsia="arial" w:hAnsi="arial" w:cs="arial"/>
          <w:b w:val="0"/>
          <w:i w:val="0"/>
          <w:strike w:val="0"/>
          <w:noProof w:val="0"/>
          <w:color w:val="000000"/>
          <w:position w:val="0"/>
          <w:sz w:val="18"/>
          <w:u w:val="none"/>
          <w:vertAlign w:val="baseline"/>
        </w:rPr>
        <w:t xml:space="preserve">. The Jiménez group, who initially appeared for ALBA, were retained by ALBA's Vice President and Legal Representative, who - under the company's bylaws - had the authority to retain counsel on its behalf. </w:t>
      </w:r>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319</w:t>
        </w:r>
      </w:hyperlink>
      <w:r>
        <w:rPr>
          <w:rFonts w:ascii="arial" w:eastAsia="arial" w:hAnsi="arial" w:cs="arial"/>
          <w:b w:val="0"/>
          <w:i w:val="0"/>
          <w:strike w:val="0"/>
          <w:noProof w:val="0"/>
          <w:color w:val="000000"/>
          <w:position w:val="0"/>
          <w:sz w:val="18"/>
          <w:u w:val="none"/>
          <w:vertAlign w:val="baseline"/>
        </w:rPr>
        <w:t xml:space="preserve">. The White and Case group, who "filed a motion to substitute themselves as counsel for the company in this action," </w:t>
      </w:r>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317</w:t>
        </w:r>
      </w:hyperlink>
      <w:r>
        <w:rPr>
          <w:rFonts w:ascii="arial" w:eastAsia="arial" w:hAnsi="arial" w:cs="arial"/>
          <w:b w:val="0"/>
          <w:i w:val="0"/>
          <w:strike w:val="0"/>
          <w:noProof w:val="0"/>
          <w:color w:val="000000"/>
          <w:position w:val="0"/>
          <w:sz w:val="18"/>
          <w:u w:val="none"/>
          <w:vertAlign w:val="baseline"/>
        </w:rPr>
        <w:t xml:space="preserve">, were retained by the PDVSA Ad Hoc Board, "appointed by Venezuelan Interim President Juan Guaidó." </w:t>
      </w:r>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320</w:t>
        </w:r>
      </w:hyperlink>
      <w:r>
        <w:rPr>
          <w:rFonts w:ascii="arial" w:eastAsia="arial" w:hAnsi="arial" w:cs="arial"/>
          <w:b w:val="0"/>
          <w:i w:val="0"/>
          <w:strike w:val="0"/>
          <w:noProof w:val="0"/>
          <w:color w:val="000000"/>
          <w:position w:val="0"/>
          <w:sz w:val="18"/>
          <w:u w:val="none"/>
          <w:vertAlign w:val="baseline"/>
        </w:rPr>
        <w:t xml:space="preserve">. The court accepted that the Guaidó government "has exclusive authority to speak on behalf of the government of Venezuela," </w:t>
      </w:r>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320</w:t>
        </w:r>
      </w:hyperlink>
      <w:r>
        <w:rPr>
          <w:rFonts w:ascii="arial" w:eastAsia="arial" w:hAnsi="arial" w:cs="arial"/>
          <w:b w:val="0"/>
          <w:i w:val="0"/>
          <w:strike w:val="0"/>
          <w:noProof w:val="0"/>
          <w:color w:val="000000"/>
          <w:position w:val="0"/>
          <w:sz w:val="18"/>
          <w:u w:val="none"/>
          <w:vertAlign w:val="baseline"/>
        </w:rPr>
        <w:t xml:space="preserve">, but resolved the representation dispute in favor of the Jiménez group, because ALBA (unlike PDVSA itself) was a Salvadoran corporation governed by Salvadoran law. </w:t>
      </w:r>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324-25</w:t>
        </w:r>
      </w:hyperlink>
      <w:r>
        <w:rPr>
          <w:rFonts w:ascii="arial" w:eastAsia="arial" w:hAnsi="arial" w:cs="arial"/>
          <w:b w:val="0"/>
          <w:i w:val="0"/>
          <w:strike w:val="0"/>
          <w:noProof w:val="0"/>
          <w:color w:val="000000"/>
          <w:position w:val="0"/>
          <w:sz w:val="18"/>
          <w:u w:val="none"/>
          <w:vertAlign w:val="baseline"/>
        </w:rPr>
        <w:t xml:space="preserve">. The court explained that "the government of Venezuela does not have territorial jurisdiction to regulate the internal affairs of companies incorporated in El Salvador[.]" </w:t>
      </w:r>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326</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82" w:name="Bookmark_fnpara_17"/>
      <w:bookmarkEnd w:id="82"/>
      <w:r>
        <w:rPr>
          <w:rFonts w:ascii="arial" w:eastAsia="arial" w:hAnsi="arial" w:cs="arial"/>
          <w:b w:val="0"/>
          <w:i w:val="0"/>
          <w:strike w:val="0"/>
          <w:noProof w:val="0"/>
          <w:color w:val="000000"/>
          <w:position w:val="0"/>
          <w:sz w:val="18"/>
          <w:u w:val="none"/>
          <w:vertAlign w:val="baseline"/>
        </w:rPr>
        <w:t xml:space="preserve">In </w:t>
      </w:r>
      <w:hyperlink r:id="rId8" w:history="1">
        <w:r>
          <w:rPr>
            <w:rFonts w:ascii="arial" w:eastAsia="arial" w:hAnsi="arial" w:cs="arial"/>
            <w:b w:val="0"/>
            <w:i/>
            <w:strike w:val="0"/>
            <w:noProof w:val="0"/>
            <w:color w:val="0077CC"/>
            <w:position w:val="0"/>
            <w:sz w:val="18"/>
            <w:u w:val="single"/>
            <w:vertAlign w:val="baseline"/>
          </w:rPr>
          <w:t>Zouzar Bouka</w:t>
        </w:r>
      </w:hyperlink>
      <w:r>
        <w:rPr>
          <w:rFonts w:ascii="arial" w:eastAsia="arial" w:hAnsi="arial" w:cs="arial"/>
          <w:b w:val="0"/>
          <w:i w:val="0"/>
          <w:strike w:val="0"/>
          <w:noProof w:val="0"/>
          <w:color w:val="000000"/>
          <w:position w:val="0"/>
          <w:sz w:val="18"/>
          <w:u w:val="none"/>
          <w:vertAlign w:val="baseline"/>
        </w:rPr>
        <w:t xml:space="preserve">, the court resolved a "close question" in favor of the applicant, and granted discovery under </w:t>
      </w:r>
      <w:hyperlink r:id="rId1" w:history="1">
        <w:r>
          <w:rPr>
            <w:rFonts w:ascii="arial" w:eastAsia="arial" w:hAnsi="arial" w:cs="arial"/>
            <w:b w:val="0"/>
            <w:i/>
            <w:strike w:val="0"/>
            <w:noProof w:val="0"/>
            <w:color w:val="0077CC"/>
            <w:position w:val="0"/>
            <w:sz w:val="18"/>
            <w:u w:val="single"/>
            <w:vertAlign w:val="baseline"/>
          </w:rPr>
          <w:t>§ 1782</w:t>
        </w:r>
      </w:hyperlink>
      <w:r>
        <w:rPr>
          <w:rFonts w:ascii="arial" w:eastAsia="arial" w:hAnsi="arial" w:cs="arial"/>
          <w:b w:val="0"/>
          <w:i w:val="0"/>
          <w:strike w:val="0"/>
          <w:noProof w:val="0"/>
          <w:color w:val="000000"/>
          <w:position w:val="0"/>
          <w:sz w:val="18"/>
          <w:u w:val="none"/>
          <w:vertAlign w:val="baseline"/>
        </w:rPr>
        <w:t xml:space="preserve">, where the applicant identified the foreign forum and the foreign defendant, "articulated the legal basis for his claims," had already "engaged local counsel" to prepare pleadings, and had sent prelitigation correspondence outlining those claims. </w:t>
      </w:r>
      <w:hyperlink r:id="rId8" w:history="1">
        <w:r>
          <w:rPr>
            <w:rFonts w:ascii="arial" w:eastAsia="arial" w:hAnsi="arial" w:cs="arial"/>
            <w:b w:val="0"/>
            <w:i/>
            <w:strike w:val="0"/>
            <w:noProof w:val="0"/>
            <w:color w:val="0077CC"/>
            <w:position w:val="0"/>
            <w:sz w:val="18"/>
            <w:u w:val="single"/>
            <w:vertAlign w:val="baseline"/>
          </w:rPr>
          <w:t>637 F. Supp. 3d at 86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9" w:history="1">
        <w:r>
          <w:rPr>
            <w:rFonts w:ascii="arial" w:eastAsia="arial" w:hAnsi="arial" w:cs="arial"/>
            <w:b w:val="0"/>
            <w:i/>
            <w:strike w:val="0"/>
            <w:noProof w:val="0"/>
            <w:color w:val="0077CC"/>
            <w:position w:val="0"/>
            <w:sz w:val="18"/>
            <w:u w:val="single"/>
            <w:vertAlign w:val="baseline"/>
          </w:rPr>
          <w:t>In re Application of Furstenberg Fin. SAS</w:t>
        </w:r>
      </w:hyperlink>
      <w:hyperlink r:id="rId9" w:history="1">
        <w:r>
          <w:rPr>
            <w:rFonts w:ascii="arial" w:eastAsia="arial" w:hAnsi="arial" w:cs="arial"/>
            <w:b w:val="0"/>
            <w:i/>
            <w:strike w:val="0"/>
            <w:noProof w:val="0"/>
            <w:color w:val="0077CC"/>
            <w:position w:val="0"/>
            <w:sz w:val="18"/>
            <w:u w:val="single"/>
            <w:vertAlign w:val="baseline"/>
          </w:rPr>
          <w:t>, 334 F. Supp. 3d 616, 618 (S.D.N.Y. 2018)</w:t>
        </w:r>
      </w:hyperlink>
      <w:r>
        <w:rPr>
          <w:rFonts w:ascii="arial" w:eastAsia="arial" w:hAnsi="arial" w:cs="arial"/>
          <w:b w:val="0"/>
          <w:i w:val="0"/>
          <w:strike w:val="0"/>
          <w:noProof w:val="0"/>
          <w:color w:val="000000"/>
          <w:position w:val="0"/>
          <w:sz w:val="18"/>
          <w:u w:val="none"/>
          <w:vertAlign w:val="baseline"/>
        </w:rPr>
        <w:t xml:space="preserve"> (granting </w:t>
      </w:r>
      <w:hyperlink r:id="rId1" w:history="1">
        <w:r>
          <w:rPr>
            <w:rFonts w:ascii="arial" w:eastAsia="arial" w:hAnsi="arial" w:cs="arial"/>
            <w:b w:val="0"/>
            <w:i/>
            <w:strike w:val="0"/>
            <w:noProof w:val="0"/>
            <w:color w:val="0077CC"/>
            <w:position w:val="0"/>
            <w:sz w:val="18"/>
            <w:u w:val="single"/>
            <w:vertAlign w:val="baseline"/>
          </w:rPr>
          <w:t>§ 1782</w:t>
        </w:r>
      </w:hyperlink>
      <w:r>
        <w:rPr>
          <w:rFonts w:ascii="arial" w:eastAsia="arial" w:hAnsi="arial" w:cs="arial"/>
          <w:b w:val="0"/>
          <w:i w:val="0"/>
          <w:strike w:val="0"/>
          <w:noProof w:val="0"/>
          <w:color w:val="000000"/>
          <w:position w:val="0"/>
          <w:sz w:val="18"/>
          <w:u w:val="none"/>
          <w:vertAlign w:val="baseline"/>
        </w:rPr>
        <w:t xml:space="preserve"> application where applicants filed declarations attesting that they intended to file a criminal complaint in Luxembourg against a specific individual, articulating "a specific legal theory on which they intend to rely," and where there was no indication that discovery sought would be used to assess whether such theory was viable), </w:t>
      </w:r>
      <w:r>
        <w:rPr>
          <w:rFonts w:ascii="arial" w:eastAsia="arial" w:hAnsi="arial" w:cs="arial"/>
          <w:b w:val="0"/>
          <w:i/>
          <w:strike w:val="0"/>
          <w:noProof w:val="0"/>
          <w:color w:val="000000"/>
          <w:position w:val="0"/>
          <w:sz w:val="18"/>
          <w:u w:val="none"/>
          <w:vertAlign w:val="baseline"/>
        </w:rPr>
        <w:t xml:space="preserve">aff'd sub nom. </w:t>
      </w:r>
      <w:hyperlink r:id="rId10" w:history="1">
        <w:r>
          <w:rPr>
            <w:rFonts w:ascii="arial" w:eastAsia="arial" w:hAnsi="arial" w:cs="arial"/>
            <w:b w:val="0"/>
            <w:i/>
            <w:strike w:val="0"/>
            <w:noProof w:val="0"/>
            <w:color w:val="0077CC"/>
            <w:position w:val="0"/>
            <w:sz w:val="18"/>
            <w:u w:val="single"/>
            <w:vertAlign w:val="baseline"/>
          </w:rPr>
          <w:t>In re Furstenberg Fin. SAS</w:t>
        </w:r>
      </w:hyperlink>
      <w:hyperlink r:id="rId10" w:history="1">
        <w:r>
          <w:rPr>
            <w:rFonts w:ascii="arial" w:eastAsia="arial" w:hAnsi="arial" w:cs="arial"/>
            <w:b w:val="0"/>
            <w:i/>
            <w:strike w:val="0"/>
            <w:noProof w:val="0"/>
            <w:color w:val="0077CC"/>
            <w:position w:val="0"/>
            <w:sz w:val="18"/>
            <w:u w:val="single"/>
            <w:vertAlign w:val="baseline"/>
          </w:rPr>
          <w:t>, 785 F. App'x 882 (2d Cir. 2019)</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85" w:name="Bookmark_fnpara_18"/>
      <w:bookmarkEnd w:id="85"/>
      <w:r>
        <w:rPr>
          <w:rFonts w:ascii="arial" w:eastAsia="arial" w:hAnsi="arial" w:cs="arial"/>
          <w:b w:val="0"/>
          <w:i w:val="0"/>
          <w:strike w:val="0"/>
          <w:noProof w:val="0"/>
          <w:color w:val="000000"/>
          <w:position w:val="0"/>
          <w:sz w:val="18"/>
          <w:u w:val="none"/>
          <w:vertAlign w:val="baseline"/>
        </w:rPr>
        <w:t xml:space="preserve">The breadth of the subpoenas - which seek records from eight major banks, entirely unlimited as to time, concerning any and all Gaddafi-related accounts or transactions - underscores that the discovery sought "is more in the nature of a fishing expedition," designed in hopes that it will "turn up sufficient factual information to support a colorable claim" against someone, somewhere, for hoarding ill-gotten Libyan assets. </w:t>
      </w:r>
      <w:bookmarkStart w:id="86" w:name="Bookmark_I6BB15B72SF7TP0050000400"/>
      <w:bookmarkEnd w:id="86"/>
      <w:hyperlink r:id="rId11" w:history="1">
        <w:r>
          <w:rPr>
            <w:rFonts w:ascii="arial" w:eastAsia="arial" w:hAnsi="arial" w:cs="arial"/>
            <w:b w:val="0"/>
            <w:i/>
            <w:strike w:val="0"/>
            <w:noProof w:val="0"/>
            <w:color w:val="0077CC"/>
            <w:position w:val="0"/>
            <w:sz w:val="18"/>
            <w:u w:val="single"/>
            <w:vertAlign w:val="baseline"/>
          </w:rPr>
          <w:t>BANOKA S.à.r.l.</w:t>
        </w:r>
      </w:hyperlink>
      <w:hyperlink r:id="rId11" w:history="1">
        <w:r>
          <w:rPr>
            <w:rFonts w:ascii="arial" w:eastAsia="arial" w:hAnsi="arial" w:cs="arial"/>
            <w:b w:val="0"/>
            <w:i/>
            <w:strike w:val="0"/>
            <w:noProof w:val="0"/>
            <w:color w:val="0077CC"/>
            <w:position w:val="0"/>
            <w:sz w:val="18"/>
            <w:u w:val="single"/>
            <w:vertAlign w:val="baseline"/>
          </w:rPr>
          <w:t>, 2023 U.S. Dist. LEXIS 17176, 2023 WL 1433681, at *6</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88" w:name="Bookmark_fnpara_19"/>
      <w:bookmarkEnd w:id="88"/>
      <w:r>
        <w:rPr>
          <w:rFonts w:ascii="arial" w:eastAsia="arial" w:hAnsi="arial" w:cs="arial"/>
          <w:b w:val="0"/>
          <w:i w:val="0"/>
          <w:strike w:val="0"/>
          <w:noProof w:val="0"/>
          <w:color w:val="000000"/>
          <w:position w:val="0"/>
          <w:sz w:val="18"/>
          <w:u w:val="none"/>
          <w:vertAlign w:val="baseline"/>
        </w:rPr>
        <w:t xml:space="preserve">The denial of a </w:t>
      </w:r>
      <w:hyperlink r:id="rId1" w:history="1">
        <w:r>
          <w:rPr>
            <w:rFonts w:ascii="arial" w:eastAsia="arial" w:hAnsi="arial" w:cs="arial"/>
            <w:b w:val="0"/>
            <w:i/>
            <w:strike w:val="0"/>
            <w:noProof w:val="0"/>
            <w:color w:val="0077CC"/>
            <w:position w:val="0"/>
            <w:sz w:val="18"/>
            <w:u w:val="single"/>
            <w:vertAlign w:val="baseline"/>
          </w:rPr>
          <w:t>§ 1782</w:t>
        </w:r>
      </w:hyperlink>
      <w:r>
        <w:rPr>
          <w:rFonts w:ascii="arial" w:eastAsia="arial" w:hAnsi="arial" w:cs="arial"/>
          <w:b w:val="0"/>
          <w:i w:val="0"/>
          <w:strike w:val="0"/>
          <w:noProof w:val="0"/>
          <w:color w:val="000000"/>
          <w:position w:val="0"/>
          <w:sz w:val="18"/>
          <w:u w:val="none"/>
          <w:vertAlign w:val="baseline"/>
        </w:rPr>
        <w:t xml:space="preserve"> application on the ground that at the time of its filing the planned foreign proceedings were not within the applicant's reasonable contemplation "does not preclude a new application by [LARMO] based on new circumstances." </w:t>
      </w:r>
      <w:hyperlink r:id="rId12" w:history="1">
        <w:r>
          <w:rPr>
            <w:rFonts w:ascii="arial" w:eastAsia="arial" w:hAnsi="arial" w:cs="arial"/>
            <w:b w:val="0"/>
            <w:i/>
            <w:strike w:val="0"/>
            <w:noProof w:val="0"/>
            <w:color w:val="0077CC"/>
            <w:position w:val="0"/>
            <w:sz w:val="18"/>
            <w:u w:val="single"/>
            <w:vertAlign w:val="baseline"/>
          </w:rPr>
          <w:t>Certain Funds</w:t>
        </w:r>
      </w:hyperlink>
      <w:hyperlink r:id="rId12" w:history="1">
        <w:r>
          <w:rPr>
            <w:rFonts w:ascii="arial" w:eastAsia="arial" w:hAnsi="arial" w:cs="arial"/>
            <w:b w:val="0"/>
            <w:i/>
            <w:strike w:val="0"/>
            <w:noProof w:val="0"/>
            <w:color w:val="0077CC"/>
            <w:position w:val="0"/>
            <w:sz w:val="18"/>
            <w:u w:val="single"/>
            <w:vertAlign w:val="baseline"/>
          </w:rPr>
          <w:t>, 798 F.3d at 125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Libyan Asset Recovery, 2023 U.S. Dist. LEXIS 206667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P8-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SG9-5HW2-D6RV-H0P5-00000-00&amp;context=1519360" TargetMode="External" /><Relationship Id="rId13" Type="http://schemas.openxmlformats.org/officeDocument/2006/relationships/hyperlink" Target="https://advance.lexis.com/api/document?collection=cases&amp;id=urn:contentItem:62N6-RGP1-JKB3-X2WH-00000-00&amp;context=1519360" TargetMode="External" /><Relationship Id="rId14" Type="http://schemas.openxmlformats.org/officeDocument/2006/relationships/hyperlink" Target="https://advance.lexis.com/api/document?collection=cases&amp;id=urn:contentItem:64GK-PSB1-F60C-X4DY-00000-00&amp;context=1519360" TargetMode="External" /><Relationship Id="rId15" Type="http://schemas.openxmlformats.org/officeDocument/2006/relationships/hyperlink" Target="https://advance.lexis.com/api/document?collection=cases&amp;id=urn:contentItem:64J3-HCJ1-F1WF-M3CK-00000-00&amp;context=1519360" TargetMode="External" /><Relationship Id="rId16" Type="http://schemas.openxmlformats.org/officeDocument/2006/relationships/hyperlink" Target="https://advance.lexis.com/api/document?collection=cases&amp;id=urn:contentItem:696G-GC51-F7G6-600M-00000-00&amp;context=1519360" TargetMode="External" /><Relationship Id="rId17" Type="http://schemas.openxmlformats.org/officeDocument/2006/relationships/hyperlink" Target="https://advance.lexis.com/api/document?collection=cases&amp;id=urn:contentItem:4NBS-TTH0-0038-X2YW-00000-00&amp;context=1519360" TargetMode="External" /><Relationship Id="rId18" Type="http://schemas.openxmlformats.org/officeDocument/2006/relationships/hyperlink" Target="https://advance.lexis.com/api/document?collection=cases&amp;id=urn:contentItem:67WM-4BV1-F4GK-M26M-00000-00&amp;context=1519360" TargetMode="External" /><Relationship Id="rId19" Type="http://schemas.openxmlformats.org/officeDocument/2006/relationships/hyperlink" Target="https://advance.lexis.com/api/document?collection=cases&amp;id=urn:contentItem:694Y-CH61-F60C-X00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1VG0-0039-Y3DH-00000-00&amp;context=1519360" TargetMode="External" /><Relationship Id="rId21" Type="http://schemas.openxmlformats.org/officeDocument/2006/relationships/hyperlink" Target="https://advance.lexis.com/api/document?collection=cases&amp;id=urn:contentItem:3S4V-K3C0-0054-616H-00000-00&amp;context=1519360" TargetMode="External" /><Relationship Id="rId22" Type="http://schemas.openxmlformats.org/officeDocument/2006/relationships/hyperlink" Target="https://advance.lexis.com/api/document?collection=cases&amp;id=urn:contentItem:7X8N-7690-YB0J-T000-00000-00&amp;context=1519360" TargetMode="External" /><Relationship Id="rId23" Type="http://schemas.openxmlformats.org/officeDocument/2006/relationships/hyperlink" Target="https://advance.lexis.com/api/document?collection=cases&amp;id=urn:contentItem:3S4W-SP70-003B-K36N-00000-00&amp;context=1519360" TargetMode="External" /><Relationship Id="rId24" Type="http://schemas.openxmlformats.org/officeDocument/2006/relationships/hyperlink" Target="https://advance.lexis.com/api/document?collection=cases&amp;id=urn:contentItem:3S4V-PSD0-003B-22MS-00000-00&amp;context=1519360" TargetMode="External" /><Relationship Id="rId25" Type="http://schemas.openxmlformats.org/officeDocument/2006/relationships/hyperlink" Target="https://advance.lexis.com/api/document?collection=cases&amp;id=urn:contentItem:64NX-W161-JW09-M4HC-00000-00&amp;context=1519360" TargetMode="External" /><Relationship Id="rId26" Type="http://schemas.openxmlformats.org/officeDocument/2006/relationships/hyperlink" Target="https://advance.lexis.com/api/document?collection=cases&amp;id=urn:contentItem:58X2-F321-F04K-J06J-00000-00&amp;context=1519360" TargetMode="External" /><Relationship Id="rId27" Type="http://schemas.openxmlformats.org/officeDocument/2006/relationships/hyperlink" Target="https://advance.lexis.com/api/document?collection=cases&amp;id=urn:contentItem:4CX1-BP00-0038-X1FK-00000-00&amp;context=1519360" TargetMode="External" /><Relationship Id="rId28" Type="http://schemas.openxmlformats.org/officeDocument/2006/relationships/hyperlink" Target="https://advance.lexis.com/api/document?collection=cases&amp;id=urn:contentItem:3S4W-YK80-006F-M2K2-00000-00&amp;context=1519360" TargetMode="External" /><Relationship Id="rId29" Type="http://schemas.openxmlformats.org/officeDocument/2006/relationships/hyperlink" Target="https://advance.lexis.com/api/document?collection=cases&amp;id=urn:contentItem:3S42-KWK0-00B1-D21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4090-008H-V2TG-00000-00&amp;context=1519360" TargetMode="External" /><Relationship Id="rId31" Type="http://schemas.openxmlformats.org/officeDocument/2006/relationships/hyperlink" Target="https://advance.lexis.com/api/document?collection=cases&amp;id=urn:contentItem:4CNS-7CJ0-004C-1005-00000-00&amp;context=1519360" TargetMode="External" /><Relationship Id="rId32" Type="http://schemas.openxmlformats.org/officeDocument/2006/relationships/hyperlink" Target="https://advance.lexis.com/api/document?collection=cases&amp;id=urn:contentItem:5X70-4RF1-JKPJ-G36X-00000-00&amp;context=1519360" TargetMode="External" /><Relationship Id="rId33" Type="http://schemas.openxmlformats.org/officeDocument/2006/relationships/hyperlink" Target="https://advance.lexis.com/api/document?collection=cases&amp;id=urn:contentItem:5GR6-4KM1-F04K-J00G-00000-00&amp;context=1519360" TargetMode="External" /><Relationship Id="rId34" Type="http://schemas.openxmlformats.org/officeDocument/2006/relationships/hyperlink" Target="https://advance.lexis.com/api/document?collection=cases&amp;id=urn:contentItem:5B82-4MP1-F04K-X1WR-00000-00&amp;context=1519360" TargetMode="External" /><Relationship Id="rId35" Type="http://schemas.openxmlformats.org/officeDocument/2006/relationships/hyperlink" Target="https://advance.lexis.com/api/document?collection=cases&amp;id=urn:contentItem:6182-MH21-JG59-22RX-00000-00&amp;context=1519360" TargetMode="External" /><Relationship Id="rId36" Type="http://schemas.openxmlformats.org/officeDocument/2006/relationships/hyperlink" Target="https://advance.lexis.com/api/document?collection=cases&amp;id=urn:contentItem:66R5-D9R1-JPGX-S46W-00000-00&amp;context=1519360" TargetMode="External" /><Relationship Id="rId37" Type="http://schemas.openxmlformats.org/officeDocument/2006/relationships/hyperlink" Target="https://advance.lexis.com/api/document?collection=cases&amp;id=urn:contentItem:67G3-6P61-JTGH-B075-00000-00&amp;context=1519360" TargetMode="External" /><Relationship Id="rId38" Type="http://schemas.openxmlformats.org/officeDocument/2006/relationships/hyperlink" Target="https://advance.lexis.com/api/document?collection=cases&amp;id=urn:contentItem:5PP0-23D1-F04F-019Y-00000-00&amp;context=1519360" TargetMode="External" /><Relationship Id="rId39" Type="http://schemas.openxmlformats.org/officeDocument/2006/relationships/hyperlink" Target="https://advance.lexis.com/api/document?collection=cases&amp;id=urn:contentItem:67FS-JNN1-JJD0-G03R-00000-00&amp;context=1519360" TargetMode="External" /><Relationship Id="rId4" Type="http://schemas.openxmlformats.org/officeDocument/2006/relationships/fontTable" Target="fontTable.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NF-0P71-K0HK-247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P8-00000-00&amp;context=1519360" TargetMode="External" /><Relationship Id="rId10" Type="http://schemas.openxmlformats.org/officeDocument/2006/relationships/hyperlink" Target="https://advance.lexis.com/api/document?collection=cases&amp;id=urn:contentItem:5WXW-17R1-FBV7-B45G-00000-00&amp;context=1519360" TargetMode="External" /><Relationship Id="rId11" Type="http://schemas.openxmlformats.org/officeDocument/2006/relationships/hyperlink" Target="https://advance.lexis.com/api/document?collection=cases&amp;id=urn:contentItem:67FS-JNN1-JJD0-G03R-00000-00&amp;context=1519360" TargetMode="External" /><Relationship Id="rId12" Type="http://schemas.openxmlformats.org/officeDocument/2006/relationships/hyperlink" Target="https://advance.lexis.com/api/document?collection=cases&amp;id=urn:contentItem:5GR6-4KM1-F04K-J00G-00000-00&amp;context=1519360" TargetMode="External" /><Relationship Id="rId2" Type="http://schemas.openxmlformats.org/officeDocument/2006/relationships/hyperlink" Target="https://advance.lexis.com/api/document?collection=cases&amp;id=urn:contentItem:5X1P-4BN1-F016-S4Y6-00000-00&amp;context=1519360" TargetMode="External" /><Relationship Id="rId3" Type="http://schemas.openxmlformats.org/officeDocument/2006/relationships/hyperlink" Target="https://advance.lexis.com/api/document?collection=cases&amp;id=urn:contentItem:6851-8M71-F5DR-22D9-00000-00&amp;context=1519360" TargetMode="External" /><Relationship Id="rId4" Type="http://schemas.openxmlformats.org/officeDocument/2006/relationships/hyperlink" Target="https://advance.lexis.com/api/document?collection=cases&amp;id=urn:contentItem:64GK-PSB1-F60C-X4DY-00000-00&amp;context=1519360" TargetMode="External" /><Relationship Id="rId5" Type="http://schemas.openxmlformats.org/officeDocument/2006/relationships/hyperlink" Target="https://advance.lexis.com/api/document?collection=cases&amp;id=urn:contentItem:62N6-RGP1-JKB3-X2WH-00000-00&amp;context=1519360" TargetMode="External" /><Relationship Id="rId6" Type="http://schemas.openxmlformats.org/officeDocument/2006/relationships/hyperlink" Target="https://advance.lexis.com/api/document?collection=cases&amp;id=urn:contentItem:64NX-W161-JW09-M4HC-00000-00&amp;context=1519360" TargetMode="External" /><Relationship Id="rId7" Type="http://schemas.openxmlformats.org/officeDocument/2006/relationships/hyperlink" Target="https://advance.lexis.com/api/document?collection=cases&amp;id=urn:contentItem:64J3-HCJ1-F1WF-M3CK-00000-00&amp;context=1519360" TargetMode="External" /><Relationship Id="rId8" Type="http://schemas.openxmlformats.org/officeDocument/2006/relationships/hyperlink" Target="https://advance.lexis.com/api/document?collection=cases&amp;id=urn:contentItem:66R5-D9R1-JPGX-S46W-00000-00&amp;context=1519360" TargetMode="External" /><Relationship Id="rId9" Type="http://schemas.openxmlformats.org/officeDocument/2006/relationships/hyperlink" Target="https://advance.lexis.com/api/document?collection=cases&amp;id=urn:contentItem:5TBV-0JM1-JGBH-B4F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Libyan Asset Recovery, 2023 U.S. Dist. LEXIS 206667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Doc::urn:hlct:5|contextualFeaturePermID::1519360</vt:lpwstr>
  </property>
  <property fmtid="{D5CDD505-2E9C-101B-9397-08002B2CF9AE}" pid="5" name="UserPermID">
    <vt:lpwstr>urn:user:PA186186283</vt:lpwstr>
  </property>
</Properties>
</file>