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Johnson v. Briarly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Kentucky, Louisville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Decided; July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3:22-CV-00153-JHM</w:t>
      </w:r>
    </w:p>
    <w:p>
      <w:pPr>
        <w:keepNext w:val="0"/>
        <w:spacing w:after="0" w:line="240" w:lineRule="atLeast"/>
        <w:ind w:right="0"/>
        <w:jc w:val="both"/>
      </w:pPr>
      <w:bookmarkStart w:id="0" w:name="Bookmark_4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127973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4747688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JEFFREY JOHNSON, PLAINTIFF v. JENNIFER BRIARLY,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w:t>
      </w:r>
      <w:hyperlink r:id="rId9" w:history="1">
        <w:r>
          <w:rPr>
            <w:rFonts w:ascii="arial" w:eastAsia="arial" w:hAnsi="arial" w:cs="arial"/>
            <w:b w:val="0"/>
            <w:i/>
            <w:strike w:val="0"/>
            <w:noProof w:val="0"/>
            <w:color w:val="0077CC"/>
            <w:position w:val="0"/>
            <w:sz w:val="20"/>
            <w:u w:val="single"/>
            <w:vertAlign w:val="baseline"/>
          </w:rPr>
          <w:t>Johnson v. Briarly, 2024 U.S. App. LEXIS 2295 (6th Cir., Feb. 1,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Affirmed by </w:t>
      </w:r>
      <w:hyperlink r:id="rId10" w:history="1">
        <w:r>
          <w:rPr>
            <w:rFonts w:ascii="arial" w:eastAsia="arial" w:hAnsi="arial" w:cs="arial"/>
            <w:b w:val="0"/>
            <w:i/>
            <w:strike w:val="0"/>
            <w:noProof w:val="0"/>
            <w:color w:val="0077CC"/>
            <w:position w:val="0"/>
            <w:sz w:val="20"/>
            <w:u w:val="single"/>
            <w:vertAlign w:val="baseline"/>
          </w:rPr>
          <w:t>Johnson v. Briarly, 2024 U.S. App. LEXIS 12264 (6th Cir. Ky., May 21,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mail, inmate, opened, prison, summary judgment, injunctive relief, photocopies, non-moving, courts, alleges, genuine, staff</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Jeffery Johnson, Plaintiff, Pro se, Murray,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Jennifer Parks Briarly, Officer Tipton, Warden Anna Valentine, Commissioner Cookie Crews, Donna Boyer, Defendants: Allison Rene Brown, LEAD ATTORNEY, Kentucky Justice &amp; Public Safety Cabinet, Frankfort, KY; Robert Chaney, Kentucky Department of Corrections, Frankfort, KY.</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Joseph H. McKinley, Jr.,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Joseph H. McKinley,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is before the Court on Plaintiff Jeffrey Johnson's and Defendants' cross motions for summary judgment. [DN 34; DN 35]. Fully briefed, this matter is ripe for decision. For the following reasons, Defendants'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Johnson's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Plaintiff Jeffrey Johnson was an inmate at the Kentucky State Reformatory ("KSR") in La Grange until November 2022; he is now at the Calloway County Jail. [DN 35-1 at 1]. While he was at KSR, the prison instituted a new protocol for handling inmates' legal mail to ensure the mail could not be used as a vehicle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the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KSR required its staff to open inmates' privileged mail in the recipients' presence.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opening it, the staff photocopied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mail and gave the photocopies to the recipients, and the original mail was destroyed.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DN 1 at 4].</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Johnson believes KSR's mail policy was facially unlawful. He sued KSR's warden, mail-room supervisor, and two other KSR employees—as well as the commissioner of the Kentucky Department of Corrections—in this Court in their official and individual capacities (collectively "Defendants"). [DN 1 at 1-3]. He alleges that the policy infringed on his rights under the </w:t>
      </w:r>
      <w:hyperlink r:id="rId11"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and violated Kentucky laws about changing prison regulations without state approval.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He also alleges that KSR employees opened his legal mail without him present on both August 26, 2021, and January 11, 2022, violating the </w:t>
      </w:r>
      <w:hyperlink r:id="rId12"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and KSR's own policy. [DN 1 at 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DN 1-2 at 1; DN 1-3 at 38].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11" w:name="Bookmark_para_4"/>
      <w:bookmarkEnd w:id="11"/>
      <w:bookmarkStart w:id="12" w:name="Bookmark_I64KRBV2B9300000T8D00004"/>
      <w:bookmarkEnd w:id="12"/>
      <w:bookmarkStart w:id="13" w:name="Bookmark_I68TYTXX2D6NFS0020000400"/>
      <w:bookmarkEnd w:id="13"/>
      <w:r>
        <w:rPr>
          <w:rFonts w:ascii="arial" w:eastAsia="arial" w:hAnsi="arial" w:cs="arial"/>
          <w:b w:val="0"/>
          <w:i w:val="0"/>
          <w:strike w:val="0"/>
          <w:noProof w:val="0"/>
          <w:color w:val="000000"/>
          <w:position w:val="0"/>
          <w:sz w:val="20"/>
          <w:u w:val="none"/>
          <w:vertAlign w:val="baseline"/>
        </w:rPr>
        <w:t xml:space="preserve">Before the Court may grant a motion for summary judgment, it must find that there is no genuine dispute as to any material fact and that the moving party is entitled to judgment as a matter of law.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14" w:name="Bookmark_I64KRBV25MK00000T8D00002"/>
      <w:bookmarkEnd w:id="14"/>
      <w:bookmarkStart w:id="15" w:name="Bookmark_I68TYTXX2D6NFS0040000400"/>
      <w:bookmarkEnd w:id="15"/>
      <w:r>
        <w:rPr>
          <w:rFonts w:ascii="arial" w:eastAsia="arial" w:hAnsi="arial" w:cs="arial"/>
          <w:b w:val="0"/>
          <w:i w:val="0"/>
          <w:strike w:val="0"/>
          <w:noProof w:val="0"/>
          <w:color w:val="000000"/>
          <w:position w:val="0"/>
          <w:sz w:val="20"/>
          <w:u w:val="none"/>
          <w:vertAlign w:val="baseline"/>
        </w:rPr>
        <w:t xml:space="preserve">The moving party bears the initial burden of specifying the basis for its motion and identifying that portion of the record that demonstrates the absence of a genuine issue of material fact. </w:t>
      </w:r>
      <w:bookmarkStart w:id="16" w:name="Bookmark_I68TYTXX2D6NFS0010000400"/>
      <w:bookmarkEnd w:id="16"/>
      <w:hyperlink r:id="rId14" w:history="1">
        <w:r>
          <w:rPr>
            <w:rFonts w:ascii="arial" w:eastAsia="arial" w:hAnsi="arial" w:cs="arial"/>
            <w:b w:val="0"/>
            <w:i/>
            <w:strike w:val="0"/>
            <w:noProof w:val="0"/>
            <w:color w:val="0077CC"/>
            <w:position w:val="0"/>
            <w:sz w:val="20"/>
            <w:u w:val="single"/>
            <w:vertAlign w:val="baseline"/>
          </w:rPr>
          <w:t>Celotex Corp. v. Catrett</w:t>
        </w:r>
      </w:hyperlink>
      <w:hyperlink r:id="rId14"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Once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moving party satisfies this burden, the non-moving party thereafter must produce specific facts demonstrating a genuine issue of fact for trial. </w:t>
      </w:r>
      <w:bookmarkStart w:id="17" w:name="Bookmark_I68TYTXX2D6NFS0040000400_2"/>
      <w:bookmarkEnd w:id="17"/>
      <w:bookmarkStart w:id="18" w:name="Bookmark_I68TYTXX2D6NFS0030000400"/>
      <w:bookmarkEnd w:id="18"/>
      <w:hyperlink r:id="rId15" w:history="1">
        <w:r>
          <w:rPr>
            <w:rFonts w:ascii="arial" w:eastAsia="arial" w:hAnsi="arial" w:cs="arial"/>
            <w:b w:val="0"/>
            <w:i/>
            <w:strike w:val="0"/>
            <w:noProof w:val="0"/>
            <w:color w:val="0077CC"/>
            <w:position w:val="0"/>
            <w:sz w:val="20"/>
            <w:u w:val="single"/>
            <w:vertAlign w:val="baseline"/>
          </w:rPr>
          <w:t>Anderson v. Liberty Lobby, Inc.</w:t>
        </w:r>
      </w:hyperlink>
      <w:hyperlink r:id="rId15"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5"/>
      <w:bookmarkEnd w:id="19"/>
      <w:bookmarkStart w:id="20" w:name="Bookmark_I64KRBV1XYP00000T8D00001"/>
      <w:bookmarkEnd w:id="20"/>
      <w:bookmarkStart w:id="21" w:name="Bookmark_I68TYTXY2SF7VF0010000400"/>
      <w:bookmarkEnd w:id="21"/>
      <w:bookmarkStart w:id="22" w:name="Bookmark_I68TYTXY2SF7VF0030000400"/>
      <w:bookmarkEnd w:id="22"/>
      <w:r>
        <w:rPr>
          <w:rFonts w:ascii="arial" w:eastAsia="arial" w:hAnsi="arial" w:cs="arial"/>
          <w:b w:val="0"/>
          <w:i w:val="0"/>
          <w:strike w:val="0"/>
          <w:noProof w:val="0"/>
          <w:color w:val="000000"/>
          <w:position w:val="0"/>
          <w:sz w:val="20"/>
          <w:u w:val="none"/>
          <w:vertAlign w:val="baseline"/>
        </w:rPr>
        <w:t xml:space="preserve">Although the Court must review the evidence in the light most favorable to the non-moving party, the non-moving party must do more than merely show that there is some "metaphysical doubt as to the material facts." </w:t>
      </w:r>
      <w:bookmarkStart w:id="23" w:name="Bookmark_I68TYTXX2D6NFS0050000400"/>
      <w:bookmarkEnd w:id="23"/>
      <w:hyperlink r:id="rId16" w:history="1">
        <w:r>
          <w:rPr>
            <w:rFonts w:ascii="arial" w:eastAsia="arial" w:hAnsi="arial" w:cs="arial"/>
            <w:b w:val="0"/>
            <w:i/>
            <w:strike w:val="0"/>
            <w:noProof w:val="0"/>
            <w:color w:val="0077CC"/>
            <w:position w:val="0"/>
            <w:sz w:val="20"/>
            <w:u w:val="single"/>
            <w:vertAlign w:val="baseline"/>
          </w:rPr>
          <w:t>Matsushita Elec. Indus. Co., Ltd. v. Zenith Radio Corp.</w:t>
        </w:r>
      </w:hyperlink>
      <w:hyperlink r:id="rId16" w:history="1">
        <w:r>
          <w:rPr>
            <w:rFonts w:ascii="arial" w:eastAsia="arial" w:hAnsi="arial" w:cs="arial"/>
            <w:b w:val="0"/>
            <w:i/>
            <w:strike w:val="0"/>
            <w:noProof w:val="0"/>
            <w:color w:val="0077CC"/>
            <w:position w:val="0"/>
            <w:sz w:val="20"/>
            <w:u w:val="single"/>
            <w:vertAlign w:val="baseline"/>
          </w:rPr>
          <w:t>, 475 U.S. 574, 586, 106 S. Ct. 1348, 89 L. Ed. 2d 538 (1986)</w:t>
        </w:r>
      </w:hyperlink>
      <w:r>
        <w:rPr>
          <w:rFonts w:ascii="arial" w:eastAsia="arial" w:hAnsi="arial" w:cs="arial"/>
          <w:b w:val="0"/>
          <w:i w:val="0"/>
          <w:strike w:val="0"/>
          <w:noProof w:val="0"/>
          <w:color w:val="000000"/>
          <w:position w:val="0"/>
          <w:sz w:val="20"/>
          <w:u w:val="none"/>
          <w:vertAlign w:val="baseline"/>
        </w:rPr>
        <w:t xml:space="preserve">. Instead, the Federal Rules of Civil Procedure require the non-moving party to present specific facts showing that a genuine factual issue exists by "citing to particular parts of materials in the record" or by "showing that the materials cited do not establish the absence . . . of a genuine dispute[.]" </w:t>
      </w:r>
      <w:hyperlink r:id="rId13" w:history="1">
        <w:r>
          <w:rPr>
            <w:rFonts w:ascii="arial" w:eastAsia="arial" w:hAnsi="arial" w:cs="arial"/>
            <w:b w:val="0"/>
            <w:i/>
            <w:strike w:val="0"/>
            <w:noProof w:val="0"/>
            <w:color w:val="0077CC"/>
            <w:position w:val="0"/>
            <w:sz w:val="20"/>
            <w:u w:val="single"/>
            <w:vertAlign w:val="baseline"/>
          </w:rPr>
          <w:t>Fed. R. Civ. P. 56(c)(1)</w:t>
        </w:r>
      </w:hyperlink>
      <w:r>
        <w:rPr>
          <w:rFonts w:ascii="arial" w:eastAsia="arial" w:hAnsi="arial" w:cs="arial"/>
          <w:b w:val="0"/>
          <w:i w:val="0"/>
          <w:strike w:val="0"/>
          <w:noProof w:val="0"/>
          <w:color w:val="000000"/>
          <w:position w:val="0"/>
          <w:sz w:val="20"/>
          <w:u w:val="none"/>
          <w:vertAlign w:val="baseline"/>
        </w:rPr>
        <w:t xml:space="preserve">. "The mere existence of a scintilla of evidence in support of the [non-moving party's] position will be insufficient; there must be evidence on which the jury could reasonably find for the [non-moving party]." </w:t>
      </w:r>
      <w:bookmarkStart w:id="24" w:name="Bookmark_I68TYTXY2SF7VF0020000400"/>
      <w:bookmarkEnd w:id="24"/>
      <w:hyperlink r:id="rId15" w:history="1">
        <w:r>
          <w:rPr>
            <w:rFonts w:ascii="arial" w:eastAsia="arial" w:hAnsi="arial" w:cs="arial"/>
            <w:b w:val="0"/>
            <w:i/>
            <w:strike w:val="0"/>
            <w:noProof w:val="0"/>
            <w:color w:val="0077CC"/>
            <w:position w:val="0"/>
            <w:sz w:val="20"/>
            <w:u w:val="single"/>
            <w:vertAlign w:val="baseline"/>
          </w:rPr>
          <w:t>Anderson</w:t>
        </w:r>
      </w:hyperlink>
      <w:hyperlink r:id="rId15"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6"/>
      <w:bookmarkEnd w:id="25"/>
      <w:bookmarkStart w:id="26" w:name="Bookmark_I68TYTXY2SF7VF0050000400"/>
      <w:bookmarkEnd w:id="26"/>
      <w:bookmarkStart w:id="27" w:name="Bookmark_I68TYTXY2SF7VH0020000400"/>
      <w:bookmarkEnd w:id="27"/>
      <w:r>
        <w:rPr>
          <w:rFonts w:ascii="arial" w:eastAsia="arial" w:hAnsi="arial" w:cs="arial"/>
          <w:b w:val="0"/>
          <w:i w:val="0"/>
          <w:strike w:val="0"/>
          <w:noProof w:val="0"/>
          <w:color w:val="000000"/>
          <w:position w:val="0"/>
          <w:sz w:val="20"/>
          <w:u w:val="none"/>
          <w:vertAlign w:val="baseline"/>
        </w:rPr>
        <w:t xml:space="preserve">The fact that a plaintiff 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does not lessen his obligations under </w:t>
      </w:r>
      <w:hyperlink r:id="rId13"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"The liberal treatment of pro se pleadings does not require the lenient treatment of substantive law, and the liberal standards that apply at the pleading stage do not apply after a case has progressed to the summary judgment stage." </w:t>
      </w:r>
      <w:bookmarkStart w:id="28" w:name="Bookmark_I68TYTXY2SF7VF0040000400"/>
      <w:bookmarkEnd w:id="28"/>
      <w:hyperlink r:id="rId17" w:history="1">
        <w:r>
          <w:rPr>
            <w:rFonts w:ascii="arial" w:eastAsia="arial" w:hAnsi="arial" w:cs="arial"/>
            <w:b w:val="0"/>
            <w:i/>
            <w:strike w:val="0"/>
            <w:noProof w:val="0"/>
            <w:color w:val="0077CC"/>
            <w:position w:val="0"/>
            <w:sz w:val="20"/>
            <w:u w:val="single"/>
            <w:vertAlign w:val="baseline"/>
          </w:rPr>
          <w:t>Johnson v. Stewart</w:t>
        </w:r>
      </w:hyperlink>
      <w:hyperlink r:id="rId17" w:history="1">
        <w:r>
          <w:rPr>
            <w:rFonts w:ascii="arial" w:eastAsia="arial" w:hAnsi="arial" w:cs="arial"/>
            <w:b w:val="0"/>
            <w:i/>
            <w:strike w:val="0"/>
            <w:noProof w:val="0"/>
            <w:color w:val="0077CC"/>
            <w:position w:val="0"/>
            <w:sz w:val="20"/>
            <w:u w:val="single"/>
            <w:vertAlign w:val="baseline"/>
          </w:rPr>
          <w:t>, No. 08-1521, 2010 U.S. App. LEXIS 27051, 2010 WL 8738105, at *3 (6th Cir. May 5, 2010)</w:t>
        </w:r>
      </w:hyperlink>
      <w:r>
        <w:rPr>
          <w:rFonts w:ascii="arial" w:eastAsia="arial" w:hAnsi="arial" w:cs="arial"/>
          <w:b w:val="0"/>
          <w:i w:val="0"/>
          <w:strike w:val="0"/>
          <w:noProof w:val="0"/>
          <w:color w:val="000000"/>
          <w:position w:val="0"/>
          <w:sz w:val="20"/>
          <w:u w:val="none"/>
          <w:vertAlign w:val="baseline"/>
        </w:rPr>
        <w:t xml:space="preserve"> (citations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omitted). </w:t>
      </w:r>
      <w:bookmarkStart w:id="29" w:name="Bookmark_I68TYTXY2HM6F70010000400"/>
      <w:bookmarkEnd w:id="29"/>
      <w:r>
        <w:rPr>
          <w:rFonts w:ascii="arial" w:eastAsia="arial" w:hAnsi="arial" w:cs="arial"/>
          <w:b w:val="0"/>
          <w:i w:val="0"/>
          <w:strike w:val="0"/>
          <w:noProof w:val="0"/>
          <w:color w:val="000000"/>
          <w:position w:val="0"/>
          <w:sz w:val="20"/>
          <w:u w:val="none"/>
          <w:vertAlign w:val="baseline"/>
        </w:rPr>
        <w:t xml:space="preserve">When opposing summary judgment, a party cannot rely on allegations or denials in unsworn filings and that a party's "status as a pro se litigant does not alter his duty on a summary judgment motion." </w:t>
      </w:r>
      <w:bookmarkStart w:id="30" w:name="Bookmark_I68TYTXY2SF7VH0010000400"/>
      <w:bookmarkEnd w:id="30"/>
      <w:hyperlink r:id="rId18" w:history="1">
        <w:r>
          <w:rPr>
            <w:rFonts w:ascii="arial" w:eastAsia="arial" w:hAnsi="arial" w:cs="arial"/>
            <w:b w:val="0"/>
            <w:i/>
            <w:strike w:val="0"/>
            <w:noProof w:val="0"/>
            <w:color w:val="0077CC"/>
            <w:position w:val="0"/>
            <w:sz w:val="20"/>
            <w:u w:val="single"/>
            <w:vertAlign w:val="baseline"/>
          </w:rPr>
          <w:t>Viergutz v. Lucent Techs., Inc.</w:t>
        </w:r>
      </w:hyperlink>
      <w:hyperlink r:id="rId18" w:history="1">
        <w:r>
          <w:rPr>
            <w:rFonts w:ascii="arial" w:eastAsia="arial" w:hAnsi="arial" w:cs="arial"/>
            <w:b w:val="0"/>
            <w:i/>
            <w:strike w:val="0"/>
            <w:noProof w:val="0"/>
            <w:color w:val="0077CC"/>
            <w:position w:val="0"/>
            <w:sz w:val="20"/>
            <w:u w:val="single"/>
            <w:vertAlign w:val="baseline"/>
          </w:rPr>
          <w:t>, 375 F. App'x 482, 485 (6th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1" w:name="Bookmark_I68TYTXY2SF7VH0030000400"/>
      <w:bookmarkEnd w:id="31"/>
      <w:hyperlink r:id="rId19" w:history="1">
        <w:r>
          <w:rPr>
            <w:rFonts w:ascii="arial" w:eastAsia="arial" w:hAnsi="arial" w:cs="arial"/>
            <w:b w:val="0"/>
            <w:i/>
            <w:strike w:val="0"/>
            <w:noProof w:val="0"/>
            <w:color w:val="0077CC"/>
            <w:position w:val="0"/>
            <w:sz w:val="20"/>
            <w:u w:val="single"/>
            <w:vertAlign w:val="baseline"/>
          </w:rPr>
          <w:t>United States v. Brown</w:t>
        </w:r>
      </w:hyperlink>
      <w:hyperlink r:id="rId19" w:history="1">
        <w:r>
          <w:rPr>
            <w:rFonts w:ascii="arial" w:eastAsia="arial" w:hAnsi="arial" w:cs="arial"/>
            <w:b w:val="0"/>
            <w:i/>
            <w:strike w:val="0"/>
            <w:noProof w:val="0"/>
            <w:color w:val="0077CC"/>
            <w:position w:val="0"/>
            <w:sz w:val="20"/>
            <w:u w:val="single"/>
            <w:vertAlign w:val="baseline"/>
          </w:rPr>
          <w:t>, 7 F. App'x 353, 354 (6th Cir. 2001)</w:t>
        </w:r>
      </w:hyperlink>
      <w:r>
        <w:rPr>
          <w:rFonts w:ascii="arial" w:eastAsia="arial" w:hAnsi="arial" w:cs="arial"/>
          <w:b w:val="0"/>
          <w:i w:val="0"/>
          <w:strike w:val="0"/>
          <w:noProof w:val="0"/>
          <w:color w:val="000000"/>
          <w:position w:val="0"/>
          <w:sz w:val="20"/>
          <w:u w:val="none"/>
          <w:vertAlign w:val="baseline"/>
        </w:rPr>
        <w:t xml:space="preserve"> (affirming grant of summary judgment against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plaintiff because he "failed to present any evidence to defeat the government's motion"). </w:t>
      </w:r>
      <w:bookmarkStart w:id="32" w:name="Bookmark_I68TYTXY2HM6F70010000400_2"/>
      <w:bookmarkEnd w:id="32"/>
      <w:r>
        <w:rPr>
          <w:rFonts w:ascii="arial" w:eastAsia="arial" w:hAnsi="arial" w:cs="arial"/>
          <w:b w:val="0"/>
          <w:i w:val="0"/>
          <w:strike w:val="0"/>
          <w:noProof w:val="0"/>
          <w:color w:val="000000"/>
          <w:position w:val="0"/>
          <w:sz w:val="20"/>
          <w:u w:val="none"/>
          <w:vertAlign w:val="baseline"/>
        </w:rPr>
        <w:t xml:space="preserve">However, statements in a verified complaint that are based on personal knowledge may function as the equivalent of affidavit statements for purposes of summary judgment. </w:t>
      </w:r>
      <w:bookmarkStart w:id="33" w:name="Bookmark_I68TYTXY2SF7VH0050000400"/>
      <w:bookmarkEnd w:id="33"/>
      <w:hyperlink r:id="rId20" w:history="1">
        <w:r>
          <w:rPr>
            <w:rFonts w:ascii="arial" w:eastAsia="arial" w:hAnsi="arial" w:cs="arial"/>
            <w:b w:val="0"/>
            <w:i/>
            <w:strike w:val="0"/>
            <w:noProof w:val="0"/>
            <w:color w:val="0077CC"/>
            <w:position w:val="0"/>
            <w:sz w:val="20"/>
            <w:u w:val="single"/>
            <w:vertAlign w:val="baseline"/>
          </w:rPr>
          <w:t>Weberg v. Franks</w:t>
        </w:r>
      </w:hyperlink>
      <w:hyperlink r:id="rId20" w:history="1">
        <w:r>
          <w:rPr>
            <w:rFonts w:ascii="arial" w:eastAsia="arial" w:hAnsi="arial" w:cs="arial"/>
            <w:b w:val="0"/>
            <w:i/>
            <w:strike w:val="0"/>
            <w:noProof w:val="0"/>
            <w:color w:val="0077CC"/>
            <w:position w:val="0"/>
            <w:sz w:val="20"/>
            <w:u w:val="single"/>
            <w:vertAlign w:val="baseline"/>
          </w:rPr>
          <w:t>, 229 F.3d 514, 526 n.13 (6th Cir. 2000)</w:t>
        </w:r>
      </w:hyperlink>
      <w:r>
        <w:rPr>
          <w:rFonts w:ascii="arial" w:eastAsia="arial" w:hAnsi="arial" w:cs="arial"/>
          <w:b w:val="0"/>
          <w:i w:val="0"/>
          <w:strike w:val="0"/>
          <w:noProof w:val="0"/>
          <w:color w:val="000000"/>
          <w:position w:val="0"/>
          <w:sz w:val="20"/>
          <w:u w:val="none"/>
          <w:vertAlign w:val="baseline"/>
        </w:rPr>
        <w:t xml:space="preserve">; </w:t>
      </w:r>
      <w:bookmarkStart w:id="34" w:name="Bookmark_I68TYTXY2HM6F70020000400"/>
      <w:bookmarkEnd w:id="34"/>
      <w:hyperlink r:id="rId21" w:history="1">
        <w:r>
          <w:rPr>
            <w:rFonts w:ascii="arial" w:eastAsia="arial" w:hAnsi="arial" w:cs="arial"/>
            <w:b w:val="0"/>
            <w:i/>
            <w:strike w:val="0"/>
            <w:noProof w:val="0"/>
            <w:color w:val="0077CC"/>
            <w:position w:val="0"/>
            <w:sz w:val="20"/>
            <w:u w:val="single"/>
            <w:vertAlign w:val="baseline"/>
          </w:rPr>
          <w:t>Williams v. Browman</w:t>
        </w:r>
      </w:hyperlink>
      <w:hyperlink r:id="rId21" w:history="1">
        <w:r>
          <w:rPr>
            <w:rFonts w:ascii="arial" w:eastAsia="arial" w:hAnsi="arial" w:cs="arial"/>
            <w:b w:val="0"/>
            <w:i/>
            <w:strike w:val="0"/>
            <w:noProof w:val="0"/>
            <w:color w:val="0077CC"/>
            <w:position w:val="0"/>
            <w:sz w:val="20"/>
            <w:u w:val="single"/>
            <w:vertAlign w:val="baseline"/>
          </w:rPr>
          <w:t>, 981 F.2d 901, 905 (6th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Official Capacity Claims for Injunctive Relief</w:t>
      </w:r>
    </w:p>
    <w:p>
      <w:pPr>
        <w:keepNext w:val="0"/>
        <w:spacing w:before="240" w:after="0" w:line="260" w:lineRule="atLeast"/>
        <w:ind w:left="0" w:right="0" w:firstLine="0"/>
        <w:jc w:val="both"/>
      </w:pPr>
      <w:bookmarkStart w:id="35" w:name="Bookmark_para_7"/>
      <w:bookmarkEnd w:id="35"/>
      <w:r>
        <w:rPr>
          <w:rFonts w:ascii="arial" w:eastAsia="arial" w:hAnsi="arial" w:cs="arial"/>
          <w:b w:val="0"/>
          <w:i w:val="0"/>
          <w:strike w:val="0"/>
          <w:noProof w:val="0"/>
          <w:color w:val="000000"/>
          <w:position w:val="0"/>
          <w:sz w:val="20"/>
          <w:u w:val="none"/>
          <w:vertAlign w:val="baseline"/>
        </w:rPr>
        <w:t xml:space="preserve">Johnson initially sued all Defendants in both their official and individual capacities. [DN 1 at 1-2]. The Court initially dismissed Johnson's official-capacity claims for damages, allowing his individual-capacity claims and official-capacity claims for injunctive relief to proceed. </w:t>
      </w:r>
      <w:bookmarkStart w:id="36" w:name="Bookmark_I68TYTXY2HM6F70050000400"/>
      <w:bookmarkEnd w:id="36"/>
      <w:r>
        <w:rPr>
          <w:rFonts w:ascii="arial" w:eastAsia="arial" w:hAnsi="arial" w:cs="arial"/>
          <w:b w:val="0"/>
          <w:i w:val="0"/>
          <w:strike w:val="0"/>
          <w:noProof w:val="0"/>
          <w:color w:val="000000"/>
          <w:position w:val="0"/>
          <w:sz w:val="20"/>
          <w:u w:val="none"/>
          <w:vertAlign w:val="baseline"/>
        </w:rPr>
        <w:t xml:space="preserve">[DN 14]. But Johnson's claims for injunctive relief are now moot because he no longer resides at KSR. An inmate's release from prison or transfer to another facility moots his request for injunctive and declaratory relief. </w:t>
      </w:r>
      <w:r>
        <w:rPr>
          <w:rFonts w:ascii="arial" w:eastAsia="arial" w:hAnsi="arial" w:cs="arial"/>
          <w:b w:val="0"/>
          <w:i/>
          <w:strike w:val="0"/>
          <w:noProof w:val="0"/>
          <w:color w:val="000000"/>
          <w:position w:val="0"/>
          <w:sz w:val="20"/>
          <w:u w:val="none"/>
          <w:vertAlign w:val="baseline"/>
        </w:rPr>
        <w:t xml:space="preserve">See </w:t>
      </w:r>
      <w:bookmarkStart w:id="37" w:name="Bookmark_I68TYTXY2HM6F70040000400"/>
      <w:bookmarkEnd w:id="37"/>
      <w:hyperlink r:id="rId22" w:history="1">
        <w:r>
          <w:rPr>
            <w:rFonts w:ascii="arial" w:eastAsia="arial" w:hAnsi="arial" w:cs="arial"/>
            <w:b w:val="0"/>
            <w:i/>
            <w:strike w:val="0"/>
            <w:noProof w:val="0"/>
            <w:color w:val="0077CC"/>
            <w:position w:val="0"/>
            <w:sz w:val="20"/>
            <w:u w:val="single"/>
            <w:vertAlign w:val="baseline"/>
          </w:rPr>
          <w:t>Wilson v. Yaklich</w:t>
        </w:r>
      </w:hyperlink>
      <w:hyperlink r:id="rId22" w:history="1">
        <w:r>
          <w:rPr>
            <w:rFonts w:ascii="arial" w:eastAsia="arial" w:hAnsi="arial" w:cs="arial"/>
            <w:b w:val="0"/>
            <w:i/>
            <w:strike w:val="0"/>
            <w:noProof w:val="0"/>
            <w:color w:val="0077CC"/>
            <w:position w:val="0"/>
            <w:sz w:val="20"/>
            <w:u w:val="single"/>
            <w:vertAlign w:val="baseline"/>
          </w:rPr>
          <w:t>, 148 F.3d 596, 601 (6th Cir. 1998)</w:t>
        </w:r>
      </w:hyperlink>
      <w:r>
        <w:rPr>
          <w:rFonts w:ascii="arial" w:eastAsia="arial" w:hAnsi="arial" w:cs="arial"/>
          <w:b w:val="0"/>
          <w:i w:val="0"/>
          <w:strike w:val="0"/>
          <w:noProof w:val="0"/>
          <w:color w:val="000000"/>
          <w:position w:val="0"/>
          <w:sz w:val="20"/>
          <w:u w:val="none"/>
          <w:vertAlign w:val="baseline"/>
        </w:rPr>
        <w:t xml:space="preserve"> (holding that a prisoner's </w:t>
      </w:r>
      <w:hyperlink r:id="rId2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for injunctive relief became moot after he was transferred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another facility); </w:t>
      </w:r>
      <w:bookmarkStart w:id="38" w:name="Bookmark_I68TYTY02HM6FC0010000400"/>
      <w:bookmarkEnd w:id="38"/>
      <w:hyperlink r:id="rId24" w:history="1">
        <w:r>
          <w:rPr>
            <w:rFonts w:ascii="arial" w:eastAsia="arial" w:hAnsi="arial" w:cs="arial"/>
            <w:b w:val="0"/>
            <w:i/>
            <w:strike w:val="0"/>
            <w:noProof w:val="0"/>
            <w:color w:val="0077CC"/>
            <w:position w:val="0"/>
            <w:sz w:val="20"/>
            <w:u w:val="single"/>
            <w:vertAlign w:val="baseline"/>
          </w:rPr>
          <w:t>Kensu v. Haigh</w:t>
        </w:r>
      </w:hyperlink>
      <w:hyperlink r:id="rId24" w:history="1">
        <w:r>
          <w:rPr>
            <w:rFonts w:ascii="arial" w:eastAsia="arial" w:hAnsi="arial" w:cs="arial"/>
            <w:b w:val="0"/>
            <w:i/>
            <w:strike w:val="0"/>
            <w:noProof w:val="0"/>
            <w:color w:val="0077CC"/>
            <w:position w:val="0"/>
            <w:sz w:val="20"/>
            <w:u w:val="single"/>
            <w:vertAlign w:val="baseline"/>
          </w:rPr>
          <w:t>, 87 F.3d 172, 175 (6th Cir. 1996)</w:t>
        </w:r>
      </w:hyperlink>
      <w:r>
        <w:rPr>
          <w:rFonts w:ascii="arial" w:eastAsia="arial" w:hAnsi="arial" w:cs="arial"/>
          <w:b w:val="0"/>
          <w:i w:val="0"/>
          <w:strike w:val="0"/>
          <w:noProof w:val="0"/>
          <w:color w:val="000000"/>
          <w:position w:val="0"/>
          <w:sz w:val="20"/>
          <w:u w:val="none"/>
          <w:vertAlign w:val="baseline"/>
        </w:rPr>
        <w:t xml:space="preserve"> (finding in a </w:t>
      </w:r>
      <w:hyperlink r:id="rId2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case that "to the extent Kensu seeks declaratory and injunctive relief his claims are now moot as he is no longer confined to the institution that searched his mail"). Because Johnson is now incarcerated at the Calloway County Jail, his requests for declaratory and injunctive relief against Defendants in their official capacities regarding his incarceration at KSR are dismissed.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B. </w:t>
      </w:r>
      <w:hyperlink r:id="rId11" w:history="1">
        <w:r>
          <w:rPr>
            <w:rFonts w:ascii="arial" w:eastAsia="arial" w:hAnsi="arial" w:cs="arial"/>
            <w:b w:val="0"/>
            <w:i/>
            <w:strike w:val="0"/>
            <w:noProof w:val="0"/>
            <w:color w:val="0077CC"/>
            <w:position w:val="0"/>
            <w:sz w:val="20"/>
            <w:u w:val="single"/>
            <w:vertAlign w:val="baseline"/>
          </w:rPr>
          <w:t>First Amendment</w:t>
        </w:r>
      </w:hyperlink>
    </w:p>
    <w:p>
      <w:pPr>
        <w:keepNext w:val="0"/>
        <w:spacing w:before="240" w:after="0" w:line="260" w:lineRule="atLeast"/>
        <w:ind w:left="0" w:right="0" w:firstLine="0"/>
        <w:jc w:val="both"/>
      </w:pPr>
      <w:bookmarkStart w:id="39" w:name="Bookmark_para_8"/>
      <w:bookmarkEnd w:id="39"/>
      <w:bookmarkStart w:id="40" w:name="Bookmark_I68TYTY02HM6FC0040000400"/>
      <w:bookmarkEnd w:id="40"/>
      <w:bookmarkStart w:id="41" w:name="Bookmark_I68TYTY02HM6FF0010000400"/>
      <w:bookmarkEnd w:id="41"/>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protects a prisoner's right to receive mail, but prison officials may impose restrictions on the receipt of mail that are reasonably related to security and other legitimate penological objectives. </w:t>
      </w:r>
      <w:bookmarkStart w:id="42" w:name="Bookmark_I68TYTY02HM6FC0030000400"/>
      <w:bookmarkEnd w:id="42"/>
      <w:hyperlink r:id="rId25" w:history="1">
        <w:r>
          <w:rPr>
            <w:rFonts w:ascii="arial" w:eastAsia="arial" w:hAnsi="arial" w:cs="arial"/>
            <w:b w:val="0"/>
            <w:i/>
            <w:strike w:val="0"/>
            <w:noProof w:val="0"/>
            <w:color w:val="0077CC"/>
            <w:position w:val="0"/>
            <w:sz w:val="20"/>
            <w:u w:val="single"/>
            <w:vertAlign w:val="baseline"/>
          </w:rPr>
          <w:t>Sallier v. Brooks</w:t>
        </w:r>
      </w:hyperlink>
      <w:hyperlink r:id="rId25" w:history="1">
        <w:r>
          <w:rPr>
            <w:rFonts w:ascii="arial" w:eastAsia="arial" w:hAnsi="arial" w:cs="arial"/>
            <w:b w:val="0"/>
            <w:i/>
            <w:strike w:val="0"/>
            <w:noProof w:val="0"/>
            <w:color w:val="0077CC"/>
            <w:position w:val="0"/>
            <w:sz w:val="20"/>
            <w:u w:val="single"/>
            <w:vertAlign w:val="baseline"/>
          </w:rPr>
          <w:t>, 343 F.3d 868, 873 (6th Cir. 2003)</w:t>
        </w:r>
      </w:hyperlink>
      <w:r>
        <w:rPr>
          <w:rFonts w:ascii="arial" w:eastAsia="arial" w:hAnsi="arial" w:cs="arial"/>
          <w:b w:val="0"/>
          <w:i w:val="0"/>
          <w:strike w:val="0"/>
          <w:noProof w:val="0"/>
          <w:color w:val="000000"/>
          <w:position w:val="0"/>
          <w:sz w:val="20"/>
          <w:u w:val="none"/>
          <w:vertAlign w:val="baseline"/>
        </w:rPr>
        <w:t xml:space="preserve">. </w:t>
      </w:r>
      <w:bookmarkStart w:id="43" w:name="Bookmark_I68TYTY02HM6FF0030000400"/>
      <w:bookmarkEnd w:id="43"/>
      <w:r>
        <w:rPr>
          <w:rFonts w:ascii="arial" w:eastAsia="arial" w:hAnsi="arial" w:cs="arial"/>
          <w:b w:val="0"/>
          <w:i w:val="0"/>
          <w:strike w:val="0"/>
          <w:noProof w:val="0"/>
          <w:color w:val="000000"/>
          <w:position w:val="0"/>
          <w:sz w:val="20"/>
          <w:u w:val="none"/>
          <w:vertAlign w:val="baseline"/>
        </w:rPr>
        <w:t xml:space="preserve">This includes opening a prisoner's mail "pursuant to a uniform and evenly applied policy with an eye to maintaining prison security."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4" w:name="Bookmark_I68TYTY02HM6FC0050000400"/>
      <w:bookmarkEnd w:id="44"/>
      <w:hyperlink r:id="rId26" w:history="1">
        <w:r>
          <w:rPr>
            <w:rFonts w:ascii="arial" w:eastAsia="arial" w:hAnsi="arial" w:cs="arial"/>
            <w:b w:val="0"/>
            <w:i/>
            <w:strike w:val="0"/>
            <w:noProof w:val="0"/>
            <w:color w:val="0077CC"/>
            <w:position w:val="0"/>
            <w:sz w:val="20"/>
            <w:u w:val="single"/>
            <w:vertAlign w:val="baseline"/>
          </w:rPr>
          <w:t>Lavado v. Keohane</w:t>
        </w:r>
      </w:hyperlink>
      <w:hyperlink r:id="rId26" w:history="1">
        <w:r>
          <w:rPr>
            <w:rFonts w:ascii="arial" w:eastAsia="arial" w:hAnsi="arial" w:cs="arial"/>
            <w:b w:val="0"/>
            <w:i/>
            <w:strike w:val="0"/>
            <w:noProof w:val="0"/>
            <w:color w:val="0077CC"/>
            <w:position w:val="0"/>
            <w:sz w:val="20"/>
            <w:u w:val="single"/>
            <w:vertAlign w:val="baseline"/>
          </w:rPr>
          <w:t>, 992 F.2d 601, 607 (6th Cir. 1993)</w:t>
        </w:r>
      </w:hyperlink>
      <w:r>
        <w:rPr>
          <w:rFonts w:ascii="arial" w:eastAsia="arial" w:hAnsi="arial" w:cs="arial"/>
          <w:b w:val="0"/>
          <w:i w:val="0"/>
          <w:strike w:val="0"/>
          <w:noProof w:val="0"/>
          <w:color w:val="000000"/>
          <w:position w:val="0"/>
          <w:sz w:val="20"/>
          <w:u w:val="none"/>
          <w:vertAlign w:val="baseline"/>
        </w:rPr>
        <w:t xml:space="preserve">). </w:t>
      </w:r>
      <w:bookmarkStart w:id="45" w:name="Bookmark_I68TYTY02HM6FF0030000400_2"/>
      <w:bookmarkEnd w:id="45"/>
      <w:r>
        <w:rPr>
          <w:rFonts w:ascii="arial" w:eastAsia="arial" w:hAnsi="arial" w:cs="arial"/>
          <w:b w:val="0"/>
          <w:i w:val="0"/>
          <w:strike w:val="0"/>
          <w:noProof w:val="0"/>
          <w:color w:val="000000"/>
          <w:position w:val="0"/>
          <w:sz w:val="20"/>
          <w:u w:val="none"/>
          <w:vertAlign w:val="baseline"/>
        </w:rPr>
        <w:t xml:space="preserve">But when the mail is legal mail, the Court has a heightened concern with allowing prison officials uninhibited access, because a prison's security interests do not automatically supersede a prisoner's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receive correspondence that relates to the prisoner's legal rights, attorney-client privilege, or access to the courts. </w:t>
      </w:r>
      <w:bookmarkStart w:id="46" w:name="Bookmark_I68TYTY02HM6FF0020000400"/>
      <w:bookmarkEnd w:id="46"/>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874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9"/>
      <w:bookmarkEnd w:id="47"/>
      <w:bookmarkStart w:id="48" w:name="Bookmark_I68TYTY02HM6FF0050000400"/>
      <w:bookmarkEnd w:id="48"/>
      <w:r>
        <w:rPr>
          <w:rFonts w:ascii="arial" w:eastAsia="arial" w:hAnsi="arial" w:cs="arial"/>
          <w:b w:val="0"/>
          <w:i w:val="0"/>
          <w:strike w:val="0"/>
          <w:noProof w:val="0"/>
          <w:color w:val="000000"/>
          <w:position w:val="0"/>
          <w:sz w:val="20"/>
          <w:u w:val="none"/>
          <w:vertAlign w:val="baseline"/>
        </w:rPr>
        <w:t xml:space="preserve">To balance the inmate's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rights and the prison's security interests, courts have approved prison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policies that permit prison officials to open legal mail and inspect it for contraband in the prisoner's presence. </w:t>
      </w:r>
      <w:bookmarkStart w:id="49" w:name="Bookmark_I68TYTY02SF7VW0040000400"/>
      <w:bookmarkEnd w:id="4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0" w:name="Bookmark_I68TYTY02HM6FF0040000400"/>
      <w:bookmarkEnd w:id="50"/>
      <w:hyperlink r:id="rId27" w:history="1">
        <w:r>
          <w:rPr>
            <w:rFonts w:ascii="arial" w:eastAsia="arial" w:hAnsi="arial" w:cs="arial"/>
            <w:b w:val="0"/>
            <w:i/>
            <w:strike w:val="0"/>
            <w:noProof w:val="0"/>
            <w:color w:val="0077CC"/>
            <w:position w:val="0"/>
            <w:sz w:val="20"/>
            <w:u w:val="single"/>
            <w:vertAlign w:val="baseline"/>
          </w:rPr>
          <w:t>Wolff v. McDonnell</w:t>
        </w:r>
      </w:hyperlink>
      <w:hyperlink r:id="rId27" w:history="1">
        <w:r>
          <w:rPr>
            <w:rFonts w:ascii="arial" w:eastAsia="arial" w:hAnsi="arial" w:cs="arial"/>
            <w:b w:val="0"/>
            <w:i/>
            <w:strike w:val="0"/>
            <w:noProof w:val="0"/>
            <w:color w:val="0077CC"/>
            <w:position w:val="0"/>
            <w:sz w:val="20"/>
            <w:u w:val="single"/>
            <w:vertAlign w:val="baseline"/>
          </w:rPr>
          <w:t>, 418 U.S. 539, 94 S. Ct. 2963, 41 L. Ed. 2d 935 (1974)</w:t>
        </w:r>
      </w:hyperlink>
      <w:r>
        <w:rPr>
          <w:rFonts w:ascii="arial" w:eastAsia="arial" w:hAnsi="arial" w:cs="arial"/>
          <w:b w:val="0"/>
          <w:i w:val="0"/>
          <w:strike w:val="0"/>
          <w:noProof w:val="0"/>
          <w:color w:val="000000"/>
          <w:position w:val="0"/>
          <w:sz w:val="20"/>
          <w:u w:val="none"/>
          <w:vertAlign w:val="baseline"/>
        </w:rPr>
        <w:t xml:space="preserve">; </w:t>
      </w:r>
      <w:bookmarkStart w:id="51" w:name="Bookmark_I68TYTY02SF7VW0010000400"/>
      <w:bookmarkEnd w:id="51"/>
      <w:hyperlink r:id="rId28" w:history="1">
        <w:r>
          <w:rPr>
            <w:rFonts w:ascii="arial" w:eastAsia="arial" w:hAnsi="arial" w:cs="arial"/>
            <w:b w:val="0"/>
            <w:i/>
            <w:strike w:val="0"/>
            <w:noProof w:val="0"/>
            <w:color w:val="0077CC"/>
            <w:position w:val="0"/>
            <w:sz w:val="20"/>
            <w:u w:val="single"/>
            <w:vertAlign w:val="baseline"/>
          </w:rPr>
          <w:t>Knop v. Johnson</w:t>
        </w:r>
      </w:hyperlink>
      <w:hyperlink r:id="rId28" w:history="1">
        <w:r>
          <w:rPr>
            <w:rFonts w:ascii="arial" w:eastAsia="arial" w:hAnsi="arial" w:cs="arial"/>
            <w:b w:val="0"/>
            <w:i/>
            <w:strike w:val="0"/>
            <w:noProof w:val="0"/>
            <w:color w:val="0077CC"/>
            <w:position w:val="0"/>
            <w:sz w:val="20"/>
            <w:u w:val="single"/>
            <w:vertAlign w:val="baseline"/>
          </w:rPr>
          <w:t>, 977 F.2d 996, 1012 (6th Cir. 1992)</w:t>
        </w:r>
      </w:hyperlink>
      <w:r>
        <w:rPr>
          <w:rFonts w:ascii="arial" w:eastAsia="arial" w:hAnsi="arial" w:cs="arial"/>
          <w:b w:val="0"/>
          <w:i w:val="0"/>
          <w:strike w:val="0"/>
          <w:noProof w:val="0"/>
          <w:color w:val="000000"/>
          <w:position w:val="0"/>
          <w:sz w:val="20"/>
          <w:u w:val="none"/>
          <w:vertAlign w:val="baseline"/>
        </w:rPr>
        <w:t xml:space="preserve">. Even constitutionally protected mail can be opened—but not read—by prison officials to inspect it for contraband. </w:t>
      </w:r>
      <w:bookmarkStart w:id="52" w:name="Bookmark_I68TYTY02SF7VW0040000400_2"/>
      <w:bookmarkEnd w:id="52"/>
      <w:bookmarkStart w:id="53" w:name="Bookmark_I68TYTY02HM6FK0030000400"/>
      <w:bookmarkEnd w:id="53"/>
      <w:bookmarkStart w:id="54" w:name="Bookmark_I68TYTY02SF7VW0030000400"/>
      <w:bookmarkEnd w:id="54"/>
      <w:hyperlink r:id="rId26" w:history="1">
        <w:r>
          <w:rPr>
            <w:rFonts w:ascii="arial" w:eastAsia="arial" w:hAnsi="arial" w:cs="arial"/>
            <w:b w:val="0"/>
            <w:i/>
            <w:strike w:val="0"/>
            <w:noProof w:val="0"/>
            <w:color w:val="0077CC"/>
            <w:position w:val="0"/>
            <w:sz w:val="20"/>
            <w:u w:val="single"/>
            <w:vertAlign w:val="baseline"/>
          </w:rPr>
          <w:t>Lavado</w:t>
        </w:r>
      </w:hyperlink>
      <w:hyperlink r:id="rId26" w:history="1">
        <w:r>
          <w:rPr>
            <w:rFonts w:ascii="arial" w:eastAsia="arial" w:hAnsi="arial" w:cs="arial"/>
            <w:b w:val="0"/>
            <w:i/>
            <w:strike w:val="0"/>
            <w:noProof w:val="0"/>
            <w:color w:val="0077CC"/>
            <w:position w:val="0"/>
            <w:sz w:val="20"/>
            <w:u w:val="single"/>
            <w:vertAlign w:val="baseline"/>
          </w:rPr>
          <w:t>, 992 F.2d at 608</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68TYTY02SF7VW0050000400"/>
      <w:bookmarkEnd w:id="55"/>
      <w:hyperlink r:id="rId27" w:history="1">
        <w:r>
          <w:rPr>
            <w:rFonts w:ascii="arial" w:eastAsia="arial" w:hAnsi="arial" w:cs="arial"/>
            <w:b w:val="0"/>
            <w:i/>
            <w:strike w:val="0"/>
            <w:noProof w:val="0"/>
            <w:color w:val="0077CC"/>
            <w:position w:val="0"/>
            <w:sz w:val="20"/>
            <w:u w:val="single"/>
            <w:vertAlign w:val="baseline"/>
          </w:rPr>
          <w:t>Wolff</w:t>
        </w:r>
      </w:hyperlink>
      <w:hyperlink r:id="rId27" w:history="1">
        <w:r>
          <w:rPr>
            <w:rFonts w:ascii="arial" w:eastAsia="arial" w:hAnsi="arial" w:cs="arial"/>
            <w:b w:val="0"/>
            <w:i/>
            <w:strike w:val="0"/>
            <w:noProof w:val="0"/>
            <w:color w:val="0077CC"/>
            <w:position w:val="0"/>
            <w:sz w:val="20"/>
            <w:u w:val="single"/>
            <w:vertAlign w:val="baseline"/>
          </w:rPr>
          <w:t>, 418 U.S. at 577</w:t>
        </w:r>
      </w:hyperlink>
      <w:r>
        <w:rPr>
          <w:rFonts w:ascii="arial" w:eastAsia="arial" w:hAnsi="arial" w:cs="arial"/>
          <w:b w:val="0"/>
          <w:i w:val="0"/>
          <w:strike w:val="0"/>
          <w:noProof w:val="0"/>
          <w:color w:val="000000"/>
          <w:position w:val="0"/>
          <w:sz w:val="20"/>
          <w:u w:val="none"/>
          <w:vertAlign w:val="baseline"/>
        </w:rPr>
        <w:t xml:space="preserve">). </w:t>
      </w:r>
      <w:bookmarkStart w:id="56" w:name="Bookmark_I68TYTY02HM6FK0030000400_2"/>
      <w:bookmarkEnd w:id="56"/>
      <w:bookmarkStart w:id="57" w:name="Bookmark_I68TYTY02HM6FK0050000400"/>
      <w:bookmarkEnd w:id="57"/>
      <w:r>
        <w:rPr>
          <w:rFonts w:ascii="arial" w:eastAsia="arial" w:hAnsi="arial" w:cs="arial"/>
          <w:b w:val="0"/>
          <w:i w:val="0"/>
          <w:strike w:val="0"/>
          <w:noProof w:val="0"/>
          <w:color w:val="000000"/>
          <w:position w:val="0"/>
          <w:sz w:val="20"/>
          <w:u w:val="none"/>
          <w:vertAlign w:val="baseline"/>
        </w:rPr>
        <w:t xml:space="preserve">Such activity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occur in the recipient inmate's presence.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58" w:name="Bookmark_I68TYTY02HM6FK0020000400"/>
      <w:bookmarkEnd w:id="58"/>
      <w:hyperlink r:id="rId29" w:history="1">
        <w:r>
          <w:rPr>
            <w:rFonts w:ascii="arial" w:eastAsia="arial" w:hAnsi="arial" w:cs="arial"/>
            <w:b w:val="0"/>
            <w:i/>
            <w:strike w:val="0"/>
            <w:noProof w:val="0"/>
            <w:color w:val="0077CC"/>
            <w:position w:val="0"/>
            <w:sz w:val="20"/>
            <w:u w:val="single"/>
            <w:vertAlign w:val="baseline"/>
          </w:rPr>
          <w:t>Jones v. Brown</w:t>
        </w:r>
      </w:hyperlink>
      <w:hyperlink r:id="rId29" w:history="1">
        <w:r>
          <w:rPr>
            <w:rFonts w:ascii="arial" w:eastAsia="arial" w:hAnsi="arial" w:cs="arial"/>
            <w:b w:val="0"/>
            <w:i/>
            <w:strike w:val="0"/>
            <w:noProof w:val="0"/>
            <w:color w:val="0077CC"/>
            <w:position w:val="0"/>
            <w:sz w:val="20"/>
            <w:u w:val="single"/>
            <w:vertAlign w:val="baseline"/>
          </w:rPr>
          <w:t>, 461 F.3d 353, 359 (3d Cir. 2006)</w:t>
        </w:r>
      </w:hyperlink>
      <w:r>
        <w:rPr>
          <w:rFonts w:ascii="arial" w:eastAsia="arial" w:hAnsi="arial" w:cs="arial"/>
          <w:b w:val="0"/>
          <w:i w:val="0"/>
          <w:strike w:val="0"/>
          <w:noProof w:val="0"/>
          <w:color w:val="000000"/>
          <w:position w:val="0"/>
          <w:sz w:val="20"/>
          <w:u w:val="none"/>
          <w:vertAlign w:val="baseline"/>
        </w:rPr>
        <w:t xml:space="preserve"> (citations omitted) ("[T]he only way to ensure that mail is not read when opened . . . is to require that it be done in the presence of the inmate to whom it is addressed."). </w:t>
      </w:r>
      <w:bookmarkStart w:id="59" w:name="Bookmark_I68TYTY02HM6FK0050000400_2"/>
      <w:bookmarkEnd w:id="59"/>
      <w:bookmarkStart w:id="60" w:name="Bookmark_I68TYTY12SF7W00020000400"/>
      <w:bookmarkEnd w:id="60"/>
      <w:r>
        <w:rPr>
          <w:rFonts w:ascii="arial" w:eastAsia="arial" w:hAnsi="arial" w:cs="arial"/>
          <w:b w:val="0"/>
          <w:i w:val="0"/>
          <w:strike w:val="0"/>
          <w:noProof w:val="0"/>
          <w:color w:val="000000"/>
          <w:position w:val="0"/>
          <w:sz w:val="20"/>
          <w:u w:val="none"/>
          <w:vertAlign w:val="baseline"/>
        </w:rPr>
        <w:t xml:space="preserve">As long as legal mail is opened in front of its recipient inmate and not read by prison staff, the rest of a prison's mail policy "is valid if it is reasonably related to legitimate penological interests." </w:t>
      </w:r>
      <w:bookmarkStart w:id="61" w:name="Bookmark_I68TYTY02HM6FK0040000400"/>
      <w:bookmarkEnd w:id="61"/>
      <w:hyperlink r:id="rId30" w:history="1">
        <w:r>
          <w:rPr>
            <w:rFonts w:ascii="arial" w:eastAsia="arial" w:hAnsi="arial" w:cs="arial"/>
            <w:b w:val="0"/>
            <w:i/>
            <w:strike w:val="0"/>
            <w:noProof w:val="0"/>
            <w:color w:val="0077CC"/>
            <w:position w:val="0"/>
            <w:sz w:val="20"/>
            <w:u w:val="single"/>
            <w:vertAlign w:val="baseline"/>
          </w:rPr>
          <w:t>Turner v. Safley</w:t>
        </w:r>
      </w:hyperlink>
      <w:hyperlink r:id="rId30"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62" w:name="Bookmark_I68TYTY12SF7W00020000400_2"/>
      <w:bookmarkEnd w:id="62"/>
      <w:r>
        <w:rPr>
          <w:rFonts w:ascii="arial" w:eastAsia="arial" w:hAnsi="arial" w:cs="arial"/>
          <w:b w:val="0"/>
          <w:i w:val="0"/>
          <w:strike w:val="0"/>
          <w:noProof w:val="0"/>
          <w:color w:val="000000"/>
          <w:position w:val="0"/>
          <w:sz w:val="20"/>
          <w:u w:val="none"/>
          <w:vertAlign w:val="baseline"/>
        </w:rPr>
        <w:t xml:space="preserve">Applying these standards, this Court has routinely upheld prison policies that only give inmates copies of their legal mail after opening the originals in their presence, even when the prison destroys the original mail after its copies are completed. </w:t>
      </w:r>
      <w:bookmarkStart w:id="63" w:name="Bookmark_I68TYTY128T4140010000400"/>
      <w:bookmarkEnd w:id="63"/>
      <w:r>
        <w:rPr>
          <w:rFonts w:ascii="arial" w:eastAsia="arial" w:hAnsi="arial" w:cs="arial"/>
          <w:b w:val="0"/>
          <w:i/>
          <w:strike w:val="0"/>
          <w:noProof w:val="0"/>
          <w:color w:val="000000"/>
          <w:position w:val="0"/>
          <w:sz w:val="20"/>
          <w:u w:val="none"/>
          <w:vertAlign w:val="baseline"/>
        </w:rPr>
        <w:t xml:space="preserve">See, e.g., </w:t>
      </w:r>
      <w:bookmarkStart w:id="64" w:name="Bookmark_I68TYTY12SF7W00010000400"/>
      <w:bookmarkEnd w:id="64"/>
      <w:hyperlink r:id="rId31" w:history="1">
        <w:r>
          <w:rPr>
            <w:rFonts w:ascii="arial" w:eastAsia="arial" w:hAnsi="arial" w:cs="arial"/>
            <w:b w:val="0"/>
            <w:i/>
            <w:strike w:val="0"/>
            <w:noProof w:val="0"/>
            <w:color w:val="0077CC"/>
            <w:position w:val="0"/>
            <w:sz w:val="20"/>
            <w:u w:val="single"/>
            <w:vertAlign w:val="baseline"/>
          </w:rPr>
          <w:t>Bray v. Mazza</w:t>
        </w:r>
      </w:hyperlink>
      <w:hyperlink r:id="rId31" w:history="1">
        <w:r>
          <w:rPr>
            <w:rFonts w:ascii="arial" w:eastAsia="arial" w:hAnsi="arial" w:cs="arial"/>
            <w:b w:val="0"/>
            <w:i/>
            <w:strike w:val="0"/>
            <w:noProof w:val="0"/>
            <w:color w:val="0077CC"/>
            <w:position w:val="0"/>
            <w:sz w:val="20"/>
            <w:u w:val="single"/>
            <w:vertAlign w:val="baseline"/>
          </w:rPr>
          <w:t>, No. 4:21-CV-00119-JHM, 2022 U.S. Dist. LEXIS 229551, 2022 WL 17836601, at *3-5 (W.D. Ky. Dec. 21, 2022)</w:t>
        </w:r>
      </w:hyperlink>
      <w:r>
        <w:rPr>
          <w:rFonts w:ascii="arial" w:eastAsia="arial" w:hAnsi="arial" w:cs="arial"/>
          <w:b w:val="0"/>
          <w:i w:val="0"/>
          <w:strike w:val="0"/>
          <w:noProof w:val="0"/>
          <w:color w:val="000000"/>
          <w:position w:val="0"/>
          <w:sz w:val="20"/>
          <w:u w:val="none"/>
          <w:vertAlign w:val="baseline"/>
        </w:rPr>
        <w:t xml:space="preserve">; </w:t>
      </w:r>
      <w:bookmarkStart w:id="65" w:name="Bookmark_I68TYTY12SF7W00030000400"/>
      <w:bookmarkEnd w:id="65"/>
      <w:hyperlink r:id="rId32" w:history="1">
        <w:r>
          <w:rPr>
            <w:rFonts w:ascii="arial" w:eastAsia="arial" w:hAnsi="arial" w:cs="arial"/>
            <w:b w:val="0"/>
            <w:i/>
            <w:strike w:val="0"/>
            <w:noProof w:val="0"/>
            <w:color w:val="0077CC"/>
            <w:position w:val="0"/>
            <w:sz w:val="20"/>
            <w:u w:val="single"/>
            <w:vertAlign w:val="baseline"/>
          </w:rPr>
          <w:t>House v. Henderson Cty. Det. Ctr.</w:t>
        </w:r>
      </w:hyperlink>
      <w:hyperlink r:id="rId32" w:history="1">
        <w:r>
          <w:rPr>
            <w:rFonts w:ascii="arial" w:eastAsia="arial" w:hAnsi="arial" w:cs="arial"/>
            <w:b w:val="0"/>
            <w:i/>
            <w:strike w:val="0"/>
            <w:noProof w:val="0"/>
            <w:color w:val="0077CC"/>
            <w:position w:val="0"/>
            <w:sz w:val="20"/>
            <w:u w:val="single"/>
            <w:vertAlign w:val="baseline"/>
          </w:rPr>
          <w:t>, No. 4:21-CV-00038-JHM, 2022 U.S. Dist. LEXIS 166700, 2022 WL 4279724, at *3-4 (W.D. Ky. Sep. 15, 2022)</w:t>
        </w:r>
      </w:hyperlink>
      <w:r>
        <w:rPr>
          <w:rFonts w:ascii="arial" w:eastAsia="arial" w:hAnsi="arial" w:cs="arial"/>
          <w:b w:val="0"/>
          <w:i w:val="0"/>
          <w:strike w:val="0"/>
          <w:noProof w:val="0"/>
          <w:color w:val="000000"/>
          <w:position w:val="0"/>
          <w:sz w:val="20"/>
          <w:u w:val="none"/>
          <w:vertAlign w:val="baseline"/>
        </w:rPr>
        <w:t xml:space="preserve"> (upholding mail policy where prison opened legal mail in inmates' presence and then scanned it onto an electronic tablet system, and inmates could only view the electronic copies of their mail). </w:t>
      </w:r>
      <w:bookmarkStart w:id="66" w:name="Bookmark_I68TYTY128T4140010000400_2"/>
      <w:bookmarkEnd w:id="6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the Court upheld 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prison mail policy almost identical to KSR's. It held that a prison's policy of opening an inmate's legal mail in front of him, photocopying it, giving photocopies to the inmate, and discarding the original legal mail was reasonably "related to a legitimate penological interest." </w:t>
      </w:r>
      <w:bookmarkStart w:id="67" w:name="Bookmark_I68TYTY12SF7W00050000400"/>
      <w:bookmarkEnd w:id="67"/>
      <w:hyperlink r:id="rId31" w:history="1">
        <w:r>
          <w:rPr>
            <w:rFonts w:ascii="arial" w:eastAsia="arial" w:hAnsi="arial" w:cs="arial"/>
            <w:b w:val="0"/>
            <w:i/>
            <w:strike w:val="0"/>
            <w:noProof w:val="0"/>
            <w:color w:val="0077CC"/>
            <w:position w:val="0"/>
            <w:sz w:val="20"/>
            <w:u w:val="single"/>
            <w:vertAlign w:val="baseline"/>
          </w:rPr>
          <w:t>Bray</w:t>
        </w:r>
      </w:hyperlink>
      <w:hyperlink r:id="rId31" w:history="1">
        <w:r>
          <w:rPr>
            <w:rFonts w:ascii="arial" w:eastAsia="arial" w:hAnsi="arial" w:cs="arial"/>
            <w:b w:val="0"/>
            <w:i/>
            <w:strike w:val="0"/>
            <w:noProof w:val="0"/>
            <w:color w:val="0077CC"/>
            <w:position w:val="0"/>
            <w:sz w:val="20"/>
            <w:u w:val="single"/>
            <w:vertAlign w:val="baseline"/>
          </w:rPr>
          <w:t>, 2022 U.S. Dist. LEXIS 229551, 2022 WL 17836601, at *4</w:t>
        </w:r>
      </w:hyperlink>
      <w:r>
        <w:rPr>
          <w:rFonts w:ascii="arial" w:eastAsia="arial" w:hAnsi="arial" w:cs="arial"/>
          <w:b w:val="0"/>
          <w:i w:val="0"/>
          <w:strike w:val="0"/>
          <w:noProof w:val="0"/>
          <w:color w:val="000000"/>
          <w:position w:val="0"/>
          <w:sz w:val="20"/>
          <w:u w:val="none"/>
          <w:vertAlign w:val="baseline"/>
        </w:rPr>
        <w:t xml:space="preserve"> (applying </w:t>
      </w:r>
      <w:bookmarkStart w:id="68" w:name="Bookmark_I68TYTY128T4140020000400"/>
      <w:bookmarkEnd w:id="68"/>
      <w:hyperlink r:id="rId30" w:history="1">
        <w:r>
          <w:rPr>
            <w:rFonts w:ascii="arial" w:eastAsia="arial" w:hAnsi="arial" w:cs="arial"/>
            <w:b w:val="0"/>
            <w:i/>
            <w:strike w:val="0"/>
            <w:noProof w:val="0"/>
            <w:color w:val="0077CC"/>
            <w:position w:val="0"/>
            <w:sz w:val="20"/>
            <w:u w:val="single"/>
            <w:vertAlign w:val="baseline"/>
          </w:rPr>
          <w:t>Turner</w:t>
        </w:r>
      </w:hyperlink>
      <w:hyperlink r:id="rId30"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10"/>
      <w:bookmarkEnd w:id="69"/>
      <w:bookmarkStart w:id="70" w:name="Bookmark_I68TYTY128T4140050000400"/>
      <w:bookmarkEnd w:id="70"/>
      <w:r>
        <w:rPr>
          <w:rFonts w:ascii="arial" w:eastAsia="arial" w:hAnsi="arial" w:cs="arial"/>
          <w:b w:val="0"/>
          <w:i w:val="0"/>
          <w:strike w:val="0"/>
          <w:noProof w:val="0"/>
          <w:color w:val="000000"/>
          <w:position w:val="0"/>
          <w:sz w:val="20"/>
          <w:u w:val="none"/>
          <w:vertAlign w:val="baseline"/>
        </w:rPr>
        <w:t xml:space="preserve">KSR's policy of opening legal mail in the inmate's presence, giving him photocopies of the mail, and destroying the original mail does not violate the forgoing law. The photocopies allowed Johnson to read every word of his mail, and not allowing inmates to handle the original mail is reasonably related to KSR's legitimate penological interest in preventing contraband from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 xml:space="preserve">See </w:t>
      </w:r>
      <w:bookmarkStart w:id="71" w:name="Bookmark_I68TYTY128T4140040000400"/>
      <w:bookmarkEnd w:id="71"/>
      <w:hyperlink r:id="rId30" w:history="1">
        <w:r>
          <w:rPr>
            <w:rFonts w:ascii="arial" w:eastAsia="arial" w:hAnsi="arial" w:cs="arial"/>
            <w:b w:val="0"/>
            <w:i/>
            <w:strike w:val="0"/>
            <w:noProof w:val="0"/>
            <w:color w:val="0077CC"/>
            <w:position w:val="0"/>
            <w:sz w:val="20"/>
            <w:u w:val="single"/>
            <w:vertAlign w:val="baseline"/>
          </w:rPr>
          <w:t>Turner</w:t>
        </w:r>
      </w:hyperlink>
      <w:hyperlink r:id="rId30" w:history="1">
        <w:r>
          <w:rPr>
            <w:rFonts w:ascii="arial" w:eastAsia="arial" w:hAnsi="arial" w:cs="arial"/>
            <w:b w:val="0"/>
            <w:i/>
            <w:strike w:val="0"/>
            <w:noProof w:val="0"/>
            <w:color w:val="0077CC"/>
            <w:position w:val="0"/>
            <w:sz w:val="20"/>
            <w:u w:val="single"/>
            <w:vertAlign w:val="baseline"/>
          </w:rPr>
          <w:t>, 482 U.S. at 89</w:t>
        </w:r>
      </w:hyperlink>
      <w:r>
        <w:rPr>
          <w:rFonts w:ascii="arial" w:eastAsia="arial" w:hAnsi="arial" w:cs="arial"/>
          <w:b w:val="0"/>
          <w:i w:val="0"/>
          <w:strike w:val="0"/>
          <w:noProof w:val="0"/>
          <w:color w:val="000000"/>
          <w:position w:val="0"/>
          <w:sz w:val="20"/>
          <w:u w:val="none"/>
          <w:vertAlign w:val="baseline"/>
        </w:rPr>
        <w:t xml:space="preserve">; </w:t>
      </w:r>
      <w:bookmarkStart w:id="72" w:name="Bookmark_I68TYTY12HM6FR0010000400"/>
      <w:bookmarkEnd w:id="72"/>
      <w:hyperlink r:id="rId31" w:history="1">
        <w:r>
          <w:rPr>
            <w:rFonts w:ascii="arial" w:eastAsia="arial" w:hAnsi="arial" w:cs="arial"/>
            <w:b w:val="0"/>
            <w:i/>
            <w:strike w:val="0"/>
            <w:noProof w:val="0"/>
            <w:color w:val="0077CC"/>
            <w:position w:val="0"/>
            <w:sz w:val="20"/>
            <w:u w:val="single"/>
            <w:vertAlign w:val="baseline"/>
          </w:rPr>
          <w:t>Bray</w:t>
        </w:r>
      </w:hyperlink>
      <w:hyperlink r:id="rId31" w:history="1">
        <w:r>
          <w:rPr>
            <w:rFonts w:ascii="arial" w:eastAsia="arial" w:hAnsi="arial" w:cs="arial"/>
            <w:b w:val="0"/>
            <w:i/>
            <w:strike w:val="0"/>
            <w:noProof w:val="0"/>
            <w:color w:val="0077CC"/>
            <w:position w:val="0"/>
            <w:sz w:val="20"/>
            <w:u w:val="single"/>
            <w:vertAlign w:val="baseline"/>
          </w:rPr>
          <w:t>, 2022 U.S. Dist. LEXIS 229551, 2022 WL 17836601, at *4</w:t>
        </w:r>
      </w:hyperlink>
      <w:r>
        <w:rPr>
          <w:rFonts w:ascii="arial" w:eastAsia="arial" w:hAnsi="arial" w:cs="arial"/>
          <w:b w:val="0"/>
          <w:i w:val="0"/>
          <w:strike w:val="0"/>
          <w:noProof w:val="0"/>
          <w:color w:val="000000"/>
          <w:position w:val="0"/>
          <w:sz w:val="20"/>
          <w:u w:val="none"/>
          <w:vertAlign w:val="baseline"/>
        </w:rPr>
        <w:t xml:space="preserve">. This Court upheld another prison's nearly identical mail policy in </w:t>
      </w:r>
      <w:r>
        <w:rPr>
          <w:rFonts w:ascii="arial" w:eastAsia="arial" w:hAnsi="arial" w:cs="arial"/>
          <w:b w:val="0"/>
          <w:i/>
          <w:strike w:val="0"/>
          <w:noProof w:val="0"/>
          <w:color w:val="000000"/>
          <w:position w:val="0"/>
          <w:sz w:val="20"/>
          <w:u w:val="none"/>
          <w:vertAlign w:val="baseline"/>
        </w:rPr>
        <w:t>Bray</w:t>
      </w:r>
      <w:r>
        <w:rPr>
          <w:rFonts w:ascii="arial" w:eastAsia="arial" w:hAnsi="arial" w:cs="arial"/>
          <w:b w:val="0"/>
          <w:i w:val="0"/>
          <w:strike w:val="0"/>
          <w:noProof w:val="0"/>
          <w:color w:val="000000"/>
          <w:position w:val="0"/>
          <w:sz w:val="20"/>
          <w:u w:val="none"/>
          <w:vertAlign w:val="baseline"/>
        </w:rPr>
        <w:t>, and it sees no reason to retreat from that decision now.</w:t>
      </w:r>
    </w:p>
    <w:p>
      <w:pPr>
        <w:keepNext w:val="0"/>
        <w:spacing w:before="240" w:after="0" w:line="260" w:lineRule="atLeast"/>
        <w:ind w:left="0" w:right="0" w:firstLine="0"/>
        <w:jc w:val="both"/>
      </w:pPr>
      <w:bookmarkStart w:id="73" w:name="Bookmark_para_11"/>
      <w:bookmarkEnd w:id="73"/>
      <w:r>
        <w:rPr>
          <w:rFonts w:ascii="arial" w:eastAsia="arial" w:hAnsi="arial" w:cs="arial"/>
          <w:b w:val="0"/>
          <w:i w:val="0"/>
          <w:strike w:val="0"/>
          <w:noProof w:val="0"/>
          <w:color w:val="000000"/>
          <w:position w:val="0"/>
          <w:sz w:val="20"/>
          <w:u w:val="none"/>
          <w:vertAlign w:val="baseline"/>
        </w:rPr>
        <w:t xml:space="preserve">Johnson asserts that KSR employees actually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open his legal mail outside his presence on two occasions, violating the forgoing case law and KSR's own policy. As evidence, he submitted two pages of KSR's mail log that purport to record receipt of Johnson's "legal mail." [DN 1-2 at 1; DN 1-3 at 38]. The logs indicate that Johnson received marked legal mail from the Kentucky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Innocence Project in August 2021, [DN 1-3 at 38], and legal mail from the ACLU of Kentucky and this Court in January 2022. [DN 1-2 at 1]. </w:t>
      </w:r>
      <w:bookmarkStart w:id="74" w:name="Bookmark_I64KRBV2V4900000T8D0000B"/>
      <w:bookmarkEnd w:id="74"/>
      <w:bookmarkStart w:id="75" w:name="Bookmark_I68TYTY12HM6FR0040000400"/>
      <w:bookmarkEnd w:id="75"/>
      <w:r>
        <w:rPr>
          <w:rFonts w:ascii="arial" w:eastAsia="arial" w:hAnsi="arial" w:cs="arial"/>
          <w:b w:val="0"/>
          <w:i w:val="0"/>
          <w:strike w:val="0"/>
          <w:noProof w:val="0"/>
          <w:color w:val="000000"/>
          <w:position w:val="0"/>
          <w:sz w:val="20"/>
          <w:u w:val="none"/>
          <w:vertAlign w:val="baseline"/>
        </w:rPr>
        <w:t>In these logs, the box labeled "inmate signature" clearly has a name other than Jeffrey Johnson written in it, corroborating Johnson's allegations that someone else opened the legal mail outside of his presence before delivering it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DN 1-3 at 38; DN 1 at 5]. But these are the only two occasions that Johnson alleges KSR employees opened his legal mail without him present. To "state a claim of constitutional proportions," the inmate must "allege routine opening or interference with his mail." </w:t>
      </w:r>
      <w:bookmarkStart w:id="76" w:name="Bookmark_I68TYTY12HM6FR0030000400"/>
      <w:bookmarkEnd w:id="76"/>
      <w:hyperlink r:id="rId33" w:history="1">
        <w:r>
          <w:rPr>
            <w:rFonts w:ascii="arial" w:eastAsia="arial" w:hAnsi="arial" w:cs="arial"/>
            <w:b w:val="0"/>
            <w:i/>
            <w:strike w:val="0"/>
            <w:noProof w:val="0"/>
            <w:color w:val="0077CC"/>
            <w:position w:val="0"/>
            <w:sz w:val="20"/>
            <w:u w:val="single"/>
            <w:vertAlign w:val="baseline"/>
          </w:rPr>
          <w:t>Barnes v. Daviess Cnty. Gov't</w:t>
        </w:r>
      </w:hyperlink>
      <w:hyperlink r:id="rId33" w:history="1">
        <w:r>
          <w:rPr>
            <w:rFonts w:ascii="arial" w:eastAsia="arial" w:hAnsi="arial" w:cs="arial"/>
            <w:b w:val="0"/>
            <w:i/>
            <w:strike w:val="0"/>
            <w:noProof w:val="0"/>
            <w:color w:val="0077CC"/>
            <w:position w:val="0"/>
            <w:sz w:val="20"/>
            <w:u w:val="single"/>
            <w:vertAlign w:val="baseline"/>
          </w:rPr>
          <w:t>, No. 4:22-CV-P107-JHM, 2022 U.S. Dist. LEXIS 219485, 2022 WL 17475783, at *4 (W.D. Ky. Dec. 6, 2022)</w:t>
        </w:r>
      </w:hyperlink>
      <w:r>
        <w:rPr>
          <w:rFonts w:ascii="arial" w:eastAsia="arial" w:hAnsi="arial" w:cs="arial"/>
          <w:b w:val="0"/>
          <w:i w:val="0"/>
          <w:strike w:val="0"/>
          <w:noProof w:val="0"/>
          <w:color w:val="000000"/>
          <w:position w:val="0"/>
          <w:sz w:val="20"/>
          <w:u w:val="none"/>
          <w:vertAlign w:val="baseline"/>
        </w:rPr>
        <w:t xml:space="preserve"> (citing </w:t>
      </w:r>
      <w:bookmarkStart w:id="77" w:name="Bookmark_I68TYTY12HM6FR0050000400"/>
      <w:bookmarkEnd w:id="77"/>
      <w:hyperlink r:id="rId34" w:history="1">
        <w:r>
          <w:rPr>
            <w:rFonts w:ascii="arial" w:eastAsia="arial" w:hAnsi="arial" w:cs="arial"/>
            <w:b w:val="0"/>
            <w:i/>
            <w:strike w:val="0"/>
            <w:noProof w:val="0"/>
            <w:color w:val="0077CC"/>
            <w:position w:val="0"/>
            <w:sz w:val="20"/>
            <w:u w:val="single"/>
            <w:vertAlign w:val="baseline"/>
          </w:rPr>
          <w:t>Davis v. Goord</w:t>
        </w:r>
      </w:hyperlink>
      <w:hyperlink r:id="rId34" w:history="1">
        <w:r>
          <w:rPr>
            <w:rFonts w:ascii="arial" w:eastAsia="arial" w:hAnsi="arial" w:cs="arial"/>
            <w:b w:val="0"/>
            <w:i/>
            <w:strike w:val="0"/>
            <w:noProof w:val="0"/>
            <w:color w:val="0077CC"/>
            <w:position w:val="0"/>
            <w:sz w:val="20"/>
            <w:u w:val="single"/>
            <w:vertAlign w:val="baseline"/>
          </w:rPr>
          <w:t>, 320 F.3d 346, 351 (2d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8" w:name="Bookmark_I68TYTY12N1R9T0020000400"/>
      <w:bookmarkEnd w:id="78"/>
      <w:hyperlink r:id="rId35" w:history="1">
        <w:r>
          <w:rPr>
            <w:rFonts w:ascii="arial" w:eastAsia="arial" w:hAnsi="arial" w:cs="arial"/>
            <w:b w:val="0"/>
            <w:i/>
            <w:strike w:val="0"/>
            <w:noProof w:val="0"/>
            <w:color w:val="0077CC"/>
            <w:position w:val="0"/>
            <w:sz w:val="20"/>
            <w:u w:val="single"/>
            <w:vertAlign w:val="baseline"/>
          </w:rPr>
          <w:t>Okoro v. Scibana</w:t>
        </w:r>
      </w:hyperlink>
      <w:hyperlink r:id="rId35" w:history="1">
        <w:r>
          <w:rPr>
            <w:rFonts w:ascii="arial" w:eastAsia="arial" w:hAnsi="arial" w:cs="arial"/>
            <w:b w:val="0"/>
            <w:i/>
            <w:strike w:val="0"/>
            <w:noProof w:val="0"/>
            <w:color w:val="0077CC"/>
            <w:position w:val="0"/>
            <w:sz w:val="20"/>
            <w:u w:val="single"/>
            <w:vertAlign w:val="baseline"/>
          </w:rPr>
          <w:t>, 63 F. App'x 182, 184 (6th Cir. 2003)</w:t>
        </w:r>
      </w:hyperlink>
      <w:r>
        <w:rPr>
          <w:rFonts w:ascii="arial" w:eastAsia="arial" w:hAnsi="arial" w:cs="arial"/>
          <w:b w:val="0"/>
          <w:i w:val="0"/>
          <w:strike w:val="0"/>
          <w:noProof w:val="0"/>
          <w:color w:val="000000"/>
          <w:position w:val="0"/>
          <w:sz w:val="20"/>
          <w:u w:val="none"/>
          <w:vertAlign w:val="baseline"/>
        </w:rPr>
        <w:t xml:space="preserve"> ("Such a random and isolated incident [of mail interference] is insufficient to establish a constitutional violation."). </w:t>
      </w:r>
      <w:r>
        <w:rPr>
          <w:rFonts w:ascii="arial" w:eastAsia="arial" w:hAnsi="arial" w:cs="arial"/>
          <w:b w:val="0"/>
          <w:i w:val="0"/>
          <w:strike w:val="0"/>
          <w:noProof w:val="0"/>
          <w:color w:val="000000"/>
          <w:position w:val="0"/>
          <w:sz w:val="20"/>
          <w:u w:val="none"/>
          <w:vertAlign w:val="baseline"/>
        </w:rPr>
        <w:t xml:space="preserve">Johnson says KSR employees opened (and later disposed of) his legal mail over one hundred times. </w:t>
      </w:r>
      <w:bookmarkStart w:id="79" w:name="Bookmark_I68TYTY12N1R9T0050000400"/>
      <w:bookmarkEnd w:id="79"/>
      <w:r>
        <w:rPr>
          <w:rFonts w:ascii="arial" w:eastAsia="arial" w:hAnsi="arial" w:cs="arial"/>
          <w:b w:val="0"/>
          <w:i w:val="0"/>
          <w:strike w:val="0"/>
          <w:noProof w:val="0"/>
          <w:color w:val="000000"/>
          <w:position w:val="0"/>
          <w:sz w:val="20"/>
          <w:u w:val="none"/>
          <w:vertAlign w:val="baseline"/>
        </w:rPr>
        <w:t xml:space="preserve">[DN 36 at 1]. The two occasions—spaced four months apart—where KSR staff opened Johnson's legal mail without him present cannot amount to routine interference when the staff properly opened it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him present over one hundred other times. "[T]wo instances [of mail interference] taken together do not rise to a constitutional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violation." </w:t>
      </w:r>
      <w:bookmarkStart w:id="80" w:name="Bookmark_I68TYTY12N1R9T0040000400"/>
      <w:bookmarkEnd w:id="80"/>
      <w:hyperlink r:id="rId36" w:history="1">
        <w:r>
          <w:rPr>
            <w:rFonts w:ascii="arial" w:eastAsia="arial" w:hAnsi="arial" w:cs="arial"/>
            <w:b w:val="0"/>
            <w:i/>
            <w:strike w:val="0"/>
            <w:noProof w:val="0"/>
            <w:color w:val="0077CC"/>
            <w:position w:val="0"/>
            <w:sz w:val="20"/>
            <w:u w:val="single"/>
            <w:vertAlign w:val="baseline"/>
          </w:rPr>
          <w:t>Lloyd v. Herrington</w:t>
        </w:r>
      </w:hyperlink>
      <w:hyperlink r:id="rId36" w:history="1">
        <w:r>
          <w:rPr>
            <w:rFonts w:ascii="arial" w:eastAsia="arial" w:hAnsi="arial" w:cs="arial"/>
            <w:b w:val="0"/>
            <w:i/>
            <w:strike w:val="0"/>
            <w:noProof w:val="0"/>
            <w:color w:val="0077CC"/>
            <w:position w:val="0"/>
            <w:sz w:val="20"/>
            <w:u w:val="single"/>
            <w:vertAlign w:val="baseline"/>
          </w:rPr>
          <w:t>, No. 4:11-CV-P128-M, 2011 U.S. Dist. LEXIS 138728, 2011 WL 6026661, at *2 (W.D. Ky. Dec. 2,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C. </w:t>
      </w:r>
      <w:hyperlink r:id="rId12" w:history="1">
        <w:r>
          <w:rPr>
            <w:rFonts w:ascii="arial" w:eastAsia="arial" w:hAnsi="arial" w:cs="arial"/>
            <w:b w:val="0"/>
            <w:i/>
            <w:strike w:val="0"/>
            <w:noProof w:val="0"/>
            <w:color w:val="0077CC"/>
            <w:position w:val="0"/>
            <w:sz w:val="20"/>
            <w:u w:val="single"/>
            <w:vertAlign w:val="baseline"/>
          </w:rPr>
          <w:t>Fourteenth Amendment</w:t>
        </w:r>
      </w:hyperlink>
    </w:p>
    <w:p>
      <w:pPr>
        <w:keepNext w:val="0"/>
        <w:spacing w:before="240" w:after="0" w:line="260" w:lineRule="atLeast"/>
        <w:ind w:left="0" w:right="0" w:firstLine="0"/>
        <w:jc w:val="both"/>
      </w:pPr>
      <w:bookmarkStart w:id="81" w:name="Bookmark_para_12"/>
      <w:bookmarkEnd w:id="81"/>
      <w:bookmarkStart w:id="82" w:name="Bookmark_I68TYTY22N1R9W0020000400"/>
      <w:bookmarkEnd w:id="82"/>
      <w:bookmarkStart w:id="83" w:name="Bookmark_I68TYTY22N1R9W0040000400"/>
      <w:bookmarkEnd w:id="83"/>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protects inmates from being deprived of liberty without due process of law. </w:t>
      </w:r>
      <w:bookmarkStart w:id="84" w:name="Bookmark_I68TYTY22N1R9W0010000400"/>
      <w:bookmarkEnd w:id="84"/>
      <w:hyperlink r:id="rId27" w:history="1">
        <w:r>
          <w:rPr>
            <w:rFonts w:ascii="arial" w:eastAsia="arial" w:hAnsi="arial" w:cs="arial"/>
            <w:b w:val="0"/>
            <w:i/>
            <w:strike w:val="0"/>
            <w:noProof w:val="0"/>
            <w:color w:val="0077CC"/>
            <w:position w:val="0"/>
            <w:sz w:val="20"/>
            <w:u w:val="single"/>
            <w:vertAlign w:val="baseline"/>
          </w:rPr>
          <w:t>Wolff</w:t>
        </w:r>
      </w:hyperlink>
      <w:hyperlink r:id="rId27" w:history="1">
        <w:r>
          <w:rPr>
            <w:rFonts w:ascii="arial" w:eastAsia="arial" w:hAnsi="arial" w:cs="arial"/>
            <w:b w:val="0"/>
            <w:i/>
            <w:strike w:val="0"/>
            <w:noProof w:val="0"/>
            <w:color w:val="0077CC"/>
            <w:position w:val="0"/>
            <w:sz w:val="20"/>
            <w:u w:val="single"/>
            <w:vertAlign w:val="baseline"/>
          </w:rPr>
          <w:t>, 418 U.S. at 556</w:t>
        </w:r>
      </w:hyperlink>
      <w:r>
        <w:rPr>
          <w:rFonts w:ascii="arial" w:eastAsia="arial" w:hAnsi="arial" w:cs="arial"/>
          <w:b w:val="0"/>
          <w:i w:val="0"/>
          <w:strike w:val="0"/>
          <w:noProof w:val="0"/>
          <w:color w:val="000000"/>
          <w:position w:val="0"/>
          <w:sz w:val="20"/>
          <w:u w:val="none"/>
          <w:vertAlign w:val="baseline"/>
        </w:rPr>
        <w:t xml:space="preserve">. One of those due process rights is the right of inmates to have meaningful access to the courts so they can litigate their cases. </w:t>
      </w:r>
      <w:bookmarkStart w:id="85" w:name="Bookmark_I68TYTY22N1R9W0030000400"/>
      <w:bookmarkEnd w:id="85"/>
      <w:hyperlink r:id="rId37" w:history="1">
        <w:r>
          <w:rPr>
            <w:rFonts w:ascii="arial" w:eastAsia="arial" w:hAnsi="arial" w:cs="arial"/>
            <w:b w:val="0"/>
            <w:i/>
            <w:strike w:val="0"/>
            <w:noProof w:val="0"/>
            <w:color w:val="0077CC"/>
            <w:position w:val="0"/>
            <w:sz w:val="20"/>
            <w:u w:val="single"/>
            <w:vertAlign w:val="baseline"/>
          </w:rPr>
          <w:t>Bounds v. Smith</w:t>
        </w:r>
      </w:hyperlink>
      <w:hyperlink r:id="rId37" w:history="1">
        <w:r>
          <w:rPr>
            <w:rFonts w:ascii="arial" w:eastAsia="arial" w:hAnsi="arial" w:cs="arial"/>
            <w:b w:val="0"/>
            <w:i/>
            <w:strike w:val="0"/>
            <w:noProof w:val="0"/>
            <w:color w:val="0077CC"/>
            <w:position w:val="0"/>
            <w:sz w:val="20"/>
            <w:u w:val="single"/>
            <w:vertAlign w:val="baseline"/>
          </w:rPr>
          <w:t>, 430 U.S. 817, 821, 828, 97 S. Ct. 1491, 52 L. Ed. 2d 72 (1977)</w:t>
        </w:r>
      </w:hyperlink>
      <w:r>
        <w:rPr>
          <w:rFonts w:ascii="arial" w:eastAsia="arial" w:hAnsi="arial" w:cs="arial"/>
          <w:b w:val="0"/>
          <w:i w:val="0"/>
          <w:strike w:val="0"/>
          <w:noProof w:val="0"/>
          <w:color w:val="000000"/>
          <w:position w:val="0"/>
          <w:sz w:val="20"/>
          <w:u w:val="none"/>
          <w:vertAlign w:val="baseline"/>
        </w:rPr>
        <w:t xml:space="preserve">; </w:t>
      </w:r>
      <w:bookmarkStart w:id="86" w:name="Bookmark_I68TYTY22N1R9W0050000400"/>
      <w:bookmarkEnd w:id="86"/>
      <w:hyperlink r:id="rId38" w:history="1">
        <w:r>
          <w:rPr>
            <w:rFonts w:ascii="arial" w:eastAsia="arial" w:hAnsi="arial" w:cs="arial"/>
            <w:b w:val="0"/>
            <w:i/>
            <w:strike w:val="0"/>
            <w:noProof w:val="0"/>
            <w:color w:val="0077CC"/>
            <w:position w:val="0"/>
            <w:sz w:val="20"/>
            <w:u w:val="single"/>
            <w:vertAlign w:val="baseline"/>
          </w:rPr>
          <w:t>Ross v. Moffit</w:t>
        </w:r>
      </w:hyperlink>
      <w:hyperlink r:id="rId38" w:history="1">
        <w:r>
          <w:rPr>
            <w:rFonts w:ascii="arial" w:eastAsia="arial" w:hAnsi="arial" w:cs="arial"/>
            <w:b w:val="0"/>
            <w:i/>
            <w:strike w:val="0"/>
            <w:noProof w:val="0"/>
            <w:color w:val="0077CC"/>
            <w:position w:val="0"/>
            <w:sz w:val="20"/>
            <w:u w:val="single"/>
            <w:vertAlign w:val="baseline"/>
          </w:rPr>
          <w:t>, 417 U.S. 600, 611, 612, 616, 94 S. Ct. 2437, 41 L. Ed. 2d 341 (1974)</w:t>
        </w:r>
      </w:hyperlink>
      <w:r>
        <w:rPr>
          <w:rFonts w:ascii="arial" w:eastAsia="arial" w:hAnsi="arial" w:cs="arial"/>
          <w:b w:val="0"/>
          <w:i w:val="0"/>
          <w:strike w:val="0"/>
          <w:noProof w:val="0"/>
          <w:color w:val="000000"/>
          <w:position w:val="0"/>
          <w:sz w:val="20"/>
          <w:u w:val="none"/>
          <w:vertAlign w:val="baseline"/>
        </w:rPr>
        <w:t xml:space="preserve">. </w:t>
      </w:r>
      <w:bookmarkStart w:id="87" w:name="Bookmark_I64KRBV2S5100000T8D00009"/>
      <w:bookmarkEnd w:id="87"/>
      <w:bookmarkStart w:id="88" w:name="Bookmark_I68TYTY22HM6FX0030000400"/>
      <w:bookmarkEnd w:id="88"/>
      <w:r>
        <w:rPr>
          <w:rFonts w:ascii="arial" w:eastAsia="arial" w:hAnsi="arial" w:cs="arial"/>
          <w:b w:val="0"/>
          <w:i w:val="0"/>
          <w:strike w:val="0"/>
          <w:noProof w:val="0"/>
          <w:color w:val="000000"/>
          <w:position w:val="0"/>
          <w:sz w:val="20"/>
          <w:u w:val="none"/>
          <w:vertAlign w:val="baseline"/>
        </w:rPr>
        <w:t xml:space="preserve">By invoking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Johnson implies that Defendants prevented his access to the courts by opening his legal mail without him present on two occasions. </w:t>
      </w:r>
      <w:bookmarkStart w:id="89" w:name="Bookmark_I64KRBV2KSW00000T8D00007"/>
      <w:bookmarkEnd w:id="89"/>
      <w:bookmarkStart w:id="90" w:name="Bookmark_I68TYTY22D6NGX0020000400"/>
      <w:bookmarkEnd w:id="90"/>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DN 1 at 5]. But to have standing to bring this claim, Johnson had to "show that he suffered prejudice to his right of access to the court." </w:t>
      </w:r>
      <w:bookmarkStart w:id="91" w:name="Bookmark_I68TYTY22HM6FX0020000400"/>
      <w:bookmarkEnd w:id="91"/>
      <w:hyperlink r:id="rId39" w:history="1">
        <w:r>
          <w:rPr>
            <w:rFonts w:ascii="arial" w:eastAsia="arial" w:hAnsi="arial" w:cs="arial"/>
            <w:b w:val="0"/>
            <w:i/>
            <w:strike w:val="0"/>
            <w:noProof w:val="0"/>
            <w:color w:val="0077CC"/>
            <w:position w:val="0"/>
            <w:sz w:val="20"/>
            <w:u w:val="single"/>
            <w:vertAlign w:val="baseline"/>
          </w:rPr>
          <w:t>Boswell v. Mayer</w:t>
        </w:r>
      </w:hyperlink>
      <w:hyperlink r:id="rId39" w:history="1">
        <w:r>
          <w:rPr>
            <w:rFonts w:ascii="arial" w:eastAsia="arial" w:hAnsi="arial" w:cs="arial"/>
            <w:b w:val="0"/>
            <w:i/>
            <w:strike w:val="0"/>
            <w:noProof w:val="0"/>
            <w:color w:val="0077CC"/>
            <w:position w:val="0"/>
            <w:sz w:val="20"/>
            <w:u w:val="single"/>
            <w:vertAlign w:val="baseline"/>
          </w:rPr>
          <w:t>, 169 F.3d 384, 387 (6th Cir. 1999)</w:t>
        </w:r>
      </w:hyperlink>
      <w:r>
        <w:rPr>
          <w:rFonts w:ascii="arial" w:eastAsia="arial" w:hAnsi="arial" w:cs="arial"/>
          <w:b w:val="0"/>
          <w:i w:val="0"/>
          <w:strike w:val="0"/>
          <w:noProof w:val="0"/>
          <w:color w:val="000000"/>
          <w:position w:val="0"/>
          <w:sz w:val="20"/>
          <w:u w:val="none"/>
          <w:vertAlign w:val="baseline"/>
        </w:rPr>
        <w:t xml:space="preserve"> (citing </w:t>
      </w:r>
      <w:bookmarkStart w:id="92" w:name="Bookmark_I68TYTY22HM6FX0040000400"/>
      <w:bookmarkEnd w:id="92"/>
      <w:hyperlink r:id="rId40" w:history="1">
        <w:r>
          <w:rPr>
            <w:rFonts w:ascii="arial" w:eastAsia="arial" w:hAnsi="arial" w:cs="arial"/>
            <w:b w:val="0"/>
            <w:i/>
            <w:strike w:val="0"/>
            <w:noProof w:val="0"/>
            <w:color w:val="0077CC"/>
            <w:position w:val="0"/>
            <w:sz w:val="20"/>
            <w:u w:val="single"/>
            <w:vertAlign w:val="baseline"/>
          </w:rPr>
          <w:t>Lewis v. Casey</w:t>
        </w:r>
      </w:hyperlink>
      <w:hyperlink r:id="rId40" w:history="1">
        <w:r>
          <w:rPr>
            <w:rFonts w:ascii="arial" w:eastAsia="arial" w:hAnsi="arial" w:cs="arial"/>
            <w:b w:val="0"/>
            <w:i/>
            <w:strike w:val="0"/>
            <w:noProof w:val="0"/>
            <w:color w:val="0077CC"/>
            <w:position w:val="0"/>
            <w:sz w:val="20"/>
            <w:u w:val="single"/>
            <w:vertAlign w:val="baseline"/>
          </w:rPr>
          <w:t>, 518 U.S. 343, 351, 116 S. Ct. 2174, 135 L. Ed. 2d 606 (1996)</w:t>
        </w:r>
      </w:hyperlink>
      <w:r>
        <w:rPr>
          <w:rFonts w:ascii="arial" w:eastAsia="arial" w:hAnsi="arial" w:cs="arial"/>
          <w:b w:val="0"/>
          <w:i w:val="0"/>
          <w:strike w:val="0"/>
          <w:noProof w:val="0"/>
          <w:color w:val="000000"/>
          <w:position w:val="0"/>
          <w:sz w:val="20"/>
          <w:u w:val="none"/>
          <w:vertAlign w:val="baseline"/>
        </w:rPr>
        <w:t xml:space="preserve">). </w:t>
      </w:r>
      <w:bookmarkStart w:id="93" w:name="Bookmark_I68TYTY22D6NGX0020000400_2"/>
      <w:bookmarkEnd w:id="93"/>
      <w:bookmarkStart w:id="94" w:name="Bookmark_I64KRBV2DJ300000T8D00005"/>
      <w:bookmarkEnd w:id="94"/>
      <w:bookmarkStart w:id="95" w:name="Bookmark_I68TYTY22D6NGX0040000400"/>
      <w:bookmarkEnd w:id="95"/>
      <w:r>
        <w:rPr>
          <w:rFonts w:ascii="arial" w:eastAsia="arial" w:hAnsi="arial" w:cs="arial"/>
          <w:b w:val="0"/>
          <w:i w:val="0"/>
          <w:strike w:val="0"/>
          <w:noProof w:val="0"/>
          <w:color w:val="000000"/>
          <w:position w:val="0"/>
          <w:sz w:val="20"/>
          <w:u w:val="none"/>
          <w:vertAlign w:val="baseline"/>
        </w:rPr>
        <w:t xml:space="preserve">He had to provide evidence of a "relevant actual injury" and demonstrate how the prison employees' actions "hindered his efforts to pursue [his] legal claim[s]." </w:t>
      </w:r>
      <w:bookmarkStart w:id="96" w:name="Bookmark_I68TYTY22D6NGX0010000400"/>
      <w:bookmarkEnd w:id="96"/>
      <w:hyperlink r:id="rId40" w:history="1">
        <w:r>
          <w:rPr>
            <w:rFonts w:ascii="arial" w:eastAsia="arial" w:hAnsi="arial" w:cs="arial"/>
            <w:b w:val="0"/>
            <w:i/>
            <w:strike w:val="0"/>
            <w:noProof w:val="0"/>
            <w:color w:val="0077CC"/>
            <w:position w:val="0"/>
            <w:sz w:val="20"/>
            <w:u w:val="single"/>
            <w:vertAlign w:val="baseline"/>
          </w:rPr>
          <w:t>Lewis</w:t>
        </w:r>
      </w:hyperlink>
      <w:hyperlink r:id="rId40" w:history="1">
        <w:r>
          <w:rPr>
            <w:rFonts w:ascii="arial" w:eastAsia="arial" w:hAnsi="arial" w:cs="arial"/>
            <w:b w:val="0"/>
            <w:i/>
            <w:strike w:val="0"/>
            <w:noProof w:val="0"/>
            <w:color w:val="0077CC"/>
            <w:position w:val="0"/>
            <w:sz w:val="20"/>
            <w:u w:val="single"/>
            <w:vertAlign w:val="baseline"/>
          </w:rPr>
          <w:t>, 518 U.S. at 351</w:t>
        </w:r>
      </w:hyperlink>
      <w:r>
        <w:rPr>
          <w:rFonts w:ascii="arial" w:eastAsia="arial" w:hAnsi="arial" w:cs="arial"/>
          <w:b w:val="0"/>
          <w:i w:val="0"/>
          <w:strike w:val="0"/>
          <w:noProof w:val="0"/>
          <w:color w:val="000000"/>
          <w:position w:val="0"/>
          <w:sz w:val="20"/>
          <w:u w:val="none"/>
          <w:vertAlign w:val="baseline"/>
        </w:rPr>
        <w:t xml:space="preserve">. </w:t>
      </w:r>
      <w:bookmarkStart w:id="97" w:name="Bookmark_I68TYTY22D6NGX0040000400_2"/>
      <w:bookmarkEnd w:id="97"/>
      <w:r>
        <w:rPr>
          <w:rFonts w:ascii="arial" w:eastAsia="arial" w:hAnsi="arial" w:cs="arial"/>
          <w:b w:val="0"/>
          <w:i w:val="0"/>
          <w:strike w:val="0"/>
          <w:noProof w:val="0"/>
          <w:color w:val="000000"/>
          <w:position w:val="0"/>
          <w:sz w:val="20"/>
          <w:u w:val="none"/>
          <w:vertAlign w:val="baseline"/>
        </w:rPr>
        <w:t xml:space="preserve">Johnson did not allege that the alleged mail interference harmed him or explain how it negatively impacted his civil or criminal cases. Johnson failed to state a </w:t>
      </w:r>
      <w:hyperlink r:id="rId12" w:history="1">
        <w:r>
          <w:rPr>
            <w:rFonts w:ascii="arial" w:eastAsia="arial" w:hAnsi="arial" w:cs="arial"/>
            <w:b w:val="0"/>
            <w:i/>
            <w:strike w:val="0"/>
            <w:noProof w:val="0"/>
            <w:color w:val="0077CC"/>
            <w:position w:val="0"/>
            <w:sz w:val="20"/>
            <w:u w:val="single"/>
            <w:vertAlign w:val="baseline"/>
          </w:rPr>
          <w:t>Fourteenth-Amendment</w:t>
        </w:r>
      </w:hyperlink>
      <w:r>
        <w:rPr>
          <w:rFonts w:ascii="arial" w:eastAsia="arial" w:hAnsi="arial" w:cs="arial"/>
          <w:b w:val="0"/>
          <w:i w:val="0"/>
          <w:strike w:val="0"/>
          <w:noProof w:val="0"/>
          <w:color w:val="000000"/>
          <w:position w:val="0"/>
          <w:sz w:val="20"/>
          <w:u w:val="none"/>
          <w:vertAlign w:val="baseline"/>
        </w:rPr>
        <w:t xml:space="preserve"> claim, so Defendants are entitled to summary judgment on it. </w:t>
      </w:r>
      <w:r>
        <w:rPr>
          <w:rFonts w:ascii="arial" w:eastAsia="arial" w:hAnsi="arial" w:cs="arial"/>
          <w:b w:val="0"/>
          <w:i/>
          <w:strike w:val="0"/>
          <w:noProof w:val="0"/>
          <w:color w:val="000000"/>
          <w:position w:val="0"/>
          <w:sz w:val="20"/>
          <w:u w:val="none"/>
          <w:vertAlign w:val="baseline"/>
        </w:rPr>
        <w:t xml:space="preserve">See </w:t>
      </w:r>
      <w:bookmarkStart w:id="98" w:name="Bookmark_I68TYTY22D6NGX0030000400"/>
      <w:bookmarkEnd w:id="98"/>
      <w:hyperlink r:id="rId41" w:history="1">
        <w:r>
          <w:rPr>
            <w:rFonts w:ascii="arial" w:eastAsia="arial" w:hAnsi="arial" w:cs="arial"/>
            <w:b w:val="0"/>
            <w:i/>
            <w:strike w:val="0"/>
            <w:noProof w:val="0"/>
            <w:color w:val="0077CC"/>
            <w:position w:val="0"/>
            <w:sz w:val="20"/>
            <w:u w:val="single"/>
            <w:vertAlign w:val="baseline"/>
          </w:rPr>
          <w:t>Pilgrim v. Littlefield</w:t>
        </w:r>
      </w:hyperlink>
      <w:hyperlink r:id="rId41" w:history="1">
        <w:r>
          <w:rPr>
            <w:rFonts w:ascii="arial" w:eastAsia="arial" w:hAnsi="arial" w:cs="arial"/>
            <w:b w:val="0"/>
            <w:i/>
            <w:strike w:val="0"/>
            <w:noProof w:val="0"/>
            <w:color w:val="0077CC"/>
            <w:position w:val="0"/>
            <w:sz w:val="20"/>
            <w:u w:val="single"/>
            <w:vertAlign w:val="baseline"/>
          </w:rPr>
          <w:t>, 92 F.3d 413, 416 (6th Cir. 1996)</w:t>
        </w:r>
      </w:hyperlink>
      <w:r>
        <w:rPr>
          <w:rFonts w:ascii="arial" w:eastAsia="arial" w:hAnsi="arial" w:cs="arial"/>
          <w:b w:val="0"/>
          <w:i w:val="0"/>
          <w:strike w:val="0"/>
          <w:noProof w:val="0"/>
          <w:color w:val="000000"/>
          <w:position w:val="0"/>
          <w:sz w:val="20"/>
          <w:u w:val="none"/>
          <w:vertAlign w:val="baseline"/>
        </w:rPr>
        <w:t xml:space="preserve"> ("[T]o state a claim for denial of meaningful access to the courts, [] plaintiffs must plead and prove prejudice stemming from the asserted violation.").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State-Law Claims</w:t>
      </w:r>
    </w:p>
    <w:p>
      <w:pPr>
        <w:keepNext w:val="0"/>
        <w:spacing w:before="240" w:after="0" w:line="260" w:lineRule="atLeast"/>
        <w:ind w:left="0" w:right="0" w:firstLine="0"/>
        <w:jc w:val="both"/>
      </w:pPr>
      <w:bookmarkStart w:id="99" w:name="Bookmark_para_13"/>
      <w:bookmarkEnd w:id="99"/>
      <w:bookmarkStart w:id="100" w:name="Bookmark_I68TYTY328T41H0010000400"/>
      <w:bookmarkEnd w:id="100"/>
      <w:r>
        <w:rPr>
          <w:rFonts w:ascii="arial" w:eastAsia="arial" w:hAnsi="arial" w:cs="arial"/>
          <w:b w:val="0"/>
          <w:i w:val="0"/>
          <w:strike w:val="0"/>
          <w:noProof w:val="0"/>
          <w:color w:val="000000"/>
          <w:position w:val="0"/>
          <w:sz w:val="20"/>
          <w:u w:val="none"/>
          <w:vertAlign w:val="baseline"/>
        </w:rPr>
        <w:t xml:space="preserve">In addition to alleging federal constitutional violations under </w:t>
      </w:r>
      <w:hyperlink r:id="rId23"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Johnson makes multiple claims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arising under Kentucky state law. Under </w:t>
      </w:r>
      <w:hyperlink r:id="rId42"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however, "[t]he district courts may decline to exercise supplemental jurisdiction over a claim . . . if . . . the district court has dismissed all claims over which it has original jurisdiction." Having determined that the federal claims over which this Court has jurisdiction should be dismissed, this Court declines to exercise supplemental jurisdiction over the remaining state-law claims. </w:t>
      </w:r>
      <w:r>
        <w:rPr>
          <w:rFonts w:ascii="arial" w:eastAsia="arial" w:hAnsi="arial" w:cs="arial"/>
          <w:b w:val="0"/>
          <w:i/>
          <w:strike w:val="0"/>
          <w:noProof w:val="0"/>
          <w:color w:val="000000"/>
          <w:position w:val="0"/>
          <w:sz w:val="20"/>
          <w:u w:val="none"/>
          <w:vertAlign w:val="baseline"/>
        </w:rPr>
        <w:t xml:space="preserve">See </w:t>
      </w:r>
      <w:bookmarkStart w:id="101" w:name="Bookmark_I68TYTY22D6NGX0050000400"/>
      <w:bookmarkEnd w:id="101"/>
      <w:hyperlink r:id="rId43" w:history="1">
        <w:r>
          <w:rPr>
            <w:rFonts w:ascii="arial" w:eastAsia="arial" w:hAnsi="arial" w:cs="arial"/>
            <w:b w:val="0"/>
            <w:i/>
            <w:strike w:val="0"/>
            <w:noProof w:val="0"/>
            <w:color w:val="0077CC"/>
            <w:position w:val="0"/>
            <w:sz w:val="20"/>
            <w:u w:val="single"/>
            <w:vertAlign w:val="baseline"/>
          </w:rPr>
          <w:t>United Mine Workers</w:t>
        </w:r>
      </w:hyperlink>
      <w:hyperlink r:id="rId43" w:history="1">
        <w:r>
          <w:rPr>
            <w:rFonts w:ascii="arial" w:eastAsia="arial" w:hAnsi="arial" w:cs="arial"/>
            <w:b w:val="0"/>
            <w:i/>
            <w:strike w:val="0"/>
            <w:noProof w:val="0"/>
            <w:color w:val="0077CC"/>
            <w:position w:val="0"/>
            <w:sz w:val="20"/>
            <w:u w:val="single"/>
            <w:vertAlign w:val="baseline"/>
          </w:rPr>
          <w:t>, 383 U.S. at 726</w:t>
        </w:r>
      </w:hyperlink>
      <w:r>
        <w:rPr>
          <w:rFonts w:ascii="arial" w:eastAsia="arial" w:hAnsi="arial" w:cs="arial"/>
          <w:b w:val="0"/>
          <w:i w:val="0"/>
          <w:strike w:val="0"/>
          <w:noProof w:val="0"/>
          <w:color w:val="000000"/>
          <w:position w:val="0"/>
          <w:sz w:val="20"/>
          <w:u w:val="none"/>
          <w:vertAlign w:val="baseline"/>
        </w:rPr>
        <w:t>. Consequently, the state-law claims will be dismissed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02" w:name="Bookmark_para_14"/>
      <w:bookmarkEnd w:id="102"/>
      <w:r>
        <w:rPr>
          <w:rFonts w:ascii="arial" w:eastAsia="arial" w:hAnsi="arial" w:cs="arial"/>
          <w:b w:val="0"/>
          <w:i w:val="0"/>
          <w:strike w:val="0"/>
          <w:noProof w:val="0"/>
          <w:color w:val="000000"/>
          <w:position w:val="0"/>
          <w:sz w:val="20"/>
          <w:u w:val="none"/>
          <w:vertAlign w:val="baseline"/>
        </w:rPr>
        <w:t xml:space="preserve">For the reasons set forth above, </w:t>
      </w:r>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Defendants' motion for summary judgment, [DN 35],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Johnson's motion, [DN 34],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3" w:name="Bookmark_para_15"/>
      <w:bookmarkEnd w:id="103"/>
      <w:r>
        <w:rPr>
          <w:rFonts w:ascii="arial" w:eastAsia="arial" w:hAnsi="arial" w:cs="arial"/>
          <w:b w:val="0"/>
          <w:i w:val="0"/>
          <w:strike w:val="0"/>
          <w:noProof w:val="0"/>
          <w:color w:val="000000"/>
          <w:position w:val="0"/>
          <w:sz w:val="20"/>
          <w:u w:val="none"/>
          <w:vertAlign w:val="baseline"/>
        </w:rPr>
        <w:t>/s/ Joseph H. McKinley, Jr.</w:t>
      </w:r>
    </w:p>
    <w:p>
      <w:pPr>
        <w:keepNext w:val="0"/>
        <w:spacing w:before="200" w:after="0" w:line="260" w:lineRule="atLeast"/>
        <w:ind w:left="0" w:right="0" w:firstLine="0"/>
        <w:jc w:val="both"/>
      </w:pPr>
      <w:bookmarkStart w:id="104" w:name="Bookmark_para_16"/>
      <w:bookmarkEnd w:id="104"/>
      <w:r>
        <w:rPr>
          <w:rFonts w:ascii="arial" w:eastAsia="arial" w:hAnsi="arial" w:cs="arial"/>
          <w:b w:val="0"/>
          <w:i w:val="0"/>
          <w:strike w:val="0"/>
          <w:noProof w:val="0"/>
          <w:color w:val="000000"/>
          <w:position w:val="0"/>
          <w:sz w:val="20"/>
          <w:u w:val="none"/>
          <w:vertAlign w:val="baseline"/>
        </w:rPr>
        <w:t>Joseph H. McKinley, Jr., Senior Judge</w:t>
      </w:r>
    </w:p>
    <w:p>
      <w:pPr>
        <w:keepNext w:val="0"/>
        <w:spacing w:before="200" w:after="0" w:line="260" w:lineRule="atLeast"/>
        <w:ind w:left="0" w:right="0" w:firstLine="0"/>
        <w:jc w:val="both"/>
      </w:pPr>
      <w:bookmarkStart w:id="105" w:name="Bookmark_para_17"/>
      <w:bookmarkEnd w:id="105"/>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06" w:name="Bookmark_para_18"/>
      <w:bookmarkEnd w:id="106"/>
      <w:r>
        <w:rPr>
          <w:rFonts w:ascii="arial" w:eastAsia="arial" w:hAnsi="arial" w:cs="arial"/>
          <w:b w:val="0"/>
          <w:i w:val="0"/>
          <w:strike w:val="0"/>
          <w:noProof w:val="0"/>
          <w:color w:val="000000"/>
          <w:position w:val="0"/>
          <w:sz w:val="20"/>
          <w:u w:val="none"/>
          <w:vertAlign w:val="baseline"/>
        </w:rPr>
        <w:t>July 25,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JUDGMENT</w:t>
      </w:r>
    </w:p>
    <w:p>
      <w:pPr>
        <w:keepNext w:val="0"/>
        <w:spacing w:before="200" w:after="0" w:line="260" w:lineRule="atLeast"/>
        <w:ind w:left="0" w:right="0" w:firstLine="0"/>
        <w:jc w:val="both"/>
      </w:pPr>
      <w:bookmarkStart w:id="107" w:name="Bookmark_para_19"/>
      <w:bookmarkEnd w:id="107"/>
      <w:r>
        <w:rPr>
          <w:rFonts w:ascii="arial" w:eastAsia="arial" w:hAnsi="arial" w:cs="arial"/>
          <w:b w:val="0"/>
          <w:i w:val="0"/>
          <w:strike w:val="0"/>
          <w:noProof w:val="0"/>
          <w:color w:val="000000"/>
          <w:position w:val="0"/>
          <w:sz w:val="20"/>
          <w:u w:val="none"/>
          <w:vertAlign w:val="baseline"/>
        </w:rPr>
        <w:t>This matter having come before the Court on a dispositive motion filed by Defendants Jennifer Briarly, Anna Valentine, Cookie Crews, Donna Boyer, and Officer Tipton, and the Court having issued a Memorandum Opinion and Order on this date granting said motion,</w:t>
      </w:r>
    </w:p>
    <w:p>
      <w:pPr>
        <w:keepNext w:val="0"/>
        <w:spacing w:before="200" w:after="0" w:line="260" w:lineRule="atLeast"/>
        <w:ind w:left="0" w:right="0" w:firstLine="0"/>
        <w:jc w:val="both"/>
      </w:pPr>
      <w:bookmarkStart w:id="108" w:name="Bookmark_para_20"/>
      <w:bookmarkEnd w:id="108"/>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 judgment be entered in favor of Defendants consistent with the Court's Memorandum Opinion and Order and the Plaintiff's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complaint be dismissed with prejudice.</w:t>
      </w:r>
    </w:p>
    <w:p>
      <w:pPr>
        <w:keepNext w:val="0"/>
        <w:spacing w:before="200" w:after="0" w:line="260" w:lineRule="atLeast"/>
        <w:ind w:left="0" w:right="0" w:firstLine="0"/>
        <w:jc w:val="both"/>
      </w:pPr>
      <w:bookmarkStart w:id="109" w:name="Bookmark_para_21"/>
      <w:bookmarkEnd w:id="109"/>
      <w:r>
        <w:rPr>
          <w:rFonts w:ascii="arial" w:eastAsia="arial" w:hAnsi="arial" w:cs="arial"/>
          <w:b w:val="0"/>
          <w:i w:val="0"/>
          <w:strike w:val="0"/>
          <w:noProof w:val="0"/>
          <w:color w:val="000000"/>
          <w:position w:val="0"/>
          <w:sz w:val="20"/>
          <w:u w:val="none"/>
          <w:vertAlign w:val="baseline"/>
        </w:rPr>
        <w:t>/s/ Joseph H. McKinley, Jr.</w:t>
      </w:r>
    </w:p>
    <w:p>
      <w:pPr>
        <w:keepNext w:val="0"/>
        <w:spacing w:before="200" w:after="0" w:line="260" w:lineRule="atLeast"/>
        <w:ind w:left="0" w:right="0" w:firstLine="0"/>
        <w:jc w:val="both"/>
      </w:pPr>
      <w:bookmarkStart w:id="110" w:name="Bookmark_para_22"/>
      <w:bookmarkEnd w:id="110"/>
      <w:r>
        <w:rPr>
          <w:rFonts w:ascii="arial" w:eastAsia="arial" w:hAnsi="arial" w:cs="arial"/>
          <w:b w:val="0"/>
          <w:i w:val="0"/>
          <w:strike w:val="0"/>
          <w:noProof w:val="0"/>
          <w:color w:val="000000"/>
          <w:position w:val="0"/>
          <w:sz w:val="20"/>
          <w:u w:val="none"/>
          <w:vertAlign w:val="baseline"/>
        </w:rPr>
        <w:t>Joseph H. McKinley, Jr., Senior Judge</w:t>
      </w:r>
    </w:p>
    <w:p>
      <w:pPr>
        <w:keepNext w:val="0"/>
        <w:spacing w:before="200" w:after="0" w:line="260" w:lineRule="atLeast"/>
        <w:ind w:left="0" w:right="0" w:firstLine="0"/>
        <w:jc w:val="both"/>
      </w:pPr>
      <w:bookmarkStart w:id="111" w:name="Bookmark_para_23"/>
      <w:bookmarkEnd w:id="111"/>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12" w:name="Bookmark_para_24"/>
      <w:bookmarkEnd w:id="112"/>
      <w:r>
        <w:rPr>
          <w:rFonts w:ascii="arial" w:eastAsia="arial" w:hAnsi="arial" w:cs="arial"/>
          <w:b w:val="0"/>
          <w:i w:val="0"/>
          <w:strike w:val="0"/>
          <w:noProof w:val="0"/>
          <w:color w:val="000000"/>
          <w:position w:val="0"/>
          <w:sz w:val="20"/>
          <w:u w:val="none"/>
          <w:vertAlign w:val="baseline"/>
        </w:rPr>
        <w:t>July 25,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v. Briarly, 2023 U.S. Dist. LEXIS 127973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C33-PBG3-RS0Y-N437-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3S4X-6HC0-0039-N37R-00000-00&amp;context=1519360" TargetMode="External" /><Relationship Id="rId15" Type="http://schemas.openxmlformats.org/officeDocument/2006/relationships/hyperlink" Target="https://advance.lexis.com/api/document?collection=cases&amp;id=urn:contentItem:3S4X-6H80-0039-N37M-00000-00&amp;context=1519360" TargetMode="External" /><Relationship Id="rId16" Type="http://schemas.openxmlformats.org/officeDocument/2006/relationships/hyperlink" Target="https://advance.lexis.com/api/document?collection=cases&amp;id=urn:contentItem:3S4X-7P90-0039-N51W-00000-00&amp;context=1519360" TargetMode="External" /><Relationship Id="rId17" Type="http://schemas.openxmlformats.org/officeDocument/2006/relationships/hyperlink" Target="https://advance.lexis.com/api/document?collection=cases&amp;id=urn:contentItem:529J-SK51-JCNJ-000Y-00000-00&amp;context=1519360" TargetMode="External" /><Relationship Id="rId18" Type="http://schemas.openxmlformats.org/officeDocument/2006/relationships/hyperlink" Target="https://advance.lexis.com/api/document?collection=cases&amp;id=urn:contentItem:7Y9F-N650-YB0V-J00D-00000-00&amp;context=1519360" TargetMode="External" /><Relationship Id="rId19" Type="http://schemas.openxmlformats.org/officeDocument/2006/relationships/hyperlink" Target="https://advance.lexis.com/api/document?collection=cases&amp;id=urn:contentItem:42NH-11J0-0038-X1G6-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1DB-R5M0-0038-X3NM-00000-00&amp;context=1519360" TargetMode="External" /><Relationship Id="rId21" Type="http://schemas.openxmlformats.org/officeDocument/2006/relationships/hyperlink" Target="https://advance.lexis.com/api/document?collection=cases&amp;id=urn:contentItem:3S4W-YRD0-008H-V31J-00000-00&amp;context=1519360" TargetMode="External" /><Relationship Id="rId22" Type="http://schemas.openxmlformats.org/officeDocument/2006/relationships/hyperlink" Target="https://advance.lexis.com/api/document?collection=cases&amp;id=urn:contentItem:3SX0-MDY0-0038-X26B-00000-00&amp;context=1519360" TargetMode="External" /><Relationship Id="rId23" Type="http://schemas.openxmlformats.org/officeDocument/2006/relationships/hyperlink" Target="https://advance.lexis.com/api/document?collection=statutes-legislation&amp;id=urn:contentItem:8SHT-0712-D6RV-H526-00000-00&amp;context=1519360" TargetMode="External" /><Relationship Id="rId24" Type="http://schemas.openxmlformats.org/officeDocument/2006/relationships/hyperlink" Target="https://advance.lexis.com/api/document?collection=cases&amp;id=urn:contentItem:3S4X-20V0-006F-M2HB-00000-00&amp;context=1519360" TargetMode="External" /><Relationship Id="rId25" Type="http://schemas.openxmlformats.org/officeDocument/2006/relationships/hyperlink" Target="https://advance.lexis.com/api/document?collection=cases&amp;id=urn:contentItem:49JR-9VV0-0038-X2CC-00000-00&amp;context=1519360" TargetMode="External" /><Relationship Id="rId26" Type="http://schemas.openxmlformats.org/officeDocument/2006/relationships/hyperlink" Target="https://advance.lexis.com/api/document?collection=cases&amp;id=urn:contentItem:3S4X-GTV0-003B-P4WD-00000-00&amp;context=1519360" TargetMode="External" /><Relationship Id="rId27" Type="http://schemas.openxmlformats.org/officeDocument/2006/relationships/hyperlink" Target="https://advance.lexis.com/api/document?collection=cases&amp;id=urn:contentItem:3S4X-CBK0-003B-S1Y2-00000-00&amp;context=1519360" TargetMode="External" /><Relationship Id="rId28" Type="http://schemas.openxmlformats.org/officeDocument/2006/relationships/hyperlink" Target="https://advance.lexis.com/api/document?collection=cases&amp;id=urn:contentItem:3S4X-0JB0-008H-V4K0-00000-00&amp;context=1519360" TargetMode="External" /><Relationship Id="rId29" Type="http://schemas.openxmlformats.org/officeDocument/2006/relationships/hyperlink" Target="https://advance.lexis.com/api/document?collection=cases&amp;id=urn:contentItem:4KR5-1WP0-0038-X3WR-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4X-H880-003B-4556-00000-00&amp;context=1519360" TargetMode="External" /><Relationship Id="rId31" Type="http://schemas.openxmlformats.org/officeDocument/2006/relationships/hyperlink" Target="https://advance.lexis.com/api/document?collection=cases&amp;id=urn:contentItem:674T-SR71-DY33-B41N-00000-00&amp;context=1519360" TargetMode="External" /><Relationship Id="rId32" Type="http://schemas.openxmlformats.org/officeDocument/2006/relationships/hyperlink" Target="https://advance.lexis.com/api/document?collection=cases&amp;id=urn:contentItem:66D4-KVN1-FGCG-S0BW-00000-00&amp;context=1519360" TargetMode="External" /><Relationship Id="rId33" Type="http://schemas.openxmlformats.org/officeDocument/2006/relationships/hyperlink" Target="https://advance.lexis.com/api/document?collection=cases&amp;id=urn:contentItem:671M-7091-FBV7-B2P5-00000-00&amp;context=1519360" TargetMode="External" /><Relationship Id="rId34" Type="http://schemas.openxmlformats.org/officeDocument/2006/relationships/hyperlink" Target="https://advance.lexis.com/api/document?collection=cases&amp;id=urn:contentItem:47X2-SK30-0038-X24W-00000-00&amp;context=1519360" TargetMode="External" /><Relationship Id="rId35" Type="http://schemas.openxmlformats.org/officeDocument/2006/relationships/hyperlink" Target="https://advance.lexis.com/api/document?collection=cases&amp;id=urn:contentItem:4899-9NP0-0038-X02W-00000-00&amp;context=1519360" TargetMode="External" /><Relationship Id="rId36" Type="http://schemas.openxmlformats.org/officeDocument/2006/relationships/hyperlink" Target="https://advance.lexis.com/api/document?collection=cases&amp;id=urn:contentItem:54CY-55F1-F04D-B04M-00000-00&amp;context=1519360" TargetMode="External" /><Relationship Id="rId37" Type="http://schemas.openxmlformats.org/officeDocument/2006/relationships/hyperlink" Target="https://advance.lexis.com/api/document?collection=cases&amp;id=urn:contentItem:3S4X-9GT0-003B-S2KP-00000-00&amp;context=1519360" TargetMode="External" /><Relationship Id="rId38" Type="http://schemas.openxmlformats.org/officeDocument/2006/relationships/hyperlink" Target="https://advance.lexis.com/api/document?collection=cases&amp;id=urn:contentItem:3S4X-CC50-003B-S24M-00000-00&amp;context=1519360" TargetMode="External" /><Relationship Id="rId39" Type="http://schemas.openxmlformats.org/officeDocument/2006/relationships/hyperlink" Target="https://advance.lexis.com/api/document?collection=cases&amp;id=urn:contentItem:3VXR-PW70-0038-X293-00000-00&amp;context=1519360" TargetMode="External" /><Relationship Id="rId4" Type="http://schemas.openxmlformats.org/officeDocument/2006/relationships/header" Target="header1.xml" /><Relationship Id="rId40" Type="http://schemas.openxmlformats.org/officeDocument/2006/relationships/hyperlink" Target="https://advance.lexis.com/api/document?collection=cases&amp;id=urn:contentItem:3S04-RP80-003B-R23X-00000-00&amp;context=1519360" TargetMode="External" /><Relationship Id="rId41" Type="http://schemas.openxmlformats.org/officeDocument/2006/relationships/hyperlink" Target="https://advance.lexis.com/api/document?collection=cases&amp;id=urn:contentItem:3S4X-1DM0-006F-M0Y9-00000-00&amp;context=1519360" TargetMode="External" /><Relationship Id="rId42" Type="http://schemas.openxmlformats.org/officeDocument/2006/relationships/hyperlink" Target="https://advance.lexis.com/api/document?collection=statutes-legislation&amp;id=urn:contentItem:8SG9-5HW2-D6RV-H0HC-00000-00&amp;context=1519360" TargetMode="External" /><Relationship Id="rId43" Type="http://schemas.openxmlformats.org/officeDocument/2006/relationships/hyperlink" Target="https://advance.lexis.com/api/document?collection=cases&amp;id=urn:contentItem:3S4X-G5P0-003B-S3PK-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SW-G7F1-JGPY-X4G6-00000-00&amp;context=1519360" TargetMode="External" /><Relationship Id="rId9" Type="http://schemas.openxmlformats.org/officeDocument/2006/relationships/hyperlink" Target="https://advance.lexis.com/api/document?collection=cases&amp;id=urn:contentItem:6B7P-62R3-RVWX-02M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Johnson v. Briarly, 2023 U.S. Dist. LEXIS 127973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Doc::urn:hlct:5|contextualFeaturePermID::1519360</vt:lpwstr>
  </property>
  <property fmtid="{D5CDD505-2E9C-101B-9397-08002B2CF9AE}" pid="5" name="UserPermID">
    <vt:lpwstr>urn:user:PA186186283</vt:lpwstr>
  </property>
</Properties>
</file>