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Forsythe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Third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26, 2023, Submitted Under Third Circuit L.A.R. 34.1(a); March 21,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22-2112</w:t>
      </w:r>
    </w:p>
    <w:p>
      <w:pPr>
        <w:keepNext w:val="0"/>
        <w:spacing w:after="0" w:line="240" w:lineRule="atLeast"/>
        <w:ind w:right="0"/>
        <w:jc w:val="both"/>
      </w:pPr>
      <w:bookmarkStart w:id="0" w:name="Bookmark_73"/>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App. LEXIS 6691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2583425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ANDREA FORSYTHE,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NOT PRECEDENTIAL OPINION UNDER THIRD CIRCUIT INTERNAL OPERATING PROCEDURE RULE 5.7. SUCH OPINIONS ARE NOT REGARDED AS PRECEDENTS WHICH BIND THE COURT.</w:t>
      </w:r>
    </w:p>
    <w:p>
      <w:pPr>
        <w:keepNext w:val="0"/>
        <w:spacing w:before="200" w:after="0" w:line="260" w:lineRule="atLeast"/>
        <w:ind w:left="0" w:right="0" w:firstLine="0"/>
        <w:jc w:val="both"/>
      </w:pPr>
      <w:bookmarkStart w:id="4" w:name="Bookmark_para_2"/>
      <w:bookmarkEnd w:id="4"/>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3"/>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On Appeal from the United States District Court for the Western District of Pennsylvania. (D.C. Criminal No. 2-14-cr-00291-001). District Judge: Honorable Cathy Bissoon.</w:t>
      </w:r>
    </w:p>
    <w:p>
      <w:pPr>
        <w:keepNext w:val="0"/>
        <w:spacing w:before="240" w:after="0" w:line="260" w:lineRule="atLeast"/>
        <w:ind w:left="0" w:right="0" w:firstLine="0"/>
        <w:jc w:val="left"/>
      </w:pPr>
      <w:r>
        <w:br/>
      </w:r>
      <w:hyperlink r:id="rId10" w:history="1">
        <w:r>
          <w:rPr>
            <w:rFonts w:ascii="arial" w:eastAsia="arial" w:hAnsi="arial" w:cs="arial"/>
            <w:b w:val="0"/>
            <w:i/>
            <w:strike w:val="0"/>
            <w:color w:val="0077CC"/>
            <w:sz w:val="20"/>
            <w:u w:val="single"/>
            <w:vertAlign w:val="baseline"/>
          </w:rPr>
          <w:t>United States v. Forsythe, 2016 U.S. Dist. LEXIS 37864 (W.D. Pa., Mar. 23, 2016)</w:t>
        </w:r>
      </w:hyperlink>
    </w:p>
    <w:p>
      <w:pPr>
        <w:keepNext/>
        <w:spacing w:before="240" w:after="0" w:line="340" w:lineRule="atLeast"/>
        <w:ind w:left="0" w:right="0" w:firstLine="0"/>
        <w:jc w:val="left"/>
      </w:pPr>
      <w:bookmarkStart w:id="7" w:name="Core Terms"/>
      <w:bookmarkEnd w:id="7"/>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Grade, supervised release, sentence, district court, Guidelines', imprisonment, revocation, controlled substance offense, controlled substance, conspiracy, conspiracy conviction, sentencing hearing, sentencing range, en banc, distribute, advisory, offenses, produces, argues</w:t>
      </w:r>
    </w:p>
    <w:p>
      <w:pPr>
        <w:keepNext/>
        <w:spacing w:before="240" w:after="0" w:line="340" w:lineRule="atLeast"/>
        <w:ind w:left="0" w:right="0" w:firstLine="0"/>
        <w:jc w:val="left"/>
      </w:pPr>
      <w:bookmarkStart w:id="8" w:name="LexisNexis® Headnotes"/>
      <w:bookmarkEnd w:id="8"/>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9" w:name="Bookmark_clscc1"/>
      <w:bookmarkEnd w:id="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11"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Supervised Release</w:t>
      </w:r>
    </w:p>
    <w:p>
      <w:pPr>
        <w:keepNext w:val="0"/>
        <w:spacing w:before="240" w:after="0" w:line="260" w:lineRule="atLeast"/>
        <w:ind w:left="0" w:right="0" w:firstLine="0"/>
        <w:jc w:val="both"/>
      </w:pPr>
      <w:bookmarkStart w:id="10" w:name="Bookmark_hnpara_1"/>
      <w:bookmarkEnd w:id="10"/>
      <w:r>
        <w:rPr>
          <w:rFonts w:ascii="arial" w:eastAsia="arial" w:hAnsi="arial" w:cs="arial"/>
          <w:b w:val="0"/>
          <w:i w:val="0"/>
          <w:strike w:val="0"/>
          <w:noProof w:val="0"/>
          <w:color w:val="000000"/>
          <w:position w:val="0"/>
          <w:sz w:val="20"/>
          <w:u w:val="none"/>
          <w:vertAlign w:val="baseline"/>
        </w:rPr>
        <w:t xml:space="preserve">In revocation of supervised release proceedings, a district court considers the grade of violation—A, B, or C. </w:t>
      </w:r>
      <w:hyperlink r:id="rId13" w:history="1">
        <w:r>
          <w:rPr>
            <w:rFonts w:ascii="arial" w:eastAsia="arial" w:hAnsi="arial" w:cs="arial"/>
            <w:b w:val="0"/>
            <w:i/>
            <w:strike w:val="0"/>
            <w:noProof w:val="0"/>
            <w:color w:val="0077CC"/>
            <w:position w:val="0"/>
            <w:sz w:val="20"/>
            <w:u w:val="single"/>
            <w:vertAlign w:val="baseline"/>
          </w:rPr>
          <w:t>U.S. Sentencing Guidelines Manual § 7B1.1-1.4</w:t>
        </w:r>
      </w:hyperlink>
      <w:r>
        <w:rPr>
          <w:rFonts w:ascii="arial" w:eastAsia="arial" w:hAnsi="arial" w:cs="arial"/>
          <w:b w:val="0"/>
          <w:i w:val="0"/>
          <w:strike w:val="0"/>
          <w:noProof w:val="0"/>
          <w:color w:val="000000"/>
          <w:position w:val="0"/>
          <w:sz w:val="20"/>
          <w:u w:val="none"/>
          <w:vertAlign w:val="baseline"/>
        </w:rPr>
        <w:t>.</w:t>
      </w:r>
    </w:p>
    <w:p>
      <w:pPr>
        <w:spacing w:before="120"/>
      </w:pPr>
      <w:bookmarkStart w:id="11" w:name="Bookmark_clscc2"/>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Clear Error Review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2" w:name="Bookmark_hnpara_2"/>
      <w:bookmarkEnd w:id="12"/>
      <w:r>
        <w:rPr>
          <w:rFonts w:ascii="arial" w:eastAsia="arial" w:hAnsi="arial" w:cs="arial"/>
          <w:b w:val="0"/>
          <w:i w:val="0"/>
          <w:strike w:val="0"/>
          <w:noProof w:val="0"/>
          <w:color w:val="000000"/>
          <w:position w:val="0"/>
          <w:sz w:val="20"/>
          <w:u w:val="none"/>
          <w:vertAlign w:val="baseline"/>
        </w:rPr>
        <w:t>In scrutinizing a sentence imposed, the appellate courts review a district court's legal conclusions regarding the Sentencing Guidelines de novo, its application of the Sentencing Guidelines to the facts for abuse of discretion, and its factual findings for clear error.</w:t>
      </w:r>
    </w:p>
    <w:p>
      <w:pPr>
        <w:spacing w:before="120"/>
      </w:pPr>
      <w:bookmarkStart w:id="13" w:name="Bookmark_clscc3"/>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Sentencing Guidelines &gt; Adjustments &amp; Enhancements &gt; Career Offenders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Inchoate Crimes &gt; Conspiracy &gt; Penalties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Adjustments &amp; Enhancements, Career Offenders</w:t>
      </w:r>
    </w:p>
    <w:p>
      <w:pPr>
        <w:keepNext w:val="0"/>
        <w:spacing w:before="240" w:after="0" w:line="260" w:lineRule="atLeast"/>
        <w:ind w:left="0" w:right="0" w:firstLine="0"/>
        <w:jc w:val="both"/>
      </w:pPr>
      <w:bookmarkStart w:id="14" w:name="Bookmark_hnpara_3"/>
      <w:bookmarkEnd w:id="14"/>
      <w:r>
        <w:rPr>
          <w:rFonts w:ascii="arial" w:eastAsia="arial" w:hAnsi="arial" w:cs="arial"/>
          <w:b w:val="0"/>
          <w:i w:val="0"/>
          <w:strike w:val="0"/>
          <w:noProof w:val="0"/>
          <w:color w:val="000000"/>
          <w:position w:val="0"/>
          <w:sz w:val="20"/>
          <w:u w:val="none"/>
          <w:vertAlign w:val="baseline"/>
        </w:rPr>
        <w:t xml:space="preserve">The term controlled substance offense in </w:t>
      </w:r>
      <w:hyperlink r:id="rId16" w:history="1">
        <w:r>
          <w:rPr>
            <w:rFonts w:ascii="arial" w:eastAsia="arial" w:hAnsi="arial" w:cs="arial"/>
            <w:b w:val="0"/>
            <w:i/>
            <w:strike w:val="0"/>
            <w:noProof w:val="0"/>
            <w:color w:val="0077CC"/>
            <w:position w:val="0"/>
            <w:sz w:val="20"/>
            <w:u w:val="single"/>
            <w:vertAlign w:val="baseline"/>
          </w:rPr>
          <w:t>U.S. Sentencing Guidelines Manual § 4B1.2</w:t>
        </w:r>
      </w:hyperlink>
      <w:r>
        <w:rPr>
          <w:rFonts w:ascii="arial" w:eastAsia="arial" w:hAnsi="arial" w:cs="arial"/>
          <w:b w:val="0"/>
          <w:i w:val="0"/>
          <w:strike w:val="0"/>
          <w:noProof w:val="0"/>
          <w:color w:val="000000"/>
          <w:position w:val="0"/>
          <w:sz w:val="20"/>
          <w:u w:val="none"/>
          <w:vertAlign w:val="baseline"/>
        </w:rPr>
        <w:t xml:space="preserve"> does not include inchoate offenses such as conspiracy.</w:t>
      </w:r>
    </w:p>
    <w:p>
      <w:pPr>
        <w:spacing w:before="120"/>
      </w:pPr>
      <w:bookmarkStart w:id="15" w:name="Bookmark_clscc4"/>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Supervised Release</w:t>
      </w:r>
    </w:p>
    <w:p>
      <w:pPr>
        <w:keepNext w:val="0"/>
        <w:spacing w:before="240" w:after="0" w:line="260" w:lineRule="atLeast"/>
        <w:ind w:left="0" w:right="0" w:firstLine="0"/>
        <w:jc w:val="both"/>
      </w:pPr>
      <w:bookmarkStart w:id="16" w:name="Bookmark_hnpara_4"/>
      <w:bookmarkEnd w:id="16"/>
      <w:r>
        <w:rPr>
          <w:rFonts w:ascii="arial" w:eastAsia="arial" w:hAnsi="arial" w:cs="arial"/>
          <w:b w:val="0"/>
          <w:i w:val="0"/>
          <w:strike w:val="0"/>
          <w:noProof w:val="0"/>
          <w:color w:val="000000"/>
          <w:position w:val="0"/>
          <w:sz w:val="20"/>
          <w:u w:val="none"/>
          <w:vertAlign w:val="baseline"/>
        </w:rPr>
        <w:t>In the revocation of supervised release context, district courts may consider a defendant's actual conduct in determining whether they have broken the law and thus the terms of their supervised release.</w:t>
      </w:r>
    </w:p>
    <w:p>
      <w:pPr>
        <w:spacing w:before="120"/>
      </w:pPr>
      <w:bookmarkStart w:id="17" w:name="Bookmark_clscc5"/>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Sentencing &gt; Supervised Release</w:t>
      </w:r>
    </w:p>
    <w:p>
      <w:pPr>
        <w:keepNext w:val="0"/>
        <w:spacing w:before="240" w:after="0" w:line="260" w:lineRule="atLeast"/>
        <w:ind w:left="0" w:right="0" w:firstLine="0"/>
        <w:jc w:val="both"/>
      </w:pPr>
      <w:hyperlink r:id="rId18"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2"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Sentencing, Supervised Release</w:t>
      </w:r>
    </w:p>
    <w:p>
      <w:pPr>
        <w:keepNext w:val="0"/>
        <w:spacing w:before="240" w:after="0" w:line="260" w:lineRule="atLeast"/>
        <w:ind w:left="0" w:right="0" w:firstLine="0"/>
        <w:jc w:val="both"/>
      </w:pPr>
      <w:bookmarkStart w:id="18" w:name="Bookmark_hnpara_5"/>
      <w:bookmarkEnd w:id="18"/>
      <w:r>
        <w:rPr>
          <w:rFonts w:ascii="arial" w:eastAsia="arial" w:hAnsi="arial" w:cs="arial"/>
          <w:b w:val="0"/>
          <w:i w:val="0"/>
          <w:strike w:val="0"/>
          <w:noProof w:val="0"/>
          <w:color w:val="000000"/>
          <w:position w:val="0"/>
          <w:sz w:val="20"/>
          <w:u w:val="none"/>
          <w:vertAlign w:val="baseline"/>
        </w:rPr>
        <w:t xml:space="preserve">In the context of violation of supervised release, a Grade A violation is triggered by conduct constituting a federal, state, or local offense punishable by a term of imprisonment exceeding one year that is a controlled substance offense. </w:t>
      </w:r>
      <w:hyperlink r:id="rId13" w:history="1">
        <w:r>
          <w:rPr>
            <w:rFonts w:ascii="arial" w:eastAsia="arial" w:hAnsi="arial" w:cs="arial"/>
            <w:b w:val="0"/>
            <w:i/>
            <w:strike w:val="0"/>
            <w:noProof w:val="0"/>
            <w:color w:val="0077CC"/>
            <w:position w:val="0"/>
            <w:sz w:val="20"/>
            <w:u w:val="single"/>
            <w:vertAlign w:val="baseline"/>
          </w:rPr>
          <w:t>U.S. Sentencing Guidelines Manual § 7B1.1(a)(1)(A)(ii)</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bookmarkStart w:id="19" w:name="Counsel"/>
      <w:bookmarkEnd w:id="19"/>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Laura S. Irwin, Esq., Matthew S. McHale, Esq., Office of United States Attorney, Pittsburgh, PA.</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ANDREA FORSYTHE, Defendant - Appellant: Jonathan A. Orie, Esq., Orie &amp; Zivic, Pittsburgh, PA.</w:t>
      </w:r>
    </w:p>
    <w:p>
      <w:pPr>
        <w:keepNext w:val="0"/>
        <w:spacing w:before="240" w:after="0" w:line="260" w:lineRule="atLeast"/>
        <w:ind w:left="0" w:right="0" w:firstLine="0"/>
        <w:jc w:val="left"/>
      </w:pPr>
      <w:bookmarkStart w:id="20" w:name="Judges"/>
      <w:bookmarkEnd w:id="20"/>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BIBAS, NYGAARD, and FUENTES, Circuit Judges.</w:t>
      </w:r>
    </w:p>
    <w:p>
      <w:pPr>
        <w:keepNext w:val="0"/>
        <w:spacing w:before="240" w:after="0" w:line="260" w:lineRule="atLeast"/>
        <w:ind w:left="0" w:right="0" w:firstLine="0"/>
        <w:jc w:val="left"/>
      </w:pPr>
      <w:bookmarkStart w:id="21" w:name="Opinion by"/>
      <w:bookmarkEnd w:id="21"/>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NYGAARD</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Pr>
        <w:spacing w:line="120" w:lineRule="exact"/>
      </w:pP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OPINION</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4" w:name="Bookmark_para_4"/>
      <w:bookmarkEnd w:id="24"/>
      <w:r>
        <w:rPr>
          <w:rFonts w:ascii="arial" w:eastAsia="arial" w:hAnsi="arial" w:cs="arial"/>
          <w:b w:val="0"/>
          <w:i w:val="0"/>
          <w:strike w:val="0"/>
          <w:noProof w:val="0"/>
          <w:color w:val="000000"/>
          <w:position w:val="0"/>
          <w:sz w:val="20"/>
          <w:u w:val="none"/>
          <w:vertAlign w:val="baseline"/>
        </w:rPr>
        <w:t xml:space="preserve">NYGAARD, </w:t>
      </w:r>
      <w:r>
        <w:rPr>
          <w:rFonts w:ascii="arial" w:eastAsia="arial" w:hAnsi="arial" w:cs="arial"/>
          <w:b w:val="0"/>
          <w:i/>
          <w:strike w:val="0"/>
          <w:noProof w:val="0"/>
          <w:color w:val="000000"/>
          <w:position w:val="0"/>
          <w:sz w:val="20"/>
          <w:u w:val="none"/>
          <w:vertAlign w:val="baseline"/>
        </w:rPr>
        <w:t>Circuit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5" w:name="Bookmark_para_5"/>
      <w:bookmarkEnd w:id="25"/>
      <w:r>
        <w:rPr>
          <w:rFonts w:ascii="arial" w:eastAsia="arial" w:hAnsi="arial" w:cs="arial"/>
          <w:b w:val="0"/>
          <w:i w:val="0"/>
          <w:strike w:val="0"/>
          <w:noProof w:val="0"/>
          <w:color w:val="000000"/>
          <w:position w:val="0"/>
          <w:sz w:val="20"/>
          <w:u w:val="none"/>
          <w:vertAlign w:val="baseline"/>
        </w:rPr>
        <w:t>Appellant Andrea Forsythe appeals her criminal sentence. We will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w:t>
      </w:r>
    </w:p>
    <w:p>
      <w:pPr>
        <w:keepNext w:val="0"/>
        <w:spacing w:before="240" w:after="0" w:line="260" w:lineRule="atLeast"/>
        <w:ind w:left="0" w:right="0" w:firstLine="0"/>
        <w:jc w:val="both"/>
      </w:pPr>
      <w:bookmarkStart w:id="26" w:name="Bookmark_para_6"/>
      <w:bookmarkEnd w:id="26"/>
      <w:r>
        <w:rPr>
          <w:rFonts w:ascii="arial" w:eastAsia="arial" w:hAnsi="arial" w:cs="arial"/>
          <w:b w:val="0"/>
          <w:i w:val="0"/>
          <w:strike w:val="0"/>
          <w:noProof w:val="0"/>
          <w:color w:val="000000"/>
          <w:position w:val="0"/>
          <w:sz w:val="20"/>
          <w:u w:val="none"/>
          <w:vertAlign w:val="baseline"/>
        </w:rPr>
        <w:t xml:space="preserve">Forsythe and two comrades were caught using the mail to </w:t>
      </w:r>
      <w:r>
        <w:rPr>
          <w:rFonts w:ascii="arial" w:eastAsia="arial" w:hAnsi="arial" w:cs="arial"/>
          <w:b/>
          <w:i/>
          <w:strike w:val="0"/>
          <w:noProof w:val="0"/>
          <w:color w:val="000000"/>
          <w:position w:val="0"/>
          <w:sz w:val="20"/>
          <w:u w:val="single"/>
          <w:vertAlign w:val="baseline"/>
        </w:rPr>
        <w:t>smuggle</w:t>
      </w:r>
      <w:r>
        <w:rPr>
          <w:rFonts w:ascii="arial" w:eastAsia="arial" w:hAnsi="arial" w:cs="arial"/>
          <w:b w:val="0"/>
          <w:i w:val="0"/>
          <w:strike w:val="0"/>
          <w:noProof w:val="0"/>
          <w:color w:val="000000"/>
          <w:position w:val="0"/>
          <w:sz w:val="20"/>
          <w:u w:val="none"/>
          <w:vertAlign w:val="baseline"/>
        </w:rPr>
        <w:t xml:space="preserve"> buprenorphine (Suboxone), a Schedule III controlled substance, into a federal prison. She was indicted on two counts: possession with intent to distribute and distribution of a controlled substance, in violation of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841(b)(1)(E)(i)</w:t>
      </w:r>
      <w:r>
        <w:rPr>
          <w:rFonts w:ascii="arial" w:eastAsia="arial" w:hAnsi="arial" w:cs="arial"/>
          <w:b w:val="0"/>
          <w:i w:val="0"/>
          <w:strike w:val="0"/>
          <w:noProof w:val="0"/>
          <w:color w:val="000000"/>
          <w:position w:val="0"/>
          <w:sz w:val="20"/>
          <w:u w:val="none"/>
          <w:vertAlign w:val="baseline"/>
        </w:rPr>
        <w:t xml:space="preserve"> (Count 1), and conspiracy to commit that offense, in violation of </w:t>
      </w:r>
      <w:hyperlink r:id="rId19" w:history="1">
        <w:r>
          <w:rPr>
            <w:rFonts w:ascii="arial" w:eastAsia="arial" w:hAnsi="arial" w:cs="arial"/>
            <w:b w:val="0"/>
            <w:i/>
            <w:strike w:val="0"/>
            <w:noProof w:val="0"/>
            <w:color w:val="0077CC"/>
            <w:position w:val="0"/>
            <w:sz w:val="20"/>
            <w:u w:val="single"/>
            <w:vertAlign w:val="baseline"/>
          </w:rPr>
          <w:t>21 U.S.C. §§ 846</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841(b)(1)(E)(i)</w:t>
      </w:r>
      <w:r>
        <w:rPr>
          <w:rFonts w:ascii="arial" w:eastAsia="arial" w:hAnsi="arial" w:cs="arial"/>
          <w:b w:val="0"/>
          <w:i w:val="0"/>
          <w:strike w:val="0"/>
          <w:noProof w:val="0"/>
          <w:color w:val="000000"/>
          <w:position w:val="0"/>
          <w:sz w:val="20"/>
          <w:u w:val="none"/>
          <w:vertAlign w:val="baseline"/>
        </w:rPr>
        <w:t xml:space="preserve"> (Count 2). At the time, she was on supervised release from her previous federal convictions for malicious destruction of property by fire, </w:t>
      </w:r>
      <w:hyperlink r:id="rId20" w:history="1">
        <w:r>
          <w:rPr>
            <w:rFonts w:ascii="arial" w:eastAsia="arial" w:hAnsi="arial" w:cs="arial"/>
            <w:b w:val="0"/>
            <w:i/>
            <w:strike w:val="0"/>
            <w:noProof w:val="0"/>
            <w:color w:val="0077CC"/>
            <w:position w:val="0"/>
            <w:sz w:val="20"/>
            <w:u w:val="single"/>
            <w:vertAlign w:val="baseline"/>
          </w:rPr>
          <w:t>18 U.S.C. § 844(i)</w:t>
        </w:r>
      </w:hyperlink>
      <w:r>
        <w:rPr>
          <w:rFonts w:ascii="arial" w:eastAsia="arial" w:hAnsi="arial" w:cs="arial"/>
          <w:b w:val="0"/>
          <w:i w:val="0"/>
          <w:strike w:val="0"/>
          <w:noProof w:val="0"/>
          <w:color w:val="000000"/>
          <w:position w:val="0"/>
          <w:sz w:val="20"/>
          <w:u w:val="none"/>
          <w:vertAlign w:val="baseline"/>
        </w:rPr>
        <w:t xml:space="preserve">, and wire fraud, </w:t>
      </w:r>
      <w:hyperlink r:id="rId21" w:history="1">
        <w:r>
          <w:rPr>
            <w:rFonts w:ascii="arial" w:eastAsia="arial" w:hAnsi="arial" w:cs="arial"/>
            <w:b w:val="0"/>
            <w:i/>
            <w:strike w:val="0"/>
            <w:noProof w:val="0"/>
            <w:color w:val="0077CC"/>
            <w:position w:val="0"/>
            <w:sz w:val="20"/>
            <w:u w:val="single"/>
            <w:vertAlign w:val="baseline"/>
          </w:rPr>
          <w:t>18 U.S.C. § 1343</w:t>
        </w:r>
      </w:hyperlink>
      <w:r>
        <w:rPr>
          <w:rFonts w:ascii="arial" w:eastAsia="arial" w:hAnsi="arial" w:cs="arial"/>
          <w:b w:val="0"/>
          <w:i w:val="0"/>
          <w:strike w:val="0"/>
          <w:noProof w:val="0"/>
          <w:color w:val="000000"/>
          <w:position w:val="0"/>
          <w:sz w:val="20"/>
          <w:u w:val="none"/>
          <w:vertAlign w:val="baseline"/>
        </w:rPr>
        <w:t>, for a scheme to burn down her home and claim insurance proceeds. These new offenses violated the standard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condition of her supervised release that she abstain from committing another federal crime. </w:t>
      </w:r>
      <w:hyperlink r:id="rId22" w:history="1">
        <w:r>
          <w:rPr>
            <w:rFonts w:ascii="arial" w:eastAsia="arial" w:hAnsi="arial" w:cs="arial"/>
            <w:b w:val="0"/>
            <w:i/>
            <w:strike w:val="0"/>
            <w:noProof w:val="0"/>
            <w:color w:val="0077CC"/>
            <w:position w:val="0"/>
            <w:sz w:val="20"/>
            <w:u w:val="single"/>
            <w:vertAlign w:val="baseline"/>
          </w:rPr>
          <w:t>18 U.S.C. § 3583(d)</w:t>
        </w:r>
      </w:hyperlink>
      <w:r>
        <w:rPr>
          <w:rFonts w:ascii="arial" w:eastAsia="arial" w:hAnsi="arial" w:cs="arial"/>
          <w:b w:val="0"/>
          <w:i w:val="0"/>
          <w:strike w:val="0"/>
          <w:noProof w:val="0"/>
          <w:color w:val="000000"/>
          <w:position w:val="0"/>
          <w:sz w:val="20"/>
          <w:u w:val="none"/>
          <w:vertAlign w:val="baseline"/>
        </w:rPr>
        <w:t>. She admitted to the conduct of a controlled substance violation in Count 1 and pleaded guilty to conspiracy in Count 2. The Government then dismissed Count 1.</w:t>
      </w:r>
    </w:p>
    <w:p>
      <w:pPr>
        <w:keepNext w:val="0"/>
        <w:spacing w:before="240" w:after="0" w:line="260" w:lineRule="atLeast"/>
        <w:ind w:left="0" w:right="0" w:firstLine="0"/>
        <w:jc w:val="both"/>
      </w:pPr>
      <w:bookmarkStart w:id="27" w:name="Bookmark_para_7"/>
      <w:bookmarkEnd w:id="27"/>
      <w:r>
        <w:rPr>
          <w:rFonts w:ascii="arial" w:eastAsia="arial" w:hAnsi="arial" w:cs="arial"/>
          <w:b w:val="0"/>
          <w:i w:val="0"/>
          <w:strike w:val="0"/>
          <w:noProof w:val="0"/>
          <w:color w:val="000000"/>
          <w:position w:val="0"/>
          <w:sz w:val="20"/>
          <w:u w:val="none"/>
          <w:vertAlign w:val="baseline"/>
        </w:rPr>
        <w:t xml:space="preserve">The District Court held a combined sentencing hearing for both the new criminal charge and the supervised release violation. For Count 2, the Court sentenced her to 9 months' imprisonment. It then examined her supervised release violation. </w:t>
      </w:r>
      <w:bookmarkStart w:id="28" w:name="Bookmark_LNHNREFclscc1"/>
      <w:bookmarkEnd w:id="28"/>
      <w:hyperlink r:id="rId23"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In revocation proceedings, a district court considers the grade of violation—A, B, or C.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U.S.S.G. §§ 7B1.1-1.4</w:t>
        </w:r>
      </w:hyperlink>
      <w:r>
        <w:rPr>
          <w:rFonts w:ascii="arial" w:eastAsia="arial" w:hAnsi="arial" w:cs="arial"/>
          <w:b w:val="0"/>
          <w:i w:val="0"/>
          <w:strike w:val="0"/>
          <w:noProof w:val="0"/>
          <w:color w:val="000000"/>
          <w:position w:val="0"/>
          <w:sz w:val="20"/>
          <w:u w:val="none"/>
          <w:vertAlign w:val="baseline"/>
        </w:rPr>
        <w:t>. That influences the United States Sentencing Guidelines' recommended sentencing range: a Grade B violation produces a sentence of 8 to 14 months, while a Grade A violation produces one of 18 to 24 months.</w:t>
      </w:r>
      <w:r>
        <w:rPr>
          <w:rFonts w:ascii="arial" w:eastAsia="arial" w:hAnsi="arial" w:cs="arial"/>
          <w:vertAlign w:val="superscript"/>
        </w:rPr>
        <w:footnoteReference w:customMarkFollows="1" w:id="3"/>
        <w:t xml:space="preserve">1</w:t>
      </w:r>
    </w:p>
    <w:p>
      <w:pPr>
        <w:keepNext w:val="0"/>
        <w:spacing w:before="200" w:after="0" w:line="260" w:lineRule="atLeast"/>
        <w:ind w:left="0" w:right="0" w:firstLine="0"/>
        <w:jc w:val="both"/>
      </w:pPr>
      <w:bookmarkStart w:id="30" w:name="Bookmark_para_8"/>
      <w:bookmarkEnd w:id="30"/>
      <w:r>
        <w:rPr>
          <w:rFonts w:ascii="arial" w:eastAsia="arial" w:hAnsi="arial" w:cs="arial"/>
          <w:b w:val="0"/>
          <w:i w:val="0"/>
          <w:strike w:val="0"/>
          <w:noProof w:val="0"/>
          <w:color w:val="000000"/>
          <w:position w:val="0"/>
          <w:sz w:val="20"/>
          <w:u w:val="none"/>
          <w:vertAlign w:val="baseline"/>
        </w:rPr>
        <w:t>Forsythe argued that her new conviction should constitute a Grade B violation, but the District Court held she had committed a Grade A violation. That, with a criminal history category of III, yielded an advisory guideline sentencing range of 18 to 24 months' imprisonment. The court varied downward, imposing 9 months' imprisonment on the supervised release revocation, consecutive to her new conviction's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sentence, for 18 months' imprisonment in total.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II.</w:t>
      </w:r>
    </w:p>
    <w:p>
      <w:pPr>
        <w:keepNext w:val="0"/>
        <w:spacing w:before="240" w:after="0" w:line="260" w:lineRule="atLeast"/>
        <w:ind w:left="0" w:right="0" w:firstLine="0"/>
        <w:jc w:val="both"/>
      </w:pPr>
      <w:bookmarkStart w:id="31" w:name="Bookmark_para_9"/>
      <w:bookmarkEnd w:id="31"/>
      <w:bookmarkStart w:id="32" w:name="Bookmark_I67W3GPM2D6MS40020000400"/>
      <w:bookmarkEnd w:id="32"/>
      <w:bookmarkStart w:id="33" w:name="Bookmark_I67W3GPM2D6MS40040000400"/>
      <w:bookmarkEnd w:id="33"/>
      <w:r>
        <w:rPr>
          <w:rFonts w:ascii="arial" w:eastAsia="arial" w:hAnsi="arial" w:cs="arial"/>
          <w:b w:val="0"/>
          <w:i w:val="0"/>
          <w:strike w:val="0"/>
          <w:noProof w:val="0"/>
          <w:color w:val="000000"/>
          <w:position w:val="0"/>
          <w:sz w:val="20"/>
          <w:u w:val="none"/>
          <w:vertAlign w:val="baseline"/>
        </w:rPr>
        <w:t>Forsythe timely appealed the sentence for her supervised release violation only.</w:t>
      </w:r>
      <w:r>
        <w:rPr>
          <w:rFonts w:ascii="arial" w:eastAsia="arial" w:hAnsi="arial" w:cs="arial"/>
          <w:vertAlign w:val="superscript"/>
        </w:rPr>
        <w:footnoteReference w:customMarkFollows="1" w:id="4"/>
        <w:t xml:space="preserve">2</w:t>
      </w:r>
      <w:r>
        <w:rPr>
          <w:rFonts w:ascii="arial" w:eastAsia="arial" w:hAnsi="arial" w:cs="arial"/>
          <w:b w:val="0"/>
          <w:i w:val="0"/>
          <w:strike w:val="0"/>
          <w:noProof w:val="0"/>
          <w:color w:val="000000"/>
          <w:position w:val="0"/>
          <w:sz w:val="20"/>
          <w:u w:val="none"/>
          <w:vertAlign w:val="baseline"/>
        </w:rPr>
        <w:t xml:space="preserve"> </w:t>
      </w:r>
      <w:bookmarkStart w:id="35" w:name="Bookmark_LNHNREFclscc2"/>
      <w:bookmarkEnd w:id="35"/>
      <w:hyperlink r:id="rId25"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In scrutinizing a sentence imposed, "we review a district court's legal conclusions regarding the Guidelines de novo, its application of the Guidelines to the facts for abuse of discretion, and its factual findings for clear error." </w:t>
      </w:r>
      <w:bookmarkStart w:id="36" w:name="Bookmark_I67W3GPM2D6MS40010000400"/>
      <w:bookmarkEnd w:id="36"/>
      <w:hyperlink r:id="rId26" w:history="1">
        <w:r>
          <w:rPr>
            <w:rFonts w:ascii="arial" w:eastAsia="arial" w:hAnsi="arial" w:cs="arial"/>
            <w:b w:val="0"/>
            <w:i/>
            <w:strike w:val="0"/>
            <w:noProof w:val="0"/>
            <w:color w:val="0077CC"/>
            <w:position w:val="0"/>
            <w:sz w:val="20"/>
            <w:u w:val="single"/>
            <w:vertAlign w:val="baseline"/>
          </w:rPr>
          <w:t>United States v. Blackmon</w:t>
        </w:r>
      </w:hyperlink>
      <w:hyperlink r:id="rId26" w:history="1">
        <w:r>
          <w:rPr>
            <w:rFonts w:ascii="arial" w:eastAsia="arial" w:hAnsi="arial" w:cs="arial"/>
            <w:b w:val="0"/>
            <w:i/>
            <w:strike w:val="0"/>
            <w:noProof w:val="0"/>
            <w:color w:val="0077CC"/>
            <w:position w:val="0"/>
            <w:sz w:val="20"/>
            <w:u w:val="single"/>
            <w:vertAlign w:val="baseline"/>
          </w:rPr>
          <w:t>, 557 F.3d 113, 118 (3d Cir. 2009)</w:t>
        </w:r>
      </w:hyperlink>
      <w:r>
        <w:rPr>
          <w:rFonts w:ascii="arial" w:eastAsia="arial" w:hAnsi="arial" w:cs="arial"/>
          <w:b w:val="0"/>
          <w:i w:val="0"/>
          <w:strike w:val="0"/>
          <w:noProof w:val="0"/>
          <w:color w:val="000000"/>
          <w:position w:val="0"/>
          <w:sz w:val="20"/>
          <w:u w:val="none"/>
          <w:vertAlign w:val="baseline"/>
        </w:rPr>
        <w:t xml:space="preserve"> (internal citations omitted). </w:t>
      </w:r>
      <w:r>
        <w:rPr>
          <w:rFonts w:ascii="arial" w:eastAsia="arial" w:hAnsi="arial" w:cs="arial"/>
          <w:b w:val="0"/>
          <w:i/>
          <w:strike w:val="0"/>
          <w:noProof w:val="0"/>
          <w:color w:val="000000"/>
          <w:position w:val="0"/>
          <w:sz w:val="20"/>
          <w:u w:val="none"/>
          <w:vertAlign w:val="baseline"/>
        </w:rPr>
        <w:t xml:space="preserve">See also </w:t>
      </w:r>
      <w:bookmarkStart w:id="37" w:name="Bookmark_I67W3GPM2D6MS40030000400"/>
      <w:bookmarkEnd w:id="37"/>
      <w:hyperlink r:id="rId27" w:history="1">
        <w:r>
          <w:rPr>
            <w:rFonts w:ascii="arial" w:eastAsia="arial" w:hAnsi="arial" w:cs="arial"/>
            <w:b w:val="0"/>
            <w:i/>
            <w:strike w:val="0"/>
            <w:noProof w:val="0"/>
            <w:color w:val="0077CC"/>
            <w:position w:val="0"/>
            <w:sz w:val="20"/>
            <w:u w:val="single"/>
            <w:vertAlign w:val="baseline"/>
          </w:rPr>
          <w:t>United States v. Tomko</w:t>
        </w:r>
      </w:hyperlink>
      <w:hyperlink r:id="rId27" w:history="1">
        <w:r>
          <w:rPr>
            <w:rFonts w:ascii="arial" w:eastAsia="arial" w:hAnsi="arial" w:cs="arial"/>
            <w:b w:val="0"/>
            <w:i/>
            <w:strike w:val="0"/>
            <w:noProof w:val="0"/>
            <w:color w:val="0077CC"/>
            <w:position w:val="0"/>
            <w:sz w:val="20"/>
            <w:u w:val="single"/>
            <w:vertAlign w:val="baseline"/>
          </w:rPr>
          <w:t>, 562 F.3d 558, 564 (3d Cir. 2009)</w:t>
        </w:r>
      </w:hyperlink>
      <w:r>
        <w:rPr>
          <w:rFonts w:ascii="arial" w:eastAsia="arial" w:hAnsi="arial" w:cs="arial"/>
          <w:b w:val="0"/>
          <w:i w:val="0"/>
          <w:strike w:val="0"/>
          <w:noProof w:val="0"/>
          <w:color w:val="000000"/>
          <w:position w:val="0"/>
          <w:sz w:val="20"/>
          <w:u w:val="none"/>
          <w:vertAlign w:val="baseline"/>
        </w:rPr>
        <w:t xml:space="preserve"> (en banc) (reviewing for procedural reasonableness).</w:t>
      </w:r>
    </w:p>
    <w:p>
      <w:pPr>
        <w:keepNext w:val="0"/>
        <w:spacing w:before="240" w:after="0" w:line="260" w:lineRule="atLeast"/>
        <w:ind w:left="0" w:right="0" w:firstLine="0"/>
        <w:jc w:val="both"/>
      </w:pPr>
      <w:bookmarkStart w:id="38" w:name="Bookmark_para_10"/>
      <w:bookmarkEnd w:id="38"/>
      <w:r>
        <w:rPr>
          <w:rFonts w:ascii="arial" w:eastAsia="arial" w:hAnsi="arial" w:cs="arial"/>
          <w:b w:val="0"/>
          <w:i w:val="0"/>
          <w:strike w:val="0"/>
          <w:noProof w:val="0"/>
          <w:color w:val="000000"/>
          <w:position w:val="0"/>
          <w:sz w:val="20"/>
          <w:u w:val="none"/>
          <w:vertAlign w:val="baseline"/>
        </w:rPr>
        <w:t xml:space="preserve">Forsythe's appeal misunderstands revocation of supervised release. Her sole argument is that her sentence was procedurally unreasonable because the District Court improperly calculated her advisory Guidelines' range. She argues that she should not have received a Grade A violation because her conviction for conspiracy does not count as a controlled substance offense. She says that because the Guidelines' chapter covering revocation does not define the term, we must look to its commentary, which defines the term by cross-reference to another chapter. </w:t>
      </w:r>
      <w:bookmarkStart w:id="39" w:name="Bookmark_I67W3GPM2D6MS90010000400"/>
      <w:bookmarkEnd w:id="39"/>
      <w:r>
        <w:rPr>
          <w:rFonts w:ascii="arial" w:eastAsia="arial" w:hAnsi="arial" w:cs="arial"/>
          <w:b w:val="0"/>
          <w:i/>
          <w:strike w:val="0"/>
          <w:noProof w:val="0"/>
          <w:color w:val="000000"/>
          <w:position w:val="0"/>
          <w:sz w:val="20"/>
          <w:u w:val="none"/>
          <w:vertAlign w:val="baseline"/>
        </w:rPr>
        <w:t>Compare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U.S.S.G. § 7B1.1(a)(1)(A)(ii)</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with</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 7B1.1 cmt. n.3</w:t>
        </w:r>
      </w:hyperlink>
      <w:r>
        <w:rPr>
          <w:rFonts w:ascii="arial" w:eastAsia="arial" w:hAnsi="arial" w:cs="arial"/>
          <w:b w:val="0"/>
          <w:i w:val="0"/>
          <w:strike w:val="0"/>
          <w:noProof w:val="0"/>
          <w:color w:val="000000"/>
          <w:position w:val="0"/>
          <w:sz w:val="20"/>
          <w:u w:val="none"/>
          <w:vertAlign w:val="baseline"/>
        </w:rPr>
        <w:t xml:space="preserve">; </w:t>
      </w:r>
      <w:hyperlink r:id="rId16" w:history="1">
        <w:r>
          <w:rPr>
            <w:rFonts w:ascii="arial" w:eastAsia="arial" w:hAnsi="arial" w:cs="arial"/>
            <w:b w:val="0"/>
            <w:i/>
            <w:strike w:val="0"/>
            <w:noProof w:val="0"/>
            <w:color w:val="0077CC"/>
            <w:position w:val="0"/>
            <w:sz w:val="20"/>
            <w:u w:val="single"/>
            <w:vertAlign w:val="baseline"/>
          </w:rPr>
          <w:t>§ 4B1.2</w:t>
        </w:r>
      </w:hyperlink>
      <w:r>
        <w:rPr>
          <w:rFonts w:ascii="arial" w:eastAsia="arial" w:hAnsi="arial" w:cs="arial"/>
          <w:b w:val="0"/>
          <w:i w:val="0"/>
          <w:strike w:val="0"/>
          <w:noProof w:val="0"/>
          <w:color w:val="000000"/>
          <w:position w:val="0"/>
          <w:sz w:val="20"/>
          <w:u w:val="none"/>
          <w:vertAlign w:val="baseline"/>
        </w:rPr>
        <w:t xml:space="preserve">. We have held that </w:t>
      </w:r>
      <w:bookmarkStart w:id="40" w:name="Bookmark_LNHNREFclscc3"/>
      <w:bookmarkEnd w:id="40"/>
      <w:hyperlink r:id="rId28"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the term controlled substance offense in that chapter does not include inchoate offenses such as conspiracy. </w:t>
      </w:r>
      <w:bookmarkStart w:id="41" w:name="Bookmark_I67W3GPM2D6MS90030000400"/>
      <w:bookmarkEnd w:id="41"/>
      <w:bookmarkStart w:id="42" w:name="Bookmark_I67W3GPM2D6MS40050000400"/>
      <w:bookmarkEnd w:id="42"/>
      <w:hyperlink r:id="rId29" w:history="1">
        <w:r>
          <w:rPr>
            <w:rFonts w:ascii="arial" w:eastAsia="arial" w:hAnsi="arial" w:cs="arial"/>
            <w:b w:val="0"/>
            <w:i/>
            <w:strike w:val="0"/>
            <w:noProof w:val="0"/>
            <w:color w:val="0077CC"/>
            <w:position w:val="0"/>
            <w:sz w:val="20"/>
            <w:u w:val="single"/>
            <w:vertAlign w:val="baseline"/>
          </w:rPr>
          <w:t>United States v. Nasir</w:t>
        </w:r>
      </w:hyperlink>
      <w:hyperlink r:id="rId29" w:history="1">
        <w:r>
          <w:rPr>
            <w:rFonts w:ascii="arial" w:eastAsia="arial" w:hAnsi="arial" w:cs="arial"/>
            <w:b w:val="0"/>
            <w:i/>
            <w:strike w:val="0"/>
            <w:noProof w:val="0"/>
            <w:color w:val="0077CC"/>
            <w:position w:val="0"/>
            <w:sz w:val="20"/>
            <w:u w:val="single"/>
            <w:vertAlign w:val="baseline"/>
          </w:rPr>
          <w:t>, 17 F.4th 459, 472 (3d Cir. 2021)</w:t>
        </w:r>
      </w:hyperlink>
      <w:r>
        <w:rPr>
          <w:rFonts w:ascii="arial" w:eastAsia="arial" w:hAnsi="arial" w:cs="arial"/>
          <w:b w:val="0"/>
          <w:i w:val="0"/>
          <w:strike w:val="0"/>
          <w:noProof w:val="0"/>
          <w:color w:val="000000"/>
          <w:position w:val="0"/>
          <w:sz w:val="20"/>
          <w:u w:val="none"/>
          <w:vertAlign w:val="baseline"/>
        </w:rPr>
        <w:t xml:space="preserve"> (en banc). </w:t>
      </w:r>
      <w:bookmarkStart w:id="43" w:name="Bookmark_I67W3GPM2D6MS90030000400_2"/>
      <w:bookmarkEnd w:id="43"/>
      <w:r>
        <w:rPr>
          <w:rFonts w:ascii="arial" w:eastAsia="arial" w:hAnsi="arial" w:cs="arial"/>
          <w:b w:val="0"/>
          <w:i w:val="0"/>
          <w:strike w:val="0"/>
          <w:noProof w:val="0"/>
          <w:color w:val="000000"/>
          <w:position w:val="0"/>
          <w:sz w:val="20"/>
          <w:u w:val="none"/>
          <w:vertAlign w:val="baseline"/>
        </w:rPr>
        <w:t>Thus, she argues her conspiracy</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conviction could not support a Grade A violation; instead, she should have received a Grade B violation, an error that would warrant resentencing. </w:t>
      </w:r>
      <w:bookmarkStart w:id="44" w:name="Bookmark_LNHNREFclscc4"/>
      <w:bookmarkEnd w:id="44"/>
      <w:hyperlink r:id="rId30"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But "[i]n the revocation context,...district courts may consider a defendant's actual conduct in determining whether they have broken the law and thus the terms of their supervised release." </w:t>
      </w:r>
      <w:bookmarkStart w:id="45" w:name="Bookmark_I67W3GPM2D6MS90020000400"/>
      <w:bookmarkEnd w:id="45"/>
      <w:hyperlink r:id="rId31" w:history="1">
        <w:r>
          <w:rPr>
            <w:rFonts w:ascii="arial" w:eastAsia="arial" w:hAnsi="arial" w:cs="arial"/>
            <w:b w:val="0"/>
            <w:i/>
            <w:strike w:val="0"/>
            <w:noProof w:val="0"/>
            <w:color w:val="0077CC"/>
            <w:position w:val="0"/>
            <w:sz w:val="20"/>
            <w:u w:val="single"/>
            <w:vertAlign w:val="baseline"/>
          </w:rPr>
          <w:t>United States v. Carter</w:t>
        </w:r>
      </w:hyperlink>
      <w:hyperlink r:id="rId31" w:history="1">
        <w:r>
          <w:rPr>
            <w:rFonts w:ascii="arial" w:eastAsia="arial" w:hAnsi="arial" w:cs="arial"/>
            <w:b w:val="0"/>
            <w:i/>
            <w:strike w:val="0"/>
            <w:noProof w:val="0"/>
            <w:color w:val="0077CC"/>
            <w:position w:val="0"/>
            <w:sz w:val="20"/>
            <w:u w:val="single"/>
            <w:vertAlign w:val="baseline"/>
          </w:rPr>
          <w:t xml:space="preserve"> 730 F.3d 187, 192 (3d Cir. 2013)</w:t>
        </w:r>
      </w:hyperlink>
      <w:r>
        <w:rPr>
          <w:rFonts w:ascii="arial" w:eastAsia="arial" w:hAnsi="arial" w:cs="arial"/>
          <w:b w:val="0"/>
          <w:i w:val="0"/>
          <w:strike w:val="0"/>
          <w:noProof w:val="0"/>
          <w:color w:val="000000"/>
          <w:position w:val="0"/>
          <w:sz w:val="20"/>
          <w:u w:val="none"/>
          <w:vertAlign w:val="baseline"/>
        </w:rPr>
        <w:t>. That means her conviction is not determinative.</w:t>
      </w:r>
    </w:p>
    <w:p>
      <w:pPr>
        <w:keepNext w:val="0"/>
        <w:spacing w:before="240" w:after="0" w:line="260" w:lineRule="atLeast"/>
        <w:ind w:left="0" w:right="0" w:firstLine="0"/>
        <w:jc w:val="both"/>
      </w:pPr>
      <w:bookmarkStart w:id="46" w:name="Bookmark_para_11"/>
      <w:bookmarkEnd w:id="46"/>
      <w:bookmarkStart w:id="47" w:name="Bookmark_I67W3GPM2D6MS90050000400"/>
      <w:bookmarkEnd w:id="47"/>
      <w:r>
        <w:rPr>
          <w:rFonts w:ascii="arial" w:eastAsia="arial" w:hAnsi="arial" w:cs="arial"/>
          <w:b w:val="0"/>
          <w:i w:val="0"/>
          <w:strike w:val="0"/>
          <w:noProof w:val="0"/>
          <w:color w:val="000000"/>
          <w:position w:val="0"/>
          <w:sz w:val="20"/>
          <w:u w:val="none"/>
          <w:vertAlign w:val="baseline"/>
        </w:rPr>
        <w:t xml:space="preserve">Considering Forsythe's admitted conduct, we agree that the District Court properly found that she had committed a Grade A violation. </w:t>
      </w:r>
      <w:bookmarkStart w:id="48" w:name="Bookmark_LNHNREFclscc5"/>
      <w:bookmarkEnd w:id="48"/>
      <w:hyperlink r:id="rId32"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24" o:title=""/>
            </v:shape>
          </w:pict>
        </w:r>
      </w:hyperlink>
      <w:r>
        <w:rPr>
          <w:rFonts w:ascii="arial" w:eastAsia="arial" w:hAnsi="arial" w:cs="arial"/>
          <w:b w:val="0"/>
          <w:i w:val="0"/>
          <w:strike w:val="0"/>
          <w:noProof w:val="0"/>
          <w:color w:val="000000"/>
          <w:position w:val="0"/>
          <w:sz w:val="20"/>
          <w:u w:val="none"/>
          <w:vertAlign w:val="baseline"/>
        </w:rPr>
        <w:t xml:space="preserve">] A Grade A violation is triggered by "conduct constituting...a federal, state, or local offense punishable by a term of imprisonment exceeding one year that...is a controlled substance offense." </w:t>
      </w:r>
      <w:hyperlink r:id="rId13" w:history="1">
        <w:r>
          <w:rPr>
            <w:rFonts w:ascii="arial" w:eastAsia="arial" w:hAnsi="arial" w:cs="arial"/>
            <w:b w:val="0"/>
            <w:i/>
            <w:strike w:val="0"/>
            <w:noProof w:val="0"/>
            <w:color w:val="0077CC"/>
            <w:position w:val="0"/>
            <w:sz w:val="20"/>
            <w:u w:val="single"/>
            <w:vertAlign w:val="baseline"/>
          </w:rPr>
          <w:t>U.S.S.G. § 7B1.1(a)(1)(A)(ii)</w:t>
        </w:r>
      </w:hyperlink>
      <w:r>
        <w:rPr>
          <w:rFonts w:ascii="arial" w:eastAsia="arial" w:hAnsi="arial" w:cs="arial"/>
          <w:b w:val="0"/>
          <w:i w:val="0"/>
          <w:strike w:val="0"/>
          <w:noProof w:val="0"/>
          <w:color w:val="000000"/>
          <w:position w:val="0"/>
          <w:sz w:val="20"/>
          <w:u w:val="none"/>
          <w:vertAlign w:val="baseline"/>
        </w:rPr>
        <w:t xml:space="preserve">. Evidence before the District Court supports that she committed the federal controlled substance offense of possession with intent to distribute and distribution,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w:t>
      </w:r>
      <w:r>
        <w:rPr>
          <w:rFonts w:ascii="arial" w:eastAsia="arial" w:hAnsi="arial" w:cs="arial"/>
          <w:b w:val="0"/>
          <w:i/>
          <w:strike w:val="0"/>
          <w:noProof w:val="0"/>
          <w:color w:val="000000"/>
          <w:position w:val="0"/>
          <w:sz w:val="20"/>
          <w:u w:val="none"/>
          <w:vertAlign w:val="baseline"/>
        </w:rPr>
        <w:t>841(b)(1)(E)(i)</w:t>
      </w:r>
      <w:r>
        <w:rPr>
          <w:rFonts w:ascii="arial" w:eastAsia="arial" w:hAnsi="arial" w:cs="arial"/>
          <w:b w:val="0"/>
          <w:i w:val="0"/>
          <w:strike w:val="0"/>
          <w:noProof w:val="0"/>
          <w:color w:val="000000"/>
          <w:position w:val="0"/>
          <w:sz w:val="20"/>
          <w:u w:val="none"/>
          <w:vertAlign w:val="baseline"/>
        </w:rPr>
        <w:t>, including information adduced at the sentencing hearing, her sentencing memorandum, the presentence report, its addendum, and other submissions by the United States Probation Office.</w:t>
      </w:r>
      <w:r>
        <w:rPr>
          <w:rFonts w:ascii="arial" w:eastAsia="arial" w:hAnsi="arial" w:cs="arial"/>
          <w:vertAlign w:val="superscript"/>
        </w:rPr>
        <w:footnoteReference w:customMarkFollows="1" w:id="5"/>
        <w:t xml:space="preserve">3</w:t>
      </w:r>
      <w:r>
        <w:rPr>
          <w:rFonts w:ascii="arial" w:eastAsia="arial" w:hAnsi="arial" w:cs="arial"/>
          <w:b w:val="0"/>
          <w:i w:val="0"/>
          <w:strike w:val="0"/>
          <w:noProof w:val="0"/>
          <w:color w:val="000000"/>
          <w:position w:val="0"/>
          <w:sz w:val="20"/>
          <w:u w:val="none"/>
          <w:vertAlign w:val="baseline"/>
        </w:rPr>
        <w:t xml:space="preserve"> Therefore, a preponderance of the evidence supports that she violated the condition of her supervised release that she refrain from</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breaking federal law.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22" w:history="1">
        <w:r>
          <w:rPr>
            <w:rFonts w:ascii="arial" w:eastAsia="arial" w:hAnsi="arial" w:cs="arial"/>
            <w:b w:val="0"/>
            <w:i/>
            <w:strike w:val="0"/>
            <w:noProof w:val="0"/>
            <w:color w:val="0077CC"/>
            <w:position w:val="0"/>
            <w:sz w:val="20"/>
            <w:u w:val="single"/>
            <w:vertAlign w:val="baseline"/>
          </w:rPr>
          <w:t>18 U.S.C. § 3583(e)(3)</w:t>
        </w:r>
      </w:hyperlink>
      <w:r>
        <w:rPr>
          <w:rFonts w:ascii="arial" w:eastAsia="arial" w:hAnsi="arial" w:cs="arial"/>
          <w:b w:val="0"/>
          <w:i w:val="0"/>
          <w:strike w:val="0"/>
          <w:noProof w:val="0"/>
          <w:color w:val="000000"/>
          <w:position w:val="0"/>
          <w:sz w:val="20"/>
          <w:u w:val="none"/>
          <w:vertAlign w:val="baseline"/>
        </w:rPr>
        <w:t xml:space="preserve">; </w:t>
      </w:r>
      <w:bookmarkStart w:id="50" w:name="Bookmark_I67W3GPM2D6MS90040000400"/>
      <w:bookmarkEnd w:id="50"/>
      <w:hyperlink r:id="rId31" w:history="1">
        <w:r>
          <w:rPr>
            <w:rFonts w:ascii="arial" w:eastAsia="arial" w:hAnsi="arial" w:cs="arial"/>
            <w:b w:val="0"/>
            <w:i/>
            <w:strike w:val="0"/>
            <w:noProof w:val="0"/>
            <w:color w:val="0077CC"/>
            <w:position w:val="0"/>
            <w:sz w:val="20"/>
            <w:u w:val="single"/>
            <w:vertAlign w:val="baseline"/>
          </w:rPr>
          <w:t>Carter</w:t>
        </w:r>
      </w:hyperlink>
      <w:hyperlink r:id="rId31" w:history="1">
        <w:r>
          <w:rPr>
            <w:rFonts w:ascii="arial" w:eastAsia="arial" w:hAnsi="arial" w:cs="arial"/>
            <w:b w:val="0"/>
            <w:i/>
            <w:strike w:val="0"/>
            <w:noProof w:val="0"/>
            <w:color w:val="0077CC"/>
            <w:position w:val="0"/>
            <w:sz w:val="20"/>
            <w:u w:val="single"/>
            <w:vertAlign w:val="baseline"/>
          </w:rPr>
          <w:t>, 730 F.3d at 190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1" w:name="Bookmark_para_12"/>
      <w:bookmarkEnd w:id="51"/>
      <w:r>
        <w:rPr>
          <w:rFonts w:ascii="arial" w:eastAsia="arial" w:hAnsi="arial" w:cs="arial"/>
          <w:b w:val="0"/>
          <w:i w:val="0"/>
          <w:strike w:val="0"/>
          <w:noProof w:val="0"/>
          <w:color w:val="000000"/>
          <w:position w:val="0"/>
          <w:sz w:val="20"/>
          <w:u w:val="none"/>
          <w:vertAlign w:val="baseline"/>
        </w:rPr>
        <w:t>* * *</w:t>
      </w:r>
    </w:p>
    <w:p>
      <w:pPr>
        <w:keepNext w:val="0"/>
        <w:spacing w:before="200" w:after="0" w:line="260" w:lineRule="atLeast"/>
        <w:ind w:left="0" w:right="0" w:firstLine="0"/>
        <w:jc w:val="both"/>
      </w:pPr>
      <w:bookmarkStart w:id="52" w:name="Bookmark_para_13"/>
      <w:bookmarkEnd w:id="52"/>
      <w:r>
        <w:rPr>
          <w:rFonts w:ascii="arial" w:eastAsia="arial" w:hAnsi="arial" w:cs="arial"/>
          <w:b w:val="0"/>
          <w:i w:val="0"/>
          <w:strike w:val="0"/>
          <w:noProof w:val="0"/>
          <w:color w:val="000000"/>
          <w:position w:val="0"/>
          <w:sz w:val="20"/>
          <w:u w:val="none"/>
          <w:vertAlign w:val="baseline"/>
        </w:rPr>
        <w:t>We will affirm the decision of the District Court.</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3" w:name="Bookmark_fnpara_1"/>
      <w:bookmarkEnd w:id="23"/>
      <w:r>
        <w:rPr>
          <w:rFonts w:ascii="arial" w:eastAsia="arial" w:hAnsi="arial" w:cs="arial"/>
          <w:b w:val="0"/>
          <w:i w:val="0"/>
          <w:strike w:val="0"/>
          <w:noProof w:val="0"/>
          <w:color w:val="000000"/>
          <w:position w:val="0"/>
          <w:sz w:val="18"/>
          <w:u w:val="none"/>
          <w:vertAlign w:val="baseline"/>
        </w:rPr>
        <w:t>This disposition is not an opinion of the full Court and pursuant to I.O.P. 5.7 does not constitute binding precedent.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9" w:name="Bookmark_fnpara_2"/>
      <w:bookmarkEnd w:id="29"/>
      <w:r>
        <w:rPr>
          <w:rFonts w:ascii="arial" w:eastAsia="arial" w:hAnsi="arial" w:cs="arial"/>
          <w:b w:val="0"/>
          <w:i w:val="0"/>
          <w:strike w:val="0"/>
          <w:noProof w:val="0"/>
          <w:color w:val="000000"/>
          <w:position w:val="0"/>
          <w:sz w:val="18"/>
          <w:u w:val="none"/>
          <w:vertAlign w:val="baseline"/>
        </w:rPr>
        <w:t xml:space="preserve">All references to the United States Sentencing Commission Guidelines Manual are to the version effective November 1, 2018, the version in effect for Forsythe's sentencing hearing.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w:t>
      </w:r>
      <w:hyperlink r:id="rId1" w:history="1">
        <w:r>
          <w:rPr>
            <w:rFonts w:ascii="arial" w:eastAsia="arial" w:hAnsi="arial" w:cs="arial"/>
            <w:b w:val="0"/>
            <w:i/>
            <w:strike w:val="0"/>
            <w:noProof w:val="0"/>
            <w:color w:val="0077CC"/>
            <w:position w:val="0"/>
            <w:sz w:val="18"/>
            <w:u w:val="single"/>
            <w:vertAlign w:val="baseline"/>
          </w:rPr>
          <w:t>U.S.S.G. § 1B1.11(a)</w:t>
        </w:r>
      </w:hyperlink>
      <w:r>
        <w:rPr>
          <w:rFonts w:ascii="arial" w:eastAsia="arial" w:hAnsi="arial" w:cs="arial"/>
          <w:b w:val="0"/>
          <w:i w:val="0"/>
          <w:strike w:val="0"/>
          <w:noProof w:val="0"/>
          <w:color w:val="000000"/>
          <w:position w:val="0"/>
          <w:sz w:val="18"/>
          <w:u w:val="none"/>
          <w:vertAlign w:val="baseline"/>
        </w:rPr>
        <w:t>.</w:t>
      </w:r>
    </w:p>
  </w:footnote>
  <w:footnote w:id="4">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4" w:name="Bookmark_fnpara_3"/>
      <w:bookmarkEnd w:id="34"/>
      <w:r>
        <w:rPr>
          <w:rFonts w:ascii="arial" w:eastAsia="arial" w:hAnsi="arial" w:cs="arial"/>
          <w:b w:val="0"/>
          <w:i w:val="0"/>
          <w:strike w:val="0"/>
          <w:noProof w:val="0"/>
          <w:color w:val="000000"/>
          <w:position w:val="0"/>
          <w:sz w:val="18"/>
          <w:u w:val="none"/>
          <w:vertAlign w:val="baseline"/>
        </w:rPr>
        <w:t xml:space="preserve">The District Court had jurisdiction pursuant to </w:t>
      </w:r>
      <w:hyperlink r:id="rId2" w:history="1">
        <w:r>
          <w:rPr>
            <w:rFonts w:ascii="arial" w:eastAsia="arial" w:hAnsi="arial" w:cs="arial"/>
            <w:b w:val="0"/>
            <w:i/>
            <w:strike w:val="0"/>
            <w:noProof w:val="0"/>
            <w:color w:val="0077CC"/>
            <w:position w:val="0"/>
            <w:sz w:val="18"/>
            <w:u w:val="single"/>
            <w:vertAlign w:val="baseline"/>
          </w:rPr>
          <w:t>18 U.S.C. §§ 3231</w:t>
        </w:r>
      </w:hyperlink>
      <w:r>
        <w:rPr>
          <w:rFonts w:ascii="arial" w:eastAsia="arial" w:hAnsi="arial" w:cs="arial"/>
          <w:b w:val="0"/>
          <w:i w:val="0"/>
          <w:strike w:val="0"/>
          <w:noProof w:val="0"/>
          <w:color w:val="000000"/>
          <w:position w:val="0"/>
          <w:sz w:val="18"/>
          <w:u w:val="none"/>
          <w:vertAlign w:val="baseline"/>
        </w:rPr>
        <w:t xml:space="preserve"> and </w:t>
      </w:r>
      <w:hyperlink r:id="rId3" w:history="1">
        <w:r>
          <w:rPr>
            <w:rFonts w:ascii="arial" w:eastAsia="arial" w:hAnsi="arial" w:cs="arial"/>
            <w:b w:val="0"/>
            <w:i/>
            <w:strike w:val="0"/>
            <w:noProof w:val="0"/>
            <w:color w:val="0077CC"/>
            <w:position w:val="0"/>
            <w:sz w:val="18"/>
            <w:u w:val="single"/>
            <w:vertAlign w:val="baseline"/>
          </w:rPr>
          <w:t>3583(e)</w:t>
        </w:r>
      </w:hyperlink>
      <w:r>
        <w:rPr>
          <w:rFonts w:ascii="arial" w:eastAsia="arial" w:hAnsi="arial" w:cs="arial"/>
          <w:b w:val="0"/>
          <w:i w:val="0"/>
          <w:strike w:val="0"/>
          <w:noProof w:val="0"/>
          <w:color w:val="000000"/>
          <w:position w:val="0"/>
          <w:sz w:val="18"/>
          <w:u w:val="none"/>
          <w:vertAlign w:val="baseline"/>
        </w:rPr>
        <w:t xml:space="preserve">. We have jurisdiction under </w:t>
      </w:r>
      <w:hyperlink r:id="rId4" w:history="1">
        <w:r>
          <w:rPr>
            <w:rFonts w:ascii="arial" w:eastAsia="arial" w:hAnsi="arial" w:cs="arial"/>
            <w:b w:val="0"/>
            <w:i/>
            <w:strike w:val="0"/>
            <w:noProof w:val="0"/>
            <w:color w:val="0077CC"/>
            <w:position w:val="0"/>
            <w:sz w:val="18"/>
            <w:u w:val="single"/>
            <w:vertAlign w:val="baseline"/>
          </w:rPr>
          <w:t>28 U.S.C. § 1291</w:t>
        </w:r>
      </w:hyperlink>
      <w:r>
        <w:rPr>
          <w:rFonts w:ascii="arial" w:eastAsia="arial" w:hAnsi="arial" w:cs="arial"/>
          <w:b w:val="0"/>
          <w:i w:val="0"/>
          <w:strike w:val="0"/>
          <w:noProof w:val="0"/>
          <w:color w:val="000000"/>
          <w:position w:val="0"/>
          <w:sz w:val="18"/>
          <w:u w:val="none"/>
          <w:vertAlign w:val="baseline"/>
        </w:rPr>
        <w:t xml:space="preserve"> and </w:t>
      </w:r>
      <w:hyperlink r:id="rId5" w:history="1">
        <w:r>
          <w:rPr>
            <w:rFonts w:ascii="arial" w:eastAsia="arial" w:hAnsi="arial" w:cs="arial"/>
            <w:b w:val="0"/>
            <w:i/>
            <w:strike w:val="0"/>
            <w:noProof w:val="0"/>
            <w:color w:val="0077CC"/>
            <w:position w:val="0"/>
            <w:sz w:val="18"/>
            <w:u w:val="single"/>
            <w:vertAlign w:val="baseline"/>
          </w:rPr>
          <w:t>18 U.S.C. § 3742(a)</w:t>
        </w:r>
      </w:hyperlink>
      <w:r>
        <w:rPr>
          <w:rFonts w:ascii="arial" w:eastAsia="arial" w:hAnsi="arial" w:cs="arial"/>
          <w:b w:val="0"/>
          <w:i w:val="0"/>
          <w:strike w:val="0"/>
          <w:noProof w:val="0"/>
          <w:color w:val="000000"/>
          <w:position w:val="0"/>
          <w:sz w:val="18"/>
          <w:u w:val="none"/>
          <w:vertAlign w:val="baseline"/>
        </w:rPr>
        <w:t>.</w:t>
      </w:r>
    </w:p>
  </w:footnote>
  <w:footnote w:id="5">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9" w:name="Bookmark_fnpara_4"/>
      <w:bookmarkEnd w:id="49"/>
      <w:r>
        <w:rPr>
          <w:rFonts w:ascii="arial" w:eastAsia="arial" w:hAnsi="arial" w:cs="arial"/>
          <w:b w:val="0"/>
          <w:i w:val="0"/>
          <w:strike w:val="0"/>
          <w:noProof w:val="0"/>
          <w:color w:val="000000"/>
          <w:position w:val="0"/>
          <w:sz w:val="18"/>
          <w:u w:val="none"/>
          <w:vertAlign w:val="baseline"/>
        </w:rPr>
        <w:t xml:space="preserve">The Government's unopposed motion to file a supplemental appendix under seal and to supplement the record is granted. </w:t>
      </w:r>
      <w:r>
        <w:rPr>
          <w:rFonts w:ascii="arial" w:eastAsia="arial" w:hAnsi="arial" w:cs="arial"/>
          <w:b w:val="0"/>
          <w:i/>
          <w:strike w:val="0"/>
          <w:noProof w:val="0"/>
          <w:color w:val="000000"/>
          <w:position w:val="0"/>
          <w:sz w:val="18"/>
          <w:u w:val="none"/>
          <w:vertAlign w:val="baseline"/>
        </w:rPr>
        <w:t>See</w:t>
      </w:r>
      <w:r>
        <w:rPr>
          <w:rFonts w:ascii="arial" w:eastAsia="arial" w:hAnsi="arial" w:cs="arial"/>
          <w:b w:val="0"/>
          <w:i w:val="0"/>
          <w:strike w:val="0"/>
          <w:noProof w:val="0"/>
          <w:color w:val="000000"/>
          <w:position w:val="0"/>
          <w:sz w:val="18"/>
          <w:u w:val="none"/>
          <w:vertAlign w:val="baseline"/>
        </w:rPr>
        <w:t xml:space="preserve"> 3d Cir. L.A.R. 30.3(b) &amp; (c); 3d Cir. L.A.R. Misc. 106.1(c)(1).</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Forsythe, 2023 U.S. App. LEXIS 6691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JCC-VPR1-F04F-42SH-00000-00&amp;context=1519360" TargetMode="External" /><Relationship Id="rId11" Type="http://schemas.openxmlformats.org/officeDocument/2006/relationships/hyperlink" Target="https://advance.lexis.com/api/document?collection=cases&amp;id=urn:contentItem:67TW-XRW1-JG59-254D-00000-00&amp;context=1519360&amp;link=LNHNREFclscc1" TargetMode="External" /><Relationship Id="rId12" Type="http://schemas.openxmlformats.org/officeDocument/2006/relationships/image" Target="media/image2.png" /><Relationship Id="rId13" Type="http://schemas.openxmlformats.org/officeDocument/2006/relationships/hyperlink" Target="https://advance.lexis.com/api/document?collection=statutes-legislation&amp;id=urn:contentItem:8SGR-CKX2-D6RV-H0Y1-00000-00&amp;context=1519360" TargetMode="External" /><Relationship Id="rId14" Type="http://schemas.openxmlformats.org/officeDocument/2006/relationships/hyperlink" Target="https://advance.lexis.com/api/document?collection=cases&amp;id=urn:contentItem:67TW-XRW1-JG59-254D-00000-00&amp;context=1519360&amp;link=LNHNREFclscc2" TargetMode="External" /><Relationship Id="rId15" Type="http://schemas.openxmlformats.org/officeDocument/2006/relationships/hyperlink" Target="https://advance.lexis.com/api/document?collection=cases&amp;id=urn:contentItem:67TW-XRW1-JG59-254D-00000-00&amp;context=1519360&amp;link=LNHNREFclscc3" TargetMode="External" /><Relationship Id="rId16" Type="http://schemas.openxmlformats.org/officeDocument/2006/relationships/hyperlink" Target="https://advance.lexis.com/api/document?collection=statutes-legislation&amp;id=urn:contentItem:69KS-8XG3-RRMY-D05D-00000-00&amp;context=1519360" TargetMode="External" /><Relationship Id="rId17" Type="http://schemas.openxmlformats.org/officeDocument/2006/relationships/hyperlink" Target="https://advance.lexis.com/api/document?collection=cases&amp;id=urn:contentItem:67TW-XRW1-JG59-254D-00000-00&amp;context=1519360&amp;link=LNHNREFclscc4" TargetMode="External" /><Relationship Id="rId18" Type="http://schemas.openxmlformats.org/officeDocument/2006/relationships/hyperlink" Target="https://advance.lexis.com/api/document?collection=cases&amp;id=urn:contentItem:67TW-XRW1-JG59-254D-00000-00&amp;context=1519360&amp;link=LNHNREFclscc5" TargetMode="External" /><Relationship Id="rId19" Type="http://schemas.openxmlformats.org/officeDocument/2006/relationships/hyperlink" Target="https://advance.lexis.com/api/document?collection=statutes-legislation&amp;id=urn:contentItem:8SDD-0C82-8T6X-73J2-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statutes-legislation&amp;id=urn:contentItem:8SG9-5042-D6RV-H04N-00000-00&amp;context=1519360" TargetMode="External" /><Relationship Id="rId21" Type="http://schemas.openxmlformats.org/officeDocument/2006/relationships/hyperlink" Target="https://advance.lexis.com/api/document?collection=statutes-legislation&amp;id=urn:contentItem:8SG9-5042-D6RV-H0CH-00000-00&amp;context=1519360" TargetMode="External" /><Relationship Id="rId22" Type="http://schemas.openxmlformats.org/officeDocument/2006/relationships/hyperlink" Target="https://advance.lexis.com/api/document?collection=statutes-legislation&amp;id=urn:contentItem:680B-0W43-CGX8-055J-00000-00&amp;context=1519360" TargetMode="External" /><Relationship Id="rId23" Type="http://schemas.openxmlformats.org/officeDocument/2006/relationships/hyperlink" Target="https://advance.lexis.com/api/document?collection=cases&amp;id=urn:contentItem:67TW-XRW1-JG59-254D-00000-00&amp;context=1519360&amp;link=clscc1" TargetMode="External" /><Relationship Id="rId24" Type="http://schemas.openxmlformats.org/officeDocument/2006/relationships/image" Target="media/image3.png" /><Relationship Id="rId25" Type="http://schemas.openxmlformats.org/officeDocument/2006/relationships/hyperlink" Target="https://advance.lexis.com/api/document?collection=cases&amp;id=urn:contentItem:67TW-XRW1-JG59-254D-00000-00&amp;context=1519360&amp;link=clscc2" TargetMode="External" /><Relationship Id="rId26" Type="http://schemas.openxmlformats.org/officeDocument/2006/relationships/hyperlink" Target="https://advance.lexis.com/api/document?collection=cases&amp;id=urn:contentItem:4VPB-TM90-TXFX-51YX-00000-00&amp;context=1519360" TargetMode="External" /><Relationship Id="rId27" Type="http://schemas.openxmlformats.org/officeDocument/2006/relationships/hyperlink" Target="https://advance.lexis.com/api/document?collection=cases&amp;id=urn:contentItem:4W3B-XGV0-TXFX-526W-00000-00&amp;context=1519360" TargetMode="External" /><Relationship Id="rId28" Type="http://schemas.openxmlformats.org/officeDocument/2006/relationships/hyperlink" Target="https://advance.lexis.com/api/document?collection=cases&amp;id=urn:contentItem:67TW-XRW1-JG59-254D-00000-00&amp;context=1519360&amp;link=clscc3" TargetMode="External" /><Relationship Id="rId29" Type="http://schemas.openxmlformats.org/officeDocument/2006/relationships/hyperlink" Target="https://advance.lexis.com/api/document?collection=cases&amp;id=urn:contentItem:641P-90V1-FD4T-B4XV-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67TW-XRW1-JG59-254D-00000-00&amp;context=1519360&amp;link=clscc4" TargetMode="External" /><Relationship Id="rId31" Type="http://schemas.openxmlformats.org/officeDocument/2006/relationships/hyperlink" Target="https://advance.lexis.com/api/document?collection=cases&amp;id=urn:contentItem:59BM-VT41-F04K-K074-00000-00&amp;context=1519360" TargetMode="External" /><Relationship Id="rId32" Type="http://schemas.openxmlformats.org/officeDocument/2006/relationships/hyperlink" Target="https://advance.lexis.com/api/document?collection=cases&amp;id=urn:contentItem:67TW-XRW1-JG59-254D-00000-00&amp;context=1519360&amp;link=clscc5"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7TW-XRW1-JG59-254D-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statutes-legislation&amp;id=urn:contentItem:69KR-TKT3-RRMY-7072-00000-00&amp;context=1519360" TargetMode="External" /><Relationship Id="rId2" Type="http://schemas.openxmlformats.org/officeDocument/2006/relationships/hyperlink" Target="https://advance.lexis.com/api/document?collection=statutes-legislation&amp;id=urn:contentItem:8SG9-5042-D6RV-H166-00000-00&amp;context=1519360" TargetMode="External" /><Relationship Id="rId3" Type="http://schemas.openxmlformats.org/officeDocument/2006/relationships/hyperlink" Target="https://advance.lexis.com/api/document?collection=statutes-legislation&amp;id=urn:contentItem:680B-0W43-CGX8-055J-00000-00&amp;context=1519360" TargetMode="External" /><Relationship Id="rId4" Type="http://schemas.openxmlformats.org/officeDocument/2006/relationships/hyperlink" Target="https://advance.lexis.com/api/document?collection=statutes-legislation&amp;id=urn:contentItem:8SG9-5HW2-D6RV-H0FT-00000-00&amp;context=1519360" TargetMode="External" /><Relationship Id="rId5" Type="http://schemas.openxmlformats.org/officeDocument/2006/relationships/hyperlink" Target="https://advance.lexis.com/api/document?collection=statutes-legislation&amp;id=urn:contentItem:8SG9-5042-D6RV-H1H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Forsythe, 2023 U.S. App. LEXIS 6691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73</vt:lpwstr>
  </property>
  <property fmtid="{D5CDD505-2E9C-101B-9397-08002B2CF9AE}" pid="3" name="LADocCount">
    <vt:lpwstr>1</vt:lpwstr>
  </property>
  <property fmtid="{D5CDD505-2E9C-101B-9397-08002B2CF9AE}" pid="4" name="LADocumentID:73">
    <vt:lpwstr>Doc::urn:hlct:5|contextualFeaturePermID::1519360</vt:lpwstr>
  </property>
  <property fmtid="{D5CDD505-2E9C-101B-9397-08002B2CF9AE}" pid="5" name="UserPermID">
    <vt:lpwstr>urn:user:PA186186283</vt:lpwstr>
  </property>
</Properties>
</file>