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Evo Brands, LLC v. Al Khalifa Grp.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2023, Decided; August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2:22-cv-03909-AB-MAR</w:t>
      </w:r>
    </w:p>
    <w:p>
      <w:pPr>
        <w:keepNext w:val="0"/>
        <w:spacing w:after="0" w:line="240" w:lineRule="atLeast"/>
        <w:ind w:right="0"/>
        <w:jc w:val="both"/>
      </w:pPr>
      <w:bookmarkStart w:id="0" w:name="Bookmark_5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151753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EVO Brands, LLC, a Delaware limited liability company; and PVG2, LLC, a Delaware limited liability company, Plaintiffs, v. Al Khalifa Group LLC, California Limited Liability Company; Overseek Investments, LLC, a California Limited Liability Corporation; Xtra Ecig LLC, a California Limited Liability Corporation; Mohammad Khalifa, an individual; Abbas Khalifa, an individual; and Omar Fdawi, an individual,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trademark, judicial notice, products, Marks, registration, USPTO, ownership, motion to dismiss, website, cloud, pleading stage, registered, assigned, amended complaint, infringement, allegations, documents, leave to amend, anti-trafficking, contents, records, notice, failure to state a claim, prior use, recitation, nicotine, ongoing, Reply, brand, https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Al Khalifa Group LLC, California Limited Liability Company, Mohammad Khalifa, an individual, Overseek Investments LLC, a California Limited Liability Corporation, Xtra Ecig LLC, a California Limited Liability Corporation, Defendants: Gary P Simonian, Milord and Associates PC, Los Angeles, CA; Kirstin Anna Jensvold-Rumage, Milord Law Group, Los Angeles, CA; Milord A Keshishian, Milord Law Group P.C.,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EVO Brands LLC, a Delaware limited liability company, PVG2 LLC, a Delaware limited liability company, Plaintiffs: Anna M. Stressenger, PRO HAC VICE, Eric N. Heyer, PRO HAC VICE, Joseph A. Smith, PRO HAC VICE, Krupa A. Patel, PRO HAC VICE, Thompson Hine LLP, Washington, DC; Carrie A. Shufflebarger, PRO HAC VICE, Thompson Hine LLP, Cincinnati, OH; Chelsea Ann Bernard, John Allan Conkle, LEAD ATTORNEY, Conkle Kremer and Engel PLC, Santa Monica,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Gallinger Law P.C., ThirdParty Defendant: David Jonathan Rubaum, Wood Smith Henning Berman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Tom Hanrahan, Mediator (ADR Panel): Thomas P Hanrahan, LEAD ATTORNEY, TPHanrahan Dispute Solutions, Manhattan Beach,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ANDRÉ BIROTTE JR.,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ANDRÉ BIROTTE JR.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w:t>
      </w:r>
      <w:r>
        <w:rPr>
          <w:rFonts w:ascii="arial" w:eastAsia="arial" w:hAnsi="arial" w:cs="arial"/>
          <w:b/>
          <w:i w:val="0"/>
          <w:strike w:val="0"/>
          <w:noProof w:val="0"/>
          <w:color w:val="000000"/>
          <w:position w:val="0"/>
          <w:sz w:val="20"/>
          <w:u w:val="none"/>
          <w:vertAlign w:val="baseline"/>
        </w:rPr>
        <w:t> [*2] </w:t>
      </w:r>
      <w:r>
        <w:rPr>
          <w:rFonts w:ascii="arial" w:eastAsia="arial" w:hAnsi="arial" w:cs="arial"/>
          <w:b/>
          <w:i w:val="0"/>
          <w:strike w:val="0"/>
          <w:noProof w:val="0"/>
          <w:color w:val="000000"/>
          <w:position w:val="0"/>
          <w:sz w:val="20"/>
          <w:u w:val="none"/>
          <w:vertAlign w:val="baseline"/>
        </w:rPr>
        <w:t xml:space="preserve"> DEFENDANT'S MOTION TO DISMISS FOR FAILURE TO STATE A CLAIM</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Pending before the Court is Defendants Al Khalifa Group LLC, Overseek Investments, LLC, Xtra Ecig LLG, and Mohammad Khalifa's Motion to Dismiss Plaintiffs EVO Brands, LLC and PVG2, LLC's Second Amended Complaint for failure to state a claim, filed on March 30, 2023. ("Mot." or "Motion," Dkt. No. 45.) Plaintiffs filed an opposition ("Oppn." or "Opposition" Dkt. No. 57) and Defendants filed a reply ("Reply," Dkt. No. 59). Defendants filed a set of requests for judicial notice with the motion. ("RFJN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Dkt. No. 45-1).</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Having considered the materials and arguments submitted, and for the reasons discussed below, the Court </w:t>
      </w:r>
      <w:r>
        <w:rPr>
          <w:rFonts w:ascii="arial" w:eastAsia="arial" w:hAnsi="arial" w:cs="arial"/>
          <w:b/>
          <w:i w:val="0"/>
          <w:strike w:val="0"/>
          <w:noProof w:val="0"/>
          <w:color w:val="000000"/>
          <w:position w:val="0"/>
          <w:sz w:val="20"/>
          <w:u w:val="single"/>
          <w:vertAlign w:val="baseline"/>
        </w:rPr>
        <w:t>DENIES</w:t>
      </w:r>
      <w:r>
        <w:rPr>
          <w:rFonts w:ascii="arial" w:eastAsia="arial" w:hAnsi="arial" w:cs="arial"/>
          <w:b w:val="0"/>
          <w:i w:val="0"/>
          <w:strike w:val="0"/>
          <w:noProof w:val="0"/>
          <w:color w:val="000000"/>
          <w:position w:val="0"/>
          <w:sz w:val="20"/>
          <w:u w:val="none"/>
          <w:vertAlign w:val="baseline"/>
        </w:rPr>
        <w:t xml:space="preserve"> Defendant's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Plaintiffs filed this action on June 8, 2022. ("Complaint," Dkt. No. 1.) Defendants filed a motion to dismiss on August 26, 2022. (Dkt. No. 21). Before the motion to dismiss was ruled on, Plaintiffs filed an amended complaint on September 9, 2022. ("First Amended Complaint" or "FAC," Dkt. No. 25). Defendants moved to dismiss the First Amended Complaint (Mot., Dkt. No. 27) and the FAC was dismissed with leave to amend (Dkt. No. 43).</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Plaintiffs filed a second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amended complaint on March 16, 2023. ("Second Amended Complaint" or "SAC," Dkt. No. 44.) Defendants filed the instant Motion on March 30, 2023. (Mot.) Plaintiffs filed the Opposition on April 20, 2023 (Opp'n) and Defendants filed the Reply on May 2, 2023 (Reply).</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Plaintiffs and Defendants are in the business of selling electronic cigarette products containing nicotine, as well as other accessories to be used alongside electronic cigarettes (collectively, "Vape Products"). (SAC ¶¶ 13-14, 21-22). Plaintiffs' current products are either nicotine-free or use synthetic nicotine, which is created without the use of tobacco ("Synthetic Nicotine"), as opposed to tobacco-based nicotine ("Tobacco-Based Nicotine"). (SAC ¶¶ 13, 21-22.)</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Plaintiffs allege ownership of a family of marks incorporating the term "PUFF," as well as a distinctive cloud design ("The Marks"), under which Plaintiffs sell Vape Products. (SAC ¶¶ 16-20, 23-25). These marks include "PUFF BAR," "PUFF PLUS," "PUFF ULTRA," "PUFF FLOW," and "PUFF MAX."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marks are usually stylized with the word "PUFF" appearing in the middle of the cloud design, with a line under it, below which the secondary word appears.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Plaintiffs allege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they acquired the PUFF brand on January 21, 2021 and have used the Marks in connection with their Vape Products since that time. (SAC ¶ 15.)</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Plaintiffs also allege ownership of U.S. Trademark Registration No. 6907497 for the PUFF PLUS mark in the cloud design, and claim a priority date of February 19, 2021 for that mark. (SAC ¶ 16.) The registration for the PUFF PLUS mark was issued by the USPTO on November 22, 2022. (RFJN, Ex. 2.) Plaintiffs were assigned the intent-to-use ("ITU") application for the PUFF PLUS mark by DS Technology Licensing, Inc. ("DS Tech") on January 21, 2021 (Dkt. No. 27-1, Ex. 7</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DS Tech, in turn, was assigned the ITU application by Cool Clouds Distribution, Inc. ("Cool Clouds") on April 23, 2020. (RFJN Ex. 3.) Both conveyances recite that they assign the entire interest and goodwill of the business.</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Plaintiffs allege that Defendants began using confusingly similar marks around mid-to-late 2021. (FAC ¶ 28-34.) Defendants have historically sold Vape Products under the stylized trademark "XTRA." (FAC ¶ 27.) Around mid-to-late 2021, Defendants switched branding on their products to say "Puff Xtra" in a manner where the word "Puff" was significantly larger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more dominant than the word "Xtra." (SAC ¶ 28.) Plaintiffs provide a number of examples of the allegedly infringing products. (SAC ¶¶ 26-30.) On March 10, 2022, Defendant Overseek filed U.S. Trademark Application No. 97306475 to register a mark for PUFF XTRA, stylized in a cloud shape with the word "PUFF" significantly larger than the word "XTRA" (the "475 Application"), which is currently suspended. (SAC ¶ 31-33.)</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Plaintiffs allege that Defendant's use of the allegedly infringing marks is causing actual consumer confusion, with harm to the value of Plaintiffs' trademarks as a result. (SAC ¶¶ 34-36). In particular, a number of retail smoke shops have expressed to Plaintiffs the erroneous belief that the PUFF XTRA products are associated with Plaintiffs.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Plaintiffs' federal claims consist of (1) trademark infringement under </w:t>
      </w:r>
      <w:hyperlink r:id="rId10" w:history="1">
        <w:r>
          <w:rPr>
            <w:rFonts w:ascii="arial" w:eastAsia="arial" w:hAnsi="arial" w:cs="arial"/>
            <w:b w:val="0"/>
            <w:i/>
            <w:strike w:val="0"/>
            <w:noProof w:val="0"/>
            <w:color w:val="0077CC"/>
            <w:position w:val="0"/>
            <w:sz w:val="20"/>
            <w:u w:val="single"/>
            <w:vertAlign w:val="baseline"/>
          </w:rPr>
          <w:t>15 U.S.C. §1114(1)</w:t>
        </w:r>
      </w:hyperlink>
      <w:r>
        <w:rPr>
          <w:rFonts w:ascii="arial" w:eastAsia="arial" w:hAnsi="arial" w:cs="arial"/>
          <w:b w:val="0"/>
          <w:i w:val="0"/>
          <w:strike w:val="0"/>
          <w:noProof w:val="0"/>
          <w:color w:val="000000"/>
          <w:position w:val="0"/>
          <w:sz w:val="20"/>
          <w:u w:val="none"/>
          <w:vertAlign w:val="baseline"/>
        </w:rPr>
        <w:t xml:space="preserve"> ("Count 1") (SAC ¶¶ 50-54) and (2) trademark infringement, unfair competition, and false designation of origin in violation of </w:t>
      </w:r>
      <w:hyperlink r:id="rId11" w:history="1">
        <w:r>
          <w:rPr>
            <w:rFonts w:ascii="arial" w:eastAsia="arial" w:hAnsi="arial" w:cs="arial"/>
            <w:b w:val="0"/>
            <w:i/>
            <w:strike w:val="0"/>
            <w:noProof w:val="0"/>
            <w:color w:val="0077CC"/>
            <w:position w:val="0"/>
            <w:sz w:val="20"/>
            <w:u w:val="single"/>
            <w:vertAlign w:val="baseline"/>
          </w:rPr>
          <w:t>15 U.S.C. § 1125(a)(1)(A)</w:t>
        </w:r>
      </w:hyperlink>
      <w:r>
        <w:rPr>
          <w:rFonts w:ascii="arial" w:eastAsia="arial" w:hAnsi="arial" w:cs="arial"/>
          <w:b w:val="0"/>
          <w:i w:val="0"/>
          <w:strike w:val="0"/>
          <w:noProof w:val="0"/>
          <w:color w:val="000000"/>
          <w:position w:val="0"/>
          <w:sz w:val="20"/>
          <w:u w:val="none"/>
          <w:vertAlign w:val="baseline"/>
        </w:rPr>
        <w:t xml:space="preserve">) ("Count 2") (SAC ¶¶ 55-59). Plaintiffs' state law claims consist of violation of the </w:t>
      </w:r>
      <w:hyperlink r:id="rId12" w:history="1">
        <w:r>
          <w:rPr>
            <w:rFonts w:ascii="arial" w:eastAsia="arial" w:hAnsi="arial" w:cs="arial"/>
            <w:b w:val="0"/>
            <w:i/>
            <w:strike w:val="0"/>
            <w:noProof w:val="0"/>
            <w:color w:val="0077CC"/>
            <w:position w:val="0"/>
            <w:sz w:val="20"/>
            <w:u w:val="single"/>
            <w:vertAlign w:val="baseline"/>
          </w:rPr>
          <w:t>California Unfair Practices Act, Cal. Bus. &amp; Prof. Code §§ 17200, et seq</w:t>
        </w:r>
      </w:hyperlink>
      <w:r>
        <w:rPr>
          <w:rFonts w:ascii="arial" w:eastAsia="arial" w:hAnsi="arial" w:cs="arial"/>
          <w:b w:val="0"/>
          <w:i w:val="0"/>
          <w:strike w:val="0"/>
          <w:noProof w:val="0"/>
          <w:color w:val="000000"/>
          <w:position w:val="0"/>
          <w:sz w:val="20"/>
          <w:u w:val="none"/>
          <w:vertAlign w:val="baseline"/>
        </w:rPr>
        <w:t xml:space="preserve"> ("Count 3"). (SAC ¶¶ 60-64.)</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The FAC was dismissed on the narrow grounds that Plaintiffs had not adequately pled a priority date. (Dkt. No. 43 at 14.)</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Court granted leave to amend because Plaintiffs had identified several dates of use, and it was therefore clearly possible that Plaintiffs could identify their date of first use.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In ruling on the motion to dismiss the FAC, Court rejected Defendants' arguments that Plaintiffs could not show legal use because those arguments hinged on documents which could not be judicially noticed for the truth of their contents at the pleading stage.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21" w:name="Bookmark_para_13"/>
      <w:bookmarkEnd w:id="21"/>
      <w:hyperlink r:id="rId13" w:history="1">
        <w:r>
          <w:rPr>
            <w:rFonts w:ascii="arial" w:eastAsia="arial" w:hAnsi="arial" w:cs="arial"/>
            <w:b w:val="0"/>
            <w:i/>
            <w:strike w:val="0"/>
            <w:color w:val="0077CC"/>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requires a plaintiff to present a "short and plain statement of the claim showing that the pleader is entitled to relief." </w:t>
      </w:r>
      <w:hyperlink r:id="rId13"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 defendant may move to dismiss a pleading for "failure to state a claim upon which relief can be granted."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 xml:space="preserve">To defeat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the complaint must provide enough factual detail to "give the defendant fair notice of what the . . . claim is and the grounds upon which it rests." </w:t>
      </w:r>
      <w:hyperlink r:id="rId14" w:history="1">
        <w:r>
          <w:rPr>
            <w:rFonts w:ascii="arial" w:eastAsia="arial" w:hAnsi="arial" w:cs="arial"/>
            <w:b w:val="0"/>
            <w:i/>
            <w:strike w:val="0"/>
            <w:noProof w:val="0"/>
            <w:color w:val="0077CC"/>
            <w:position w:val="0"/>
            <w:sz w:val="20"/>
            <w:u w:val="single"/>
            <w:vertAlign w:val="baseline"/>
          </w:rPr>
          <w:t>Bell Atl. Corp. v. Twombly</w:t>
        </w:r>
      </w:hyperlink>
      <w:hyperlink r:id="rId14"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The complaint must also be "plausible on its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is, it "must contain sufficient factual matter, accepted as true, to 'state a claim to relief that is plausible on its face.'" </w:t>
      </w:r>
      <w:hyperlink r:id="rId15" w:history="1">
        <w:r>
          <w:rPr>
            <w:rFonts w:ascii="arial" w:eastAsia="arial" w:hAnsi="arial" w:cs="arial"/>
            <w:b w:val="0"/>
            <w:i/>
            <w:strike w:val="0"/>
            <w:noProof w:val="0"/>
            <w:color w:val="0077CC"/>
            <w:position w:val="0"/>
            <w:sz w:val="20"/>
            <w:u w:val="single"/>
            <w:vertAlign w:val="baseline"/>
          </w:rPr>
          <w:t>Ashcroft v. Iqbal</w:t>
        </w:r>
      </w:hyperlink>
      <w:hyperlink r:id="rId15"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Twombly</w:t>
        </w:r>
      </w:hyperlink>
      <w:hyperlink r:id="rId14"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A plaintiff's "factual allegations must be enough to raise a right to relief above the speculative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level." </w:t>
      </w:r>
      <w:hyperlink r:id="rId14" w:history="1">
        <w:r>
          <w:rPr>
            <w:rFonts w:ascii="arial" w:eastAsia="arial" w:hAnsi="arial" w:cs="arial"/>
            <w:b w:val="0"/>
            <w:i/>
            <w:strike w:val="0"/>
            <w:noProof w:val="0"/>
            <w:color w:val="0077CC"/>
            <w:position w:val="0"/>
            <w:sz w:val="20"/>
            <w:u w:val="single"/>
            <w:vertAlign w:val="baseline"/>
          </w:rPr>
          <w:t>Twombly</w:t>
        </w:r>
      </w:hyperlink>
      <w:hyperlink r:id="rId14"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"The plausibility standard is not akin to a 'probability requirement,' but it asks for more than a sheer possibility that a defendant has acted unlawfully."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Labels, conclusions, and "a formulaic recitation of the elements of a cause of action will not do."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 xml:space="preserve">A complaint may be dismissed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for the lack of a cognizable legal theory or the absence of sufficient facts alleged under a cognizable legal theory. </w:t>
      </w:r>
      <w:hyperlink r:id="rId16" w:history="1">
        <w:r>
          <w:rPr>
            <w:rFonts w:ascii="arial" w:eastAsia="arial" w:hAnsi="arial" w:cs="arial"/>
            <w:b w:val="0"/>
            <w:i/>
            <w:strike w:val="0"/>
            <w:noProof w:val="0"/>
            <w:color w:val="0077CC"/>
            <w:position w:val="0"/>
            <w:sz w:val="20"/>
            <w:u w:val="single"/>
            <w:vertAlign w:val="baseline"/>
          </w:rPr>
          <w:t>Balistreri v. Pacifica Police Dep't.</w:t>
        </w:r>
      </w:hyperlink>
      <w:hyperlink r:id="rId16" w:history="1">
        <w:r>
          <w:rPr>
            <w:rFonts w:ascii="arial" w:eastAsia="arial" w:hAnsi="arial" w:cs="arial"/>
            <w:b w:val="0"/>
            <w:i/>
            <w:strike w:val="0"/>
            <w:noProof w:val="0"/>
            <w:color w:val="0077CC"/>
            <w:position w:val="0"/>
            <w:sz w:val="20"/>
            <w:u w:val="single"/>
            <w:vertAlign w:val="baseline"/>
          </w:rPr>
          <w:t>, 901 F.2d 696, 699 (9th Cir. 1988)</w:t>
        </w:r>
      </w:hyperlink>
      <w:r>
        <w:rPr>
          <w:rFonts w:ascii="arial" w:eastAsia="arial" w:hAnsi="arial" w:cs="arial"/>
          <w:b w:val="0"/>
          <w:i w:val="0"/>
          <w:strike w:val="0"/>
          <w:noProof w:val="0"/>
          <w:color w:val="000000"/>
          <w:position w:val="0"/>
          <w:sz w:val="20"/>
          <w:u w:val="none"/>
          <w:vertAlign w:val="baseline"/>
        </w:rPr>
        <w:t xml:space="preserve">. When ruling 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 judge must accept as true all of the factual allegations contained in the complaint." </w:t>
      </w:r>
      <w:hyperlink r:id="rId17" w:history="1">
        <w:r>
          <w:rPr>
            <w:rFonts w:ascii="arial" w:eastAsia="arial" w:hAnsi="arial" w:cs="arial"/>
            <w:b w:val="0"/>
            <w:i/>
            <w:strike w:val="0"/>
            <w:noProof w:val="0"/>
            <w:color w:val="0077CC"/>
            <w:position w:val="0"/>
            <w:sz w:val="20"/>
            <w:u w:val="single"/>
            <w:vertAlign w:val="baseline"/>
          </w:rPr>
          <w:t>Erickson v. Pardus</w:t>
        </w:r>
      </w:hyperlink>
      <w:hyperlink r:id="rId17"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Furthermore, courts must draw "all reasonable inferences in favor of the nonmoving party." </w:t>
      </w:r>
      <w:hyperlink r:id="rId18" w:history="1">
        <w:r>
          <w:rPr>
            <w:rFonts w:ascii="arial" w:eastAsia="arial" w:hAnsi="arial" w:cs="arial"/>
            <w:b w:val="0"/>
            <w:i/>
            <w:strike w:val="0"/>
            <w:noProof w:val="0"/>
            <w:color w:val="0077CC"/>
            <w:position w:val="0"/>
            <w:sz w:val="20"/>
            <w:u w:val="single"/>
            <w:vertAlign w:val="baseline"/>
          </w:rPr>
          <w:t>Gregg v. Hawaii, Dep't of Pub. Safety</w:t>
        </w:r>
      </w:hyperlink>
      <w:hyperlink r:id="rId18" w:history="1">
        <w:r>
          <w:rPr>
            <w:rFonts w:ascii="arial" w:eastAsia="arial" w:hAnsi="arial" w:cs="arial"/>
            <w:b w:val="0"/>
            <w:i/>
            <w:strike w:val="0"/>
            <w:noProof w:val="0"/>
            <w:color w:val="0077CC"/>
            <w:position w:val="0"/>
            <w:sz w:val="20"/>
            <w:u w:val="single"/>
            <w:vertAlign w:val="baseline"/>
          </w:rPr>
          <w:t>, 870 F.3d 883, 886 (9th Cir. 2017)</w:t>
        </w:r>
      </w:hyperlink>
      <w:r>
        <w:rPr>
          <w:rFonts w:ascii="arial" w:eastAsia="arial" w:hAnsi="arial" w:cs="arial"/>
          <w:b w:val="0"/>
          <w:i w:val="0"/>
          <w:strike w:val="0"/>
          <w:noProof w:val="0"/>
          <w:color w:val="000000"/>
          <w:position w:val="0"/>
          <w:sz w:val="20"/>
          <w:u w:val="none"/>
          <w:vertAlign w:val="baseline"/>
        </w:rPr>
        <w:t xml:space="preserve"> (internal quotations and citations omitted). But a court is "not bound to accept as true a legal conclusion couched as a factual allegation." </w:t>
      </w:r>
      <w:hyperlink r:id="rId15" w:history="1">
        <w:r>
          <w:rPr>
            <w:rFonts w:ascii="arial" w:eastAsia="arial" w:hAnsi="arial" w:cs="arial"/>
            <w:b w:val="0"/>
            <w:i/>
            <w:strike w:val="0"/>
            <w:noProof w:val="0"/>
            <w:color w:val="0077CC"/>
            <w:position w:val="0"/>
            <w:sz w:val="20"/>
            <w:u w:val="single"/>
            <w:vertAlign w:val="baseline"/>
          </w:rPr>
          <w:t>Iqbal</w:t>
        </w:r>
      </w:hyperlink>
      <w:hyperlink r:id="rId15"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 xml:space="preserve">If a court determines that a complaint should be dismissed, it must then decide whether to grant leave to amend. Under Rule 15(a), leave to amend "shall be freely given when justice so requires," bearing in mind "the underlying purpose of Rule 15 to facilitate decisions on the merits, rather than on the pleadings or technicalities." </w:t>
      </w:r>
      <w:hyperlink r:id="rId19" w:history="1">
        <w:r>
          <w:rPr>
            <w:rFonts w:ascii="arial" w:eastAsia="arial" w:hAnsi="arial" w:cs="arial"/>
            <w:b w:val="0"/>
            <w:i/>
            <w:strike w:val="0"/>
            <w:noProof w:val="0"/>
            <w:color w:val="0077CC"/>
            <w:position w:val="0"/>
            <w:sz w:val="20"/>
            <w:u w:val="single"/>
            <w:vertAlign w:val="baseline"/>
          </w:rPr>
          <w:t>Lopez v. Smith</w:t>
        </w:r>
      </w:hyperlink>
      <w:hyperlink r:id="rId19" w:history="1">
        <w:r>
          <w:rPr>
            <w:rFonts w:ascii="arial" w:eastAsia="arial" w:hAnsi="arial" w:cs="arial"/>
            <w:b w:val="0"/>
            <w:i/>
            <w:strike w:val="0"/>
            <w:noProof w:val="0"/>
            <w:color w:val="0077CC"/>
            <w:position w:val="0"/>
            <w:sz w:val="20"/>
            <w:u w:val="single"/>
            <w:vertAlign w:val="baseline"/>
          </w:rPr>
          <w:t>, 203 F.3d 1122, 1127 (9th Cir. 2000)</w:t>
        </w:r>
      </w:hyperlink>
      <w:r>
        <w:rPr>
          <w:rFonts w:ascii="arial" w:eastAsia="arial" w:hAnsi="arial" w:cs="arial"/>
          <w:b w:val="0"/>
          <w:i w:val="0"/>
          <w:strike w:val="0"/>
          <w:noProof w:val="0"/>
          <w:color w:val="000000"/>
          <w:position w:val="0"/>
          <w:sz w:val="20"/>
          <w:u w:val="none"/>
          <w:vertAlign w:val="baseline"/>
        </w:rPr>
        <w:t xml:space="preserve"> (alterations and quotation marks omitted). When dismissing a complaint for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failure to state a claim, "a district court should grant leave to amend even if no request to amend the pleading was made, unless it determines that the pleading could not possibly be cured by the allegation of other facts." </w:t>
      </w:r>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1130</w:t>
        </w:r>
      </w:hyperlink>
      <w:r>
        <w:rPr>
          <w:rFonts w:ascii="arial" w:eastAsia="arial" w:hAnsi="arial" w:cs="arial"/>
          <w:b w:val="0"/>
          <w:i w:val="0"/>
          <w:strike w:val="0"/>
          <w:noProof w:val="0"/>
          <w:color w:val="000000"/>
          <w:position w:val="0"/>
          <w:sz w:val="20"/>
          <w:u w:val="none"/>
          <w:vertAlign w:val="baseline"/>
        </w:rPr>
        <w:t xml:space="preserve"> (quotation marks omitted). Leave to amend generally shall be denied only if allowing amendment would unduly prejudice the opposing party, cause undue delay, or be futile, or if the moving party has acted in bad faith. </w:t>
      </w:r>
      <w:hyperlink r:id="rId20" w:history="1">
        <w:r>
          <w:rPr>
            <w:rFonts w:ascii="arial" w:eastAsia="arial" w:hAnsi="arial" w:cs="arial"/>
            <w:b w:val="0"/>
            <w:i/>
            <w:strike w:val="0"/>
            <w:noProof w:val="0"/>
            <w:color w:val="0077CC"/>
            <w:position w:val="0"/>
            <w:sz w:val="20"/>
            <w:u w:val="single"/>
            <w:vertAlign w:val="baseline"/>
          </w:rPr>
          <w:t>Leadsinger, Inc. v. BMG Music Publ'g</w:t>
        </w:r>
      </w:hyperlink>
      <w:hyperlink r:id="rId20" w:history="1">
        <w:r>
          <w:rPr>
            <w:rFonts w:ascii="arial" w:eastAsia="arial" w:hAnsi="arial" w:cs="arial"/>
            <w:b w:val="0"/>
            <w:i/>
            <w:strike w:val="0"/>
            <w:noProof w:val="0"/>
            <w:color w:val="0077CC"/>
            <w:position w:val="0"/>
            <w:sz w:val="20"/>
            <w:u w:val="single"/>
            <w:vertAlign w:val="baseline"/>
          </w:rPr>
          <w:t>, 512 F.3d 522, 532 (9th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Judicial Notice</w:t>
      </w:r>
    </w:p>
    <w:p>
      <w:pPr>
        <w:keepNext w:val="0"/>
        <w:spacing w:before="24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 xml:space="preserve">Judicial notice under </w:t>
      </w:r>
      <w:hyperlink r:id="rId21" w:history="1">
        <w:r>
          <w:rPr>
            <w:rFonts w:ascii="arial" w:eastAsia="arial" w:hAnsi="arial" w:cs="arial"/>
            <w:b w:val="0"/>
            <w:i/>
            <w:strike w:val="0"/>
            <w:noProof w:val="0"/>
            <w:color w:val="0077CC"/>
            <w:position w:val="0"/>
            <w:sz w:val="20"/>
            <w:u w:val="single"/>
            <w:vertAlign w:val="baseline"/>
          </w:rPr>
          <w:t>Rule 201</w:t>
        </w:r>
      </w:hyperlink>
      <w:r>
        <w:rPr>
          <w:rFonts w:ascii="arial" w:eastAsia="arial" w:hAnsi="arial" w:cs="arial"/>
          <w:b w:val="0"/>
          <w:i w:val="0"/>
          <w:strike w:val="0"/>
          <w:noProof w:val="0"/>
          <w:color w:val="000000"/>
          <w:position w:val="0"/>
          <w:sz w:val="20"/>
          <w:u w:val="none"/>
          <w:vertAlign w:val="baseline"/>
        </w:rPr>
        <w:t xml:space="preserve"> permits a court to notice an adjudicative fact if it is "not subject to reasonable dispute." </w:t>
      </w:r>
      <w:hyperlink r:id="rId21" w:history="1">
        <w:r>
          <w:rPr>
            <w:rFonts w:ascii="arial" w:eastAsia="arial" w:hAnsi="arial" w:cs="arial"/>
            <w:b w:val="0"/>
            <w:i/>
            <w:strike w:val="0"/>
            <w:noProof w:val="0"/>
            <w:color w:val="0077CC"/>
            <w:position w:val="0"/>
            <w:sz w:val="20"/>
            <w:u w:val="single"/>
            <w:vertAlign w:val="baseline"/>
          </w:rPr>
          <w:t>Fed. R. Evid. 201(b)</w:t>
        </w:r>
      </w:hyperlink>
      <w:r>
        <w:rPr>
          <w:rFonts w:ascii="arial" w:eastAsia="arial" w:hAnsi="arial" w:cs="arial"/>
          <w:b w:val="0"/>
          <w:i w:val="0"/>
          <w:strike w:val="0"/>
          <w:noProof w:val="0"/>
          <w:color w:val="000000"/>
          <w:position w:val="0"/>
          <w:sz w:val="20"/>
          <w:u w:val="none"/>
          <w:vertAlign w:val="baseline"/>
        </w:rPr>
        <w:t xml:space="preserve">. A fact is "not subject to reasonable dispute" if it is "generally known," or "can be accurately and readily determined from sources whose accuracy cannot reasonably be questioned." </w:t>
      </w:r>
      <w:hyperlink r:id="rId21" w:history="1">
        <w:r>
          <w:rPr>
            <w:rFonts w:ascii="arial" w:eastAsia="arial" w:hAnsi="arial" w:cs="arial"/>
            <w:b w:val="0"/>
            <w:i/>
            <w:strike w:val="0"/>
            <w:noProof w:val="0"/>
            <w:color w:val="0077CC"/>
            <w:position w:val="0"/>
            <w:sz w:val="20"/>
            <w:u w:val="single"/>
            <w:vertAlign w:val="baseline"/>
          </w:rPr>
          <w:t>Fed. R. Evid. 201(b)(1)-(2)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 xml:space="preserve">Just because the document itself is susceptible to judicial notice does not mean that every assertion of fact within that document is judicially noticeable for its truth. </w:t>
      </w:r>
      <w:hyperlink r:id="rId22" w:history="1">
        <w:r>
          <w:rPr>
            <w:rFonts w:ascii="arial" w:eastAsia="arial" w:hAnsi="arial" w:cs="arial"/>
            <w:b w:val="0"/>
            <w:i/>
            <w:strike w:val="0"/>
            <w:noProof w:val="0"/>
            <w:color w:val="0077CC"/>
            <w:position w:val="0"/>
            <w:sz w:val="20"/>
            <w:u w:val="single"/>
            <w:vertAlign w:val="baseline"/>
          </w:rPr>
          <w:t>Khoja v. Orexigen Therapeutics, Inc.</w:t>
        </w:r>
      </w:hyperlink>
      <w:hyperlink r:id="rId22" w:history="1">
        <w:r>
          <w:rPr>
            <w:rFonts w:ascii="arial" w:eastAsia="arial" w:hAnsi="arial" w:cs="arial"/>
            <w:b w:val="0"/>
            <w:i/>
            <w:strike w:val="0"/>
            <w:noProof w:val="0"/>
            <w:color w:val="0077CC"/>
            <w:position w:val="0"/>
            <w:sz w:val="20"/>
            <w:u w:val="single"/>
            <w:vertAlign w:val="baseline"/>
          </w:rPr>
          <w:t>, 899 F.3d 988, 999 (9th Cir. 2018)</w:t>
        </w:r>
      </w:hyperlink>
      <w:r>
        <w:rPr>
          <w:rFonts w:ascii="arial" w:eastAsia="arial" w:hAnsi="arial" w:cs="arial"/>
          <w:b w:val="0"/>
          <w:i w:val="0"/>
          <w:strike w:val="0"/>
          <w:noProof w:val="0"/>
          <w:color w:val="000000"/>
          <w:position w:val="0"/>
          <w:sz w:val="20"/>
          <w:u w:val="none"/>
          <w:vertAlign w:val="baseline"/>
        </w:rPr>
        <w:t xml:space="preserve">. A court may not take judicial notice of the truth of disputed factual matters at the pleading stage. </w:t>
      </w:r>
      <w:hyperlink r:id="rId23" w:history="1">
        <w:r>
          <w:rPr>
            <w:rFonts w:ascii="arial" w:eastAsia="arial" w:hAnsi="arial" w:cs="arial"/>
            <w:b w:val="0"/>
            <w:i/>
            <w:strike w:val="0"/>
            <w:noProof w:val="0"/>
            <w:color w:val="0077CC"/>
            <w:position w:val="0"/>
            <w:sz w:val="20"/>
            <w:u w:val="single"/>
            <w:vertAlign w:val="baseline"/>
          </w:rPr>
          <w:t>Lee v. City of Los Angeles</w:t>
        </w:r>
      </w:hyperlink>
      <w:hyperlink r:id="rId23" w:history="1">
        <w:r>
          <w:rPr>
            <w:rFonts w:ascii="arial" w:eastAsia="arial" w:hAnsi="arial" w:cs="arial"/>
            <w:b w:val="0"/>
            <w:i/>
            <w:strike w:val="0"/>
            <w:noProof w:val="0"/>
            <w:color w:val="0077CC"/>
            <w:position w:val="0"/>
            <w:sz w:val="20"/>
            <w:u w:val="single"/>
            <w:vertAlign w:val="baseline"/>
          </w:rPr>
          <w:t>, 250 F.3d 668, 688 (9th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 xml:space="preserve">A court may take judicial notice of matters of public record without converting a motion to dismiss into a motion for summary judgment. </w:t>
      </w:r>
      <w:hyperlink r:id="rId21" w:history="1">
        <w:r>
          <w:rPr>
            <w:rFonts w:ascii="arial" w:eastAsia="arial" w:hAnsi="arial" w:cs="arial"/>
            <w:b w:val="0"/>
            <w:i/>
            <w:strike w:val="0"/>
            <w:noProof w:val="0"/>
            <w:color w:val="0077CC"/>
            <w:position w:val="0"/>
            <w:sz w:val="20"/>
            <w:u w:val="single"/>
            <w:vertAlign w:val="baseline"/>
          </w:rPr>
          <w:t>Fed. R. Evid. 201</w:t>
        </w:r>
      </w:hyperlink>
      <w:r>
        <w:rPr>
          <w:rFonts w:ascii="arial" w:eastAsia="arial" w:hAnsi="arial" w:cs="arial"/>
          <w:b w:val="0"/>
          <w:i w:val="0"/>
          <w:strike w:val="0"/>
          <w:noProof w:val="0"/>
          <w:color w:val="000000"/>
          <w:position w:val="0"/>
          <w:sz w:val="20"/>
          <w:u w:val="none"/>
          <w:vertAlign w:val="baseline"/>
        </w:rPr>
        <w:t>. However,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court cannot take judicial notice of disputed facts contained in such public records. </w:t>
      </w:r>
      <w:hyperlink r:id="rId22" w:history="1">
        <w:r>
          <w:rPr>
            <w:rFonts w:ascii="arial" w:eastAsia="arial" w:hAnsi="arial" w:cs="arial"/>
            <w:b w:val="0"/>
            <w:i/>
            <w:strike w:val="0"/>
            <w:noProof w:val="0"/>
            <w:color w:val="0077CC"/>
            <w:position w:val="0"/>
            <w:sz w:val="20"/>
            <w:u w:val="single"/>
            <w:vertAlign w:val="baseline"/>
          </w:rPr>
          <w:t>Khoja</w:t>
        </w:r>
      </w:hyperlink>
      <w:hyperlink r:id="rId22" w:history="1">
        <w:r>
          <w:rPr>
            <w:rFonts w:ascii="arial" w:eastAsia="arial" w:hAnsi="arial" w:cs="arial"/>
            <w:b w:val="0"/>
            <w:i/>
            <w:strike w:val="0"/>
            <w:noProof w:val="0"/>
            <w:color w:val="0077CC"/>
            <w:position w:val="0"/>
            <w:sz w:val="20"/>
            <w:u w:val="single"/>
            <w:vertAlign w:val="baseline"/>
          </w:rPr>
          <w:t>, 899 F.3d at 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FDA October 6, 2022 Warning Letter</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Defendants seek judicial notice of a printout of a webpage on the Food &amp; Drug Administration's website which publishes an October 6, 2022 "WARNING LETTER" to Plaintiffs. The website is available at the following link: https://www.fda.gov/inspections-compliance-enforcement-and-criminal-investigations/warning-letters/evo-brands-llc-and-pvg2-llc-dba-puff-bar-643091-10062022.</w:t>
      </w:r>
    </w:p>
    <w:p>
      <w:pPr>
        <w:keepNext w:val="0"/>
        <w:spacing w:before="24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 xml:space="preserve">The Court has already taken judicial notice of this item. Dkt. No. 43 at 10. As explained in that order, the Court takes judicial notice of the contents of the website, but declines to take notice of the truth of the website's contents because its contents comprise disputed facts.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Khoja</w:t>
        </w:r>
      </w:hyperlink>
      <w:hyperlink r:id="rId22" w:history="1">
        <w:r>
          <w:rPr>
            <w:rFonts w:ascii="arial" w:eastAsia="arial" w:hAnsi="arial" w:cs="arial"/>
            <w:b w:val="0"/>
            <w:i/>
            <w:strike w:val="0"/>
            <w:noProof w:val="0"/>
            <w:color w:val="0077CC"/>
            <w:position w:val="0"/>
            <w:sz w:val="20"/>
            <w:u w:val="single"/>
            <w:vertAlign w:val="baseline"/>
          </w:rPr>
          <w:t>, 899 F.3d 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USPTO Records</w:t>
      </w:r>
    </w:p>
    <w:p>
      <w:pPr>
        <w:keepNext w:val="0"/>
        <w:spacing w:before="20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Defendants seek judicial notice of four different items from USPTO records:</w:t>
      </w:r>
    </w:p>
    <w:p>
      <w:pPr>
        <w:keepNext w:val="0"/>
        <w:spacing w:after="0" w:line="260" w:lineRule="atLeast"/>
        <w:ind w:left="40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(1) The Certificate of Registration for U.S. Trademark No. 6907497 for PUFF PLUS, plus design retrieved from the USPTO at the following URL: https://tsdr.uspto.gov/documentviewer?caseId=sn88729156&amp;docId=ORC20221106051741#docIndex=0&amp;page=1.</w:t>
      </w:r>
    </w:p>
    <w:p>
      <w:pPr>
        <w:keepNext w:val="0"/>
        <w:spacing w:before="200" w:after="0" w:line="260" w:lineRule="atLeast"/>
        <w:ind w:left="400" w:right="0" w:firstLine="0"/>
        <w:jc w:val="both"/>
      </w:pPr>
      <w:bookmarkStart w:id="32" w:name="Bookmark_para_24"/>
      <w:bookmarkEnd w:id="32"/>
      <w:r>
        <w:rPr>
          <w:rFonts w:ascii="arial" w:eastAsia="arial" w:hAnsi="arial" w:cs="arial"/>
          <w:b w:val="0"/>
          <w:i w:val="0"/>
          <w:strike w:val="0"/>
          <w:noProof w:val="0"/>
          <w:color w:val="000000"/>
          <w:position w:val="0"/>
          <w:sz w:val="20"/>
          <w:u w:val="none"/>
          <w:vertAlign w:val="baseline"/>
        </w:rPr>
        <w:t>(2) The April 23, 2020, Trademark Assignments from Cool Clouds Distribution, Inc.</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DS Technology Licensing retrieved from USPTO at the following URL: https://legacyassignments. uspto.gov/assignments/assignment-tm-6982-578.pdf.</w:t>
      </w:r>
    </w:p>
    <w:p>
      <w:pPr>
        <w:keepNext w:val="0"/>
        <w:spacing w:after="0" w:line="260" w:lineRule="atLeast"/>
        <w:ind w:left="400" w:right="0" w:firstLine="0"/>
        <w:jc w:val="both"/>
      </w:pPr>
      <w:bookmarkStart w:id="33" w:name="Bookmark_para_25"/>
      <w:bookmarkEnd w:id="33"/>
      <w:r>
        <w:rPr>
          <w:rFonts w:ascii="arial" w:eastAsia="arial" w:hAnsi="arial" w:cs="arial"/>
          <w:b w:val="0"/>
          <w:i w:val="0"/>
          <w:strike w:val="0"/>
          <w:noProof w:val="0"/>
          <w:color w:val="000000"/>
          <w:position w:val="0"/>
          <w:sz w:val="20"/>
          <w:u w:val="none"/>
          <w:vertAlign w:val="baseline"/>
        </w:rPr>
        <w:t>(3) The USPTO TSDR Document for the Trademark/Service Mark Application - TEAS Plus Application of U.S. Trademark Serial No. 97306475 for PUFF XTRA, plus design retrieved from the USPTO at the following URL: https://tsdr.uspto.gov/documentviewer?caseId=sn97306475&amp;docId=FTK20220314091015#docIndex=3&amp;page=1.</w:t>
      </w:r>
    </w:p>
    <w:p>
      <w:pPr>
        <w:keepNext w:val="0"/>
        <w:spacing w:after="0" w:line="260" w:lineRule="atLeast"/>
        <w:ind w:left="400" w:right="0" w:firstLine="0"/>
        <w:jc w:val="both"/>
      </w:pPr>
      <w:bookmarkStart w:id="34" w:name="Bookmark_para_26"/>
      <w:bookmarkEnd w:id="34"/>
      <w:r>
        <w:rPr>
          <w:rFonts w:ascii="arial" w:eastAsia="arial" w:hAnsi="arial" w:cs="arial"/>
          <w:b w:val="0"/>
          <w:i w:val="0"/>
          <w:strike w:val="0"/>
          <w:noProof w:val="0"/>
          <w:color w:val="000000"/>
          <w:position w:val="0"/>
          <w:sz w:val="20"/>
          <w:u w:val="none"/>
          <w:vertAlign w:val="baseline"/>
        </w:rPr>
        <w:t>(4) The USPTO TSDR Statement of Use filed in EVO's Puff Plus trademark application and is available at the following URL: https://tsdr.uspto.gov/documentviewer?caseId=sn88729156&amp;docId=SOU20220908202523#docIndex=8&amp;page=1.</w:t>
      </w:r>
    </w:p>
    <w:p>
      <w:pPr>
        <w:keepNext w:val="0"/>
        <w:spacing w:before="200" w:after="0" w:line="260" w:lineRule="atLeast"/>
        <w:ind w:left="0" w:right="0" w:firstLine="0"/>
        <w:jc w:val="both"/>
      </w:pPr>
      <w:bookmarkStart w:id="35" w:name="Bookmark_para_27"/>
      <w:bookmarkEnd w:id="35"/>
      <w:r>
        <w:rPr>
          <w:rFonts w:ascii="arial" w:eastAsia="arial" w:hAnsi="arial" w:cs="arial"/>
          <w:b w:val="0"/>
          <w:i w:val="0"/>
          <w:strike w:val="0"/>
          <w:noProof w:val="0"/>
          <w:color w:val="000000"/>
          <w:position w:val="0"/>
          <w:sz w:val="20"/>
          <w:u w:val="none"/>
          <w:vertAlign w:val="baseline"/>
        </w:rPr>
        <w:t xml:space="preserve">The records of administrative bodies are appropriate subjects for judicial notice because they constitute matters of public record. </w:t>
      </w:r>
      <w:hyperlink r:id="rId24" w:history="1">
        <w:r>
          <w:rPr>
            <w:rFonts w:ascii="arial" w:eastAsia="arial" w:hAnsi="arial" w:cs="arial"/>
            <w:b w:val="0"/>
            <w:i/>
            <w:strike w:val="0"/>
            <w:noProof w:val="0"/>
            <w:color w:val="0077CC"/>
            <w:position w:val="0"/>
            <w:sz w:val="20"/>
            <w:u w:val="single"/>
            <w:vertAlign w:val="baseline"/>
          </w:rPr>
          <w:t>Reyn's Pasta Bella, LLC v. Visa USA, Inc.</w:t>
        </w:r>
      </w:hyperlink>
      <w:hyperlink r:id="rId24" w:history="1">
        <w:r>
          <w:rPr>
            <w:rFonts w:ascii="arial" w:eastAsia="arial" w:hAnsi="arial" w:cs="arial"/>
            <w:b w:val="0"/>
            <w:i/>
            <w:strike w:val="0"/>
            <w:noProof w:val="0"/>
            <w:color w:val="0077CC"/>
            <w:position w:val="0"/>
            <w:sz w:val="20"/>
            <w:u w:val="single"/>
            <w:vertAlign w:val="baseline"/>
          </w:rPr>
          <w:t>, 442 F.3d 741, 746 n.6 (9th Cir. 2006)</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Barron v. Reich</w:t>
        </w:r>
      </w:hyperlink>
      <w:hyperlink r:id="rId25" w:history="1">
        <w:r>
          <w:rPr>
            <w:rFonts w:ascii="arial" w:eastAsia="arial" w:hAnsi="arial" w:cs="arial"/>
            <w:b w:val="0"/>
            <w:i/>
            <w:strike w:val="0"/>
            <w:noProof w:val="0"/>
            <w:color w:val="0077CC"/>
            <w:position w:val="0"/>
            <w:sz w:val="20"/>
            <w:u w:val="single"/>
            <w:vertAlign w:val="baseline"/>
          </w:rPr>
          <w:t>, 13 F.3d 1370, 1377 (9th Cir. 1994)</w:t>
        </w:r>
      </w:hyperlink>
      <w:r>
        <w:rPr>
          <w:rFonts w:ascii="arial" w:eastAsia="arial" w:hAnsi="arial" w:cs="arial"/>
          <w:b w:val="0"/>
          <w:i w:val="0"/>
          <w:strike w:val="0"/>
          <w:noProof w:val="0"/>
          <w:color w:val="000000"/>
          <w:position w:val="0"/>
          <w:sz w:val="20"/>
          <w:u w:val="none"/>
          <w:vertAlign w:val="baseline"/>
        </w:rPr>
        <w:t xml:space="preserve">. </w:t>
      </w:r>
      <w:bookmarkStart w:id="36" w:name="Bookmark_I69DMKMP2N1RP30020000400"/>
      <w:bookmarkEnd w:id="36"/>
      <w:r>
        <w:rPr>
          <w:rFonts w:ascii="arial" w:eastAsia="arial" w:hAnsi="arial" w:cs="arial"/>
          <w:b w:val="0"/>
          <w:i w:val="0"/>
          <w:strike w:val="0"/>
          <w:noProof w:val="0"/>
          <w:color w:val="000000"/>
          <w:position w:val="0"/>
          <w:sz w:val="20"/>
          <w:u w:val="none"/>
          <w:vertAlign w:val="baseline"/>
        </w:rPr>
        <w:t xml:space="preserve">Similarly, a court can take judicial notice of a government's website. </w:t>
      </w:r>
      <w:hyperlink r:id="rId26" w:history="1">
        <w:r>
          <w:rPr>
            <w:rFonts w:ascii="arial" w:eastAsia="arial" w:hAnsi="arial" w:cs="arial"/>
            <w:b w:val="0"/>
            <w:i/>
            <w:strike w:val="0"/>
            <w:noProof w:val="0"/>
            <w:color w:val="0077CC"/>
            <w:position w:val="0"/>
            <w:sz w:val="20"/>
            <w:u w:val="single"/>
            <w:vertAlign w:val="baseline"/>
          </w:rPr>
          <w:t>Daniels-Hall v. Nat'l Educ. Ass'n</w:t>
        </w:r>
      </w:hyperlink>
      <w:hyperlink r:id="rId26" w:history="1">
        <w:r>
          <w:rPr>
            <w:rFonts w:ascii="arial" w:eastAsia="arial" w:hAnsi="arial" w:cs="arial"/>
            <w:b w:val="0"/>
            <w:i/>
            <w:strike w:val="0"/>
            <w:noProof w:val="0"/>
            <w:color w:val="0077CC"/>
            <w:position w:val="0"/>
            <w:sz w:val="20"/>
            <w:u w:val="single"/>
            <w:vertAlign w:val="baseline"/>
          </w:rPr>
          <w:t>, 629 F.3d 992, 999 (9th Cir. 2010)</w:t>
        </w:r>
      </w:hyperlink>
      <w:r>
        <w:rPr>
          <w:rFonts w:ascii="arial" w:eastAsia="arial" w:hAnsi="arial" w:cs="arial"/>
          <w:b w:val="0"/>
          <w:i w:val="0"/>
          <w:strike w:val="0"/>
          <w:noProof w:val="0"/>
          <w:color w:val="000000"/>
          <w:position w:val="0"/>
          <w:sz w:val="20"/>
          <w:u w:val="none"/>
          <w:vertAlign w:val="baseline"/>
        </w:rPr>
        <w:t xml:space="preserve"> (taking judicial notice of information on the websites of two school districts because they were government entities); </w:t>
      </w:r>
      <w:hyperlink r:id="rId27" w:history="1">
        <w:r>
          <w:rPr>
            <w:rFonts w:ascii="arial" w:eastAsia="arial" w:hAnsi="arial" w:cs="arial"/>
            <w:b w:val="0"/>
            <w:i/>
            <w:strike w:val="0"/>
            <w:noProof w:val="0"/>
            <w:color w:val="0077CC"/>
            <w:position w:val="0"/>
            <w:sz w:val="20"/>
            <w:u w:val="single"/>
            <w:vertAlign w:val="baseline"/>
          </w:rPr>
          <w:t>U.S. ex rel. Modglin v. DJO Glob. Inc.</w:t>
        </w:r>
      </w:hyperlink>
      <w:hyperlink r:id="rId27" w:history="1">
        <w:r>
          <w:rPr>
            <w:rFonts w:ascii="arial" w:eastAsia="arial" w:hAnsi="arial" w:cs="arial"/>
            <w:b w:val="0"/>
            <w:i/>
            <w:strike w:val="0"/>
            <w:noProof w:val="0"/>
            <w:color w:val="0077CC"/>
            <w:position w:val="0"/>
            <w:sz w:val="20"/>
            <w:u w:val="single"/>
            <w:vertAlign w:val="baseline"/>
          </w:rPr>
          <w:t>, 48 F. Supp. 3d 1362, 1381-82 (C.D. Cal. 2014)</w:t>
        </w:r>
      </w:hyperlink>
      <w:r>
        <w:rPr>
          <w:rFonts w:ascii="arial" w:eastAsia="arial" w:hAnsi="arial" w:cs="arial"/>
          <w:b w:val="0"/>
          <w:i w:val="0"/>
          <w:strike w:val="0"/>
          <w:noProof w:val="0"/>
          <w:color w:val="000000"/>
          <w:position w:val="0"/>
          <w:sz w:val="20"/>
          <w:u w:val="none"/>
          <w:vertAlign w:val="baseline"/>
        </w:rPr>
        <w:t xml:space="preserve"> (taking judicial notice of documents from the FDA's website). Court have taken judicial notice of trademark registrations and applications publicly available on the USPTO website in the past. </w:t>
      </w:r>
      <w:bookmarkStart w:id="37" w:name="Bookmark_I69DMKMP2N1RP30010000400"/>
      <w:bookmarkEnd w:id="37"/>
      <w:hyperlink r:id="rId28" w:history="1">
        <w:r>
          <w:rPr>
            <w:rFonts w:ascii="arial" w:eastAsia="arial" w:hAnsi="arial" w:cs="arial"/>
            <w:b w:val="0"/>
            <w:i/>
            <w:strike w:val="0"/>
            <w:noProof w:val="0"/>
            <w:color w:val="0077CC"/>
            <w:position w:val="0"/>
            <w:sz w:val="20"/>
            <w:u w:val="single"/>
            <w:vertAlign w:val="baseline"/>
          </w:rPr>
          <w:t>Autodesk, Inc. v. Dassault Sys. SolidWorks Corp.</w:t>
        </w:r>
      </w:hyperlink>
      <w:hyperlink r:id="rId28" w:history="1">
        <w:r>
          <w:rPr>
            <w:rFonts w:ascii="arial" w:eastAsia="arial" w:hAnsi="arial" w:cs="arial"/>
            <w:b w:val="0"/>
            <w:i/>
            <w:strike w:val="0"/>
            <w:noProof w:val="0"/>
            <w:color w:val="0077CC"/>
            <w:position w:val="0"/>
            <w:sz w:val="20"/>
            <w:u w:val="single"/>
            <w:vertAlign w:val="baseline"/>
          </w:rPr>
          <w:t>, No. 08-04397, 2008 U.S. Dist. LEXIS 109800, 2008 WL 6742224, at *2 n.1 (N.D. Cal. Dec. 18, 2008)</w:t>
        </w:r>
      </w:hyperlink>
      <w:r>
        <w:rPr>
          <w:rFonts w:ascii="arial" w:eastAsia="arial" w:hAnsi="arial" w:cs="arial"/>
          <w:b w:val="0"/>
          <w:i w:val="0"/>
          <w:strike w:val="0"/>
          <w:noProof w:val="0"/>
          <w:color w:val="000000"/>
          <w:position w:val="0"/>
          <w:sz w:val="20"/>
          <w:u w:val="none"/>
          <w:vertAlign w:val="baseline"/>
        </w:rPr>
        <w:t xml:space="preserve"> (taking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judicial notice of trademark registrations and applications publicly available on USPTO website).</w:t>
      </w:r>
    </w:p>
    <w:p>
      <w:pPr>
        <w:keepNext w:val="0"/>
        <w:spacing w:before="240" w:after="0" w:line="260" w:lineRule="atLeast"/>
        <w:ind w:left="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 xml:space="preserve">Here, Plaintiffs have also incorporated the Certificate of Registration for U.S. Trademark No. 6907497 by reference in the Second Amended Complaint. (FAC ¶ 16). It is therefore appropriate for judicial consideration. </w:t>
      </w:r>
      <w:hyperlink r:id="rId29" w:history="1">
        <w:r>
          <w:rPr>
            <w:rFonts w:ascii="arial" w:eastAsia="arial" w:hAnsi="arial" w:cs="arial"/>
            <w:b w:val="0"/>
            <w:i/>
            <w:strike w:val="0"/>
            <w:noProof w:val="0"/>
            <w:color w:val="0077CC"/>
            <w:position w:val="0"/>
            <w:sz w:val="20"/>
            <w:u w:val="single"/>
            <w:vertAlign w:val="baseline"/>
          </w:rPr>
          <w:t>Prime Healthcare Servs., Inc. v. Humana Ins. Co.</w:t>
        </w:r>
      </w:hyperlink>
      <w:hyperlink r:id="rId29" w:history="1">
        <w:r>
          <w:rPr>
            <w:rFonts w:ascii="arial" w:eastAsia="arial" w:hAnsi="arial" w:cs="arial"/>
            <w:b w:val="0"/>
            <w:i/>
            <w:strike w:val="0"/>
            <w:noProof w:val="0"/>
            <w:color w:val="0077CC"/>
            <w:position w:val="0"/>
            <w:sz w:val="20"/>
            <w:u w:val="single"/>
            <w:vertAlign w:val="baseline"/>
          </w:rPr>
          <w:t>, 230 F. Supp. 3d 1194, 1203 (C.D. Cal.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23" w:history="1">
        <w:r>
          <w:rPr>
            <w:rFonts w:ascii="arial" w:eastAsia="arial" w:hAnsi="arial" w:cs="arial"/>
            <w:b w:val="0"/>
            <w:i/>
            <w:strike w:val="0"/>
            <w:noProof w:val="0"/>
            <w:color w:val="0077CC"/>
            <w:position w:val="0"/>
            <w:sz w:val="20"/>
            <w:u w:val="single"/>
            <w:vertAlign w:val="baseline"/>
          </w:rPr>
          <w:t>Lee v. City of L.A.</w:t>
        </w:r>
      </w:hyperlink>
      <w:hyperlink r:id="rId23" w:history="1">
        <w:r>
          <w:rPr>
            <w:rFonts w:ascii="arial" w:eastAsia="arial" w:hAnsi="arial" w:cs="arial"/>
            <w:b w:val="0"/>
            <w:i/>
            <w:strike w:val="0"/>
            <w:noProof w:val="0"/>
            <w:color w:val="0077CC"/>
            <w:position w:val="0"/>
            <w:sz w:val="20"/>
            <w:u w:val="single"/>
            <w:vertAlign w:val="baseline"/>
          </w:rPr>
          <w:t>, 250 F.3d 668, 688-89 (9th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29"/>
      <w:bookmarkEnd w:id="39"/>
      <w:r>
        <w:rPr>
          <w:rFonts w:ascii="arial" w:eastAsia="arial" w:hAnsi="arial" w:cs="arial"/>
          <w:b w:val="0"/>
          <w:i w:val="0"/>
          <w:strike w:val="0"/>
          <w:noProof w:val="0"/>
          <w:color w:val="000000"/>
          <w:position w:val="0"/>
          <w:sz w:val="20"/>
          <w:u w:val="none"/>
          <w:vertAlign w:val="baseline"/>
        </w:rPr>
        <w:t xml:space="preserve">The Court takes judicial notice of the foregoing documents, as they are public records properly subject to judicial notice. For the reasons discussed above and in Dkt. No. 43, the Court declines to take judicial notice of the truth of the documents' contents to the extent that they comprise disputed facts.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Khoja</w:t>
        </w:r>
      </w:hyperlink>
      <w:hyperlink r:id="rId22" w:history="1">
        <w:r>
          <w:rPr>
            <w:rFonts w:ascii="arial" w:eastAsia="arial" w:hAnsi="arial" w:cs="arial"/>
            <w:b w:val="0"/>
            <w:i/>
            <w:strike w:val="0"/>
            <w:noProof w:val="0"/>
            <w:color w:val="0077CC"/>
            <w:position w:val="0"/>
            <w:sz w:val="20"/>
            <w:u w:val="single"/>
            <w:vertAlign w:val="baseline"/>
          </w:rPr>
          <w:t>, 899 F.3d 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Failure to State a Claim</w:t>
      </w:r>
    </w:p>
    <w:p>
      <w:pPr>
        <w:keepNext w:val="0"/>
        <w:spacing w:before="240" w:after="0" w:line="260" w:lineRule="atLeast"/>
        <w:ind w:left="0" w:right="0" w:firstLine="0"/>
        <w:jc w:val="both"/>
      </w:pPr>
      <w:bookmarkStart w:id="40" w:name="Bookmark_para_30"/>
      <w:bookmarkEnd w:id="40"/>
      <w:r>
        <w:rPr>
          <w:rFonts w:ascii="arial" w:eastAsia="arial" w:hAnsi="arial" w:cs="arial"/>
          <w:b w:val="0"/>
          <w:i w:val="0"/>
          <w:strike w:val="0"/>
          <w:noProof w:val="0"/>
          <w:color w:val="000000"/>
          <w:position w:val="0"/>
          <w:sz w:val="20"/>
          <w:u w:val="none"/>
          <w:vertAlign w:val="baseline"/>
        </w:rPr>
        <w:t xml:space="preserve">The same standard applies to infringement of both registered and unregistered trademarks. </w:t>
      </w:r>
      <w:hyperlink r:id="rId30" w:history="1">
        <w:r>
          <w:rPr>
            <w:rFonts w:ascii="arial" w:eastAsia="arial" w:hAnsi="arial" w:cs="arial"/>
            <w:b w:val="0"/>
            <w:i/>
            <w:strike w:val="0"/>
            <w:noProof w:val="0"/>
            <w:color w:val="0077CC"/>
            <w:position w:val="0"/>
            <w:sz w:val="20"/>
            <w:u w:val="single"/>
            <w:vertAlign w:val="baseline"/>
          </w:rPr>
          <w:t>GoTo.com, Inc. v. Walt Disney Co.</w:t>
        </w:r>
      </w:hyperlink>
      <w:hyperlink r:id="rId30" w:history="1">
        <w:r>
          <w:rPr>
            <w:rFonts w:ascii="arial" w:eastAsia="arial" w:hAnsi="arial" w:cs="arial"/>
            <w:b w:val="0"/>
            <w:i/>
            <w:strike w:val="0"/>
            <w:noProof w:val="0"/>
            <w:color w:val="0077CC"/>
            <w:position w:val="0"/>
            <w:sz w:val="20"/>
            <w:u w:val="single"/>
            <w:vertAlign w:val="baseline"/>
          </w:rPr>
          <w:t>, 202 F.3d 1199, 1205 n.3 (9th Cir. 2000)</w:t>
        </w:r>
      </w:hyperlink>
      <w:r>
        <w:rPr>
          <w:rFonts w:ascii="arial" w:eastAsia="arial" w:hAnsi="arial" w:cs="arial"/>
          <w:b w:val="0"/>
          <w:i w:val="0"/>
          <w:strike w:val="0"/>
          <w:noProof w:val="0"/>
          <w:color w:val="000000"/>
          <w:position w:val="0"/>
          <w:sz w:val="20"/>
          <w:u w:val="none"/>
          <w:vertAlign w:val="baseline"/>
        </w:rPr>
        <w:t xml:space="preserve">. To establish a trademark infringement claim or an unfair competition claim under the Lanham Act, a plaintiff must show that (1) the plaintiff has a protectable ownership interest in the mark, and (2) that the defendant's use of the mark is likely to cause consumer confusion. </w:t>
      </w:r>
      <w:hyperlink r:id="rId10" w:history="1">
        <w:r>
          <w:rPr>
            <w:rFonts w:ascii="arial" w:eastAsia="arial" w:hAnsi="arial" w:cs="arial"/>
            <w:b w:val="0"/>
            <w:i/>
            <w:strike w:val="0"/>
            <w:noProof w:val="0"/>
            <w:color w:val="0077CC"/>
            <w:position w:val="0"/>
            <w:sz w:val="20"/>
            <w:u w:val="single"/>
            <w:vertAlign w:val="baseline"/>
          </w:rPr>
          <w:t>15 U.S.C.A. §§ 1114(1)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1125(a)</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Brookfield Commc'ns, Inc. v. W. Coast Ent. Corp.</w:t>
        </w:r>
      </w:hyperlink>
      <w:hyperlink r:id="rId31" w:history="1">
        <w:r>
          <w:rPr>
            <w:rFonts w:ascii="arial" w:eastAsia="arial" w:hAnsi="arial" w:cs="arial"/>
            <w:b w:val="0"/>
            <w:i/>
            <w:strike w:val="0"/>
            <w:noProof w:val="0"/>
            <w:color w:val="0077CC"/>
            <w:position w:val="0"/>
            <w:sz w:val="20"/>
            <w:u w:val="single"/>
            <w:vertAlign w:val="baseline"/>
          </w:rPr>
          <w:t>, 174 F.3d 1036, 1046 (9th Cir. 1999)</w:t>
        </w:r>
      </w:hyperlink>
      <w:r>
        <w:rPr>
          <w:rFonts w:ascii="arial" w:eastAsia="arial" w:hAnsi="arial" w:cs="arial"/>
          <w:b w:val="0"/>
          <w:i w:val="0"/>
          <w:strike w:val="0"/>
          <w:noProof w:val="0"/>
          <w:color w:val="000000"/>
          <w:position w:val="0"/>
          <w:sz w:val="20"/>
          <w:u w:val="none"/>
          <w:vertAlign w:val="baseline"/>
        </w:rPr>
        <w:t>. The standard test of ownership is priority of use - that is to say, the party claiming ownership must have been the first to actually use the mark in the sale of goods or services.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Sengoku Works Ltd. v. RMC Int'l, Ltd.</w:t>
        </w:r>
      </w:hyperlink>
      <w:hyperlink r:id="rId32" w:history="1">
        <w:r>
          <w:rPr>
            <w:rFonts w:ascii="arial" w:eastAsia="arial" w:hAnsi="arial" w:cs="arial"/>
            <w:b w:val="0"/>
            <w:i/>
            <w:strike w:val="0"/>
            <w:noProof w:val="0"/>
            <w:color w:val="0077CC"/>
            <w:position w:val="0"/>
            <w:sz w:val="20"/>
            <w:u w:val="single"/>
            <w:vertAlign w:val="baseline"/>
          </w:rPr>
          <w:t>, 96 F.3d 1217, 1219 (9th Cir.)</w:t>
        </w:r>
      </w:hyperlink>
      <w:r>
        <w:rPr>
          <w:rFonts w:ascii="arial" w:eastAsia="arial" w:hAnsi="arial" w:cs="arial"/>
          <w:b w:val="0"/>
          <w:i w:val="0"/>
          <w:strike w:val="0"/>
          <w:noProof w:val="0"/>
          <w:color w:val="000000"/>
          <w:position w:val="0"/>
          <w:sz w:val="20"/>
          <w:u w:val="none"/>
          <w:vertAlign w:val="baseline"/>
        </w:rPr>
        <w:t xml:space="preserve">, as modified, </w:t>
      </w:r>
      <w:r>
        <w:rPr>
          <w:rFonts w:ascii="arial" w:eastAsia="arial" w:hAnsi="arial" w:cs="arial"/>
          <w:b w:val="0"/>
          <w:i/>
          <w:strike w:val="0"/>
          <w:noProof w:val="0"/>
          <w:color w:val="000000"/>
          <w:position w:val="0"/>
          <w:sz w:val="20"/>
          <w:u w:val="none"/>
          <w:vertAlign w:val="baseline"/>
        </w:rPr>
        <w:t>97 F.3d 1460 (9th Cir. 1996)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Protectable Ownership Interest</w:t>
      </w:r>
    </w:p>
    <w:p>
      <w:pPr>
        <w:keepNext w:val="0"/>
        <w:spacing w:before="240" w:after="0" w:line="260" w:lineRule="atLeast"/>
        <w:ind w:left="0" w:right="0" w:firstLine="0"/>
        <w:jc w:val="both"/>
      </w:pPr>
      <w:bookmarkStart w:id="41" w:name="Bookmark_para_31"/>
      <w:bookmarkEnd w:id="41"/>
      <w:hyperlink r:id="rId12" w:history="1">
        <w:r>
          <w:rPr>
            <w:rFonts w:ascii="arial" w:eastAsia="arial" w:hAnsi="arial" w:cs="arial"/>
            <w:b w:val="0"/>
            <w:i/>
            <w:strike w:val="0"/>
            <w:color w:val="0077CC"/>
            <w:sz w:val="20"/>
            <w:u w:val="single"/>
            <w:vertAlign w:val="baseline"/>
          </w:rPr>
          <w:t>California Business and Professions Code § 17200</w:t>
        </w:r>
      </w:hyperlink>
      <w:r>
        <w:rPr>
          <w:rFonts w:ascii="arial" w:eastAsia="arial" w:hAnsi="arial" w:cs="arial"/>
          <w:b w:val="0"/>
          <w:i w:val="0"/>
          <w:strike w:val="0"/>
          <w:noProof w:val="0"/>
          <w:color w:val="000000"/>
          <w:position w:val="0"/>
          <w:sz w:val="20"/>
          <w:u w:val="none"/>
          <w:vertAlign w:val="baseline"/>
        </w:rPr>
        <w:t xml:space="preserve"> claims are "substantially congruent" with federal trademark claims, and the analysis under each regime is therefore the same. </w:t>
      </w:r>
      <w:hyperlink r:id="rId33" w:history="1">
        <w:r>
          <w:rPr>
            <w:rFonts w:ascii="arial" w:eastAsia="arial" w:hAnsi="arial" w:cs="arial"/>
            <w:b w:val="0"/>
            <w:i/>
            <w:strike w:val="0"/>
            <w:noProof w:val="0"/>
            <w:color w:val="0077CC"/>
            <w:position w:val="0"/>
            <w:sz w:val="20"/>
            <w:u w:val="single"/>
            <w:vertAlign w:val="baseline"/>
          </w:rPr>
          <w:t>Cleary v. News Corp.</w:t>
        </w:r>
      </w:hyperlink>
      <w:hyperlink r:id="rId33" w:history="1">
        <w:r>
          <w:rPr>
            <w:rFonts w:ascii="arial" w:eastAsia="arial" w:hAnsi="arial" w:cs="arial"/>
            <w:b w:val="0"/>
            <w:i/>
            <w:strike w:val="0"/>
            <w:noProof w:val="0"/>
            <w:color w:val="0077CC"/>
            <w:position w:val="0"/>
            <w:sz w:val="20"/>
            <w:u w:val="single"/>
            <w:vertAlign w:val="baseline"/>
          </w:rPr>
          <w:t>, 30 F.3d 1255, 1262-63 (9th Cir. 1994)</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Grupo Gigante S.A. de C.V. v. Dallo &amp; Co.</w:t>
        </w:r>
      </w:hyperlink>
      <w:hyperlink r:id="rId34" w:history="1">
        <w:r>
          <w:rPr>
            <w:rFonts w:ascii="arial" w:eastAsia="arial" w:hAnsi="arial" w:cs="arial"/>
            <w:b w:val="0"/>
            <w:i/>
            <w:strike w:val="0"/>
            <w:noProof w:val="0"/>
            <w:color w:val="0077CC"/>
            <w:position w:val="0"/>
            <w:sz w:val="20"/>
            <w:u w:val="single"/>
            <w:vertAlign w:val="baseline"/>
          </w:rPr>
          <w:t>, 391 F.3d 1088, 1100 (9th Cir. 2004)</w:t>
        </w:r>
      </w:hyperlink>
      <w:r>
        <w:rPr>
          <w:rFonts w:ascii="arial" w:eastAsia="arial" w:hAnsi="arial" w:cs="arial"/>
          <w:b w:val="0"/>
          <w:i w:val="0"/>
          <w:strike w:val="0"/>
          <w:noProof w:val="0"/>
          <w:color w:val="000000"/>
          <w:position w:val="0"/>
          <w:sz w:val="20"/>
          <w:u w:val="none"/>
          <w:vertAlign w:val="baseline"/>
        </w:rPr>
        <w:t>. As such, the Court will analyze Plaintiffs' federal and state claims together.</w:t>
      </w:r>
    </w:p>
    <w:p>
      <w:pPr>
        <w:keepNext w:val="0"/>
        <w:spacing w:before="240" w:after="0" w:line="260" w:lineRule="atLeast"/>
        <w:ind w:left="0" w:right="0" w:firstLine="0"/>
        <w:jc w:val="both"/>
      </w:pPr>
      <w:bookmarkStart w:id="42" w:name="Bookmark_para_32"/>
      <w:bookmarkEnd w:id="42"/>
      <w:r>
        <w:rPr>
          <w:rFonts w:ascii="arial" w:eastAsia="arial" w:hAnsi="arial" w:cs="arial"/>
          <w:b w:val="0"/>
          <w:i w:val="0"/>
          <w:strike w:val="0"/>
          <w:noProof w:val="0"/>
          <w:color w:val="000000"/>
          <w:position w:val="0"/>
          <w:sz w:val="20"/>
          <w:u w:val="none"/>
          <w:vertAlign w:val="baseline"/>
        </w:rPr>
        <w:t xml:space="preserve">Registration of a mark is prima facie evidence of the validity of the mark, as well as the owner's ownership of the mark and right to use the mark in commerce. </w:t>
      </w:r>
      <w:hyperlink r:id="rId35" w:history="1">
        <w:r>
          <w:rPr>
            <w:rFonts w:ascii="arial" w:eastAsia="arial" w:hAnsi="arial" w:cs="arial"/>
            <w:b w:val="0"/>
            <w:i/>
            <w:strike w:val="0"/>
            <w:noProof w:val="0"/>
            <w:color w:val="0077CC"/>
            <w:position w:val="0"/>
            <w:sz w:val="20"/>
            <w:u w:val="single"/>
            <w:vertAlign w:val="baseline"/>
          </w:rPr>
          <w:t>15 U.S.C. § 1057</w:t>
        </w:r>
      </w:hyperlink>
      <w:r>
        <w:rPr>
          <w:rFonts w:ascii="arial" w:eastAsia="arial" w:hAnsi="arial" w:cs="arial"/>
          <w:b w:val="0"/>
          <w:i w:val="0"/>
          <w:strike w:val="0"/>
          <w:noProof w:val="0"/>
          <w:color w:val="000000"/>
          <w:position w:val="0"/>
          <w:sz w:val="20"/>
          <w:u w:val="none"/>
          <w:vertAlign w:val="baseline"/>
        </w:rPr>
        <w:t xml:space="preserve">. Registration therefore "discharges the plaintiff's common law burden of proving validity in an infringement action," and the burden of production shifts to the defendant to rebut validity if they wish to do so. </w:t>
      </w:r>
      <w:hyperlink r:id="rId36" w:history="1">
        <w:r>
          <w:rPr>
            <w:rFonts w:ascii="arial" w:eastAsia="arial" w:hAnsi="arial" w:cs="arial"/>
            <w:b w:val="0"/>
            <w:i/>
            <w:strike w:val="0"/>
            <w:noProof w:val="0"/>
            <w:color w:val="0077CC"/>
            <w:position w:val="0"/>
            <w:sz w:val="20"/>
            <w:u w:val="single"/>
            <w:vertAlign w:val="baseline"/>
          </w:rPr>
          <w:t>Tie Tech, Inc. v. Kinedyne Corp.</w:t>
        </w:r>
      </w:hyperlink>
      <w:hyperlink r:id="rId36" w:history="1">
        <w:r>
          <w:rPr>
            <w:rFonts w:ascii="arial" w:eastAsia="arial" w:hAnsi="arial" w:cs="arial"/>
            <w:b w:val="0"/>
            <w:i/>
            <w:strike w:val="0"/>
            <w:noProof w:val="0"/>
            <w:color w:val="0077CC"/>
            <w:position w:val="0"/>
            <w:sz w:val="20"/>
            <w:u w:val="single"/>
            <w:vertAlign w:val="baseline"/>
          </w:rPr>
          <w:t>, 296 F.3d 778, 783 (9th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33"/>
      <w:bookmarkEnd w:id="43"/>
      <w:r>
        <w:rPr>
          <w:rFonts w:ascii="arial" w:eastAsia="arial" w:hAnsi="arial" w:cs="arial"/>
          <w:b w:val="0"/>
          <w:i w:val="0"/>
          <w:strike w:val="0"/>
          <w:noProof w:val="0"/>
          <w:color w:val="000000"/>
          <w:position w:val="0"/>
          <w:sz w:val="20"/>
          <w:u w:val="none"/>
          <w:vertAlign w:val="baseline"/>
        </w:rPr>
        <w:t xml:space="preserve">It is not necessary that a trademark be registered in order for it to qualify for protection under the Lanham Act. </w:t>
      </w:r>
      <w:hyperlink r:id="rId37" w:history="1">
        <w:r>
          <w:rPr>
            <w:rFonts w:ascii="arial" w:eastAsia="arial" w:hAnsi="arial" w:cs="arial"/>
            <w:b w:val="0"/>
            <w:i/>
            <w:strike w:val="0"/>
            <w:noProof w:val="0"/>
            <w:color w:val="0077CC"/>
            <w:position w:val="0"/>
            <w:sz w:val="20"/>
            <w:u w:val="single"/>
            <w:vertAlign w:val="baseline"/>
          </w:rPr>
          <w:t>New W. Corp. v. NYM Co. of California</w:t>
        </w:r>
      </w:hyperlink>
      <w:hyperlink r:id="rId37" w:history="1">
        <w:r>
          <w:rPr>
            <w:rFonts w:ascii="arial" w:eastAsia="arial" w:hAnsi="arial" w:cs="arial"/>
            <w:b w:val="0"/>
            <w:i/>
            <w:strike w:val="0"/>
            <w:noProof w:val="0"/>
            <w:color w:val="0077CC"/>
            <w:position w:val="0"/>
            <w:sz w:val="20"/>
            <w:u w:val="single"/>
            <w:vertAlign w:val="baseline"/>
          </w:rPr>
          <w:t>, 595 F.2d 1194, 1198 (9th Cir. 1979)</w:t>
        </w:r>
      </w:hyperlink>
      <w:r>
        <w:rPr>
          <w:rFonts w:ascii="arial" w:eastAsia="arial" w:hAnsi="arial" w:cs="arial"/>
          <w:b w:val="0"/>
          <w:i w:val="0"/>
          <w:strike w:val="0"/>
          <w:noProof w:val="0"/>
          <w:color w:val="000000"/>
          <w:position w:val="0"/>
          <w:sz w:val="20"/>
          <w:u w:val="none"/>
          <w:vertAlign w:val="baseline"/>
        </w:rPr>
        <w:t xml:space="preserve">. However, without registration, a mark does not receive the prima facia presumption of validity that registered marks benefit from. </w:t>
      </w:r>
      <w:hyperlink r:id="rId31" w:history="1">
        <w:r>
          <w:rPr>
            <w:rFonts w:ascii="arial" w:eastAsia="arial" w:hAnsi="arial" w:cs="arial"/>
            <w:b w:val="0"/>
            <w:i/>
            <w:strike w:val="0"/>
            <w:noProof w:val="0"/>
            <w:color w:val="0077CC"/>
            <w:position w:val="0"/>
            <w:sz w:val="20"/>
            <w:u w:val="single"/>
            <w:vertAlign w:val="baseline"/>
          </w:rPr>
          <w:t>Brookfield Commc'ns, Inc. v. W. Coast Ent. Corp.</w:t>
        </w:r>
      </w:hyperlink>
      <w:hyperlink r:id="rId31" w:history="1">
        <w:r>
          <w:rPr>
            <w:rFonts w:ascii="arial" w:eastAsia="arial" w:hAnsi="arial" w:cs="arial"/>
            <w:b w:val="0"/>
            <w:i/>
            <w:strike w:val="0"/>
            <w:noProof w:val="0"/>
            <w:color w:val="0077CC"/>
            <w:position w:val="0"/>
            <w:sz w:val="20"/>
            <w:u w:val="single"/>
            <w:vertAlign w:val="baseline"/>
          </w:rPr>
          <w:t>, 174 F.3d 1036, 1047 (9th Cir. 1999)</w:t>
        </w:r>
      </w:hyperlink>
      <w:r>
        <w:rPr>
          <w:rFonts w:ascii="arial" w:eastAsia="arial" w:hAnsi="arial" w:cs="arial"/>
          <w:b w:val="0"/>
          <w:i w:val="0"/>
          <w:strike w:val="0"/>
          <w:noProof w:val="0"/>
          <w:color w:val="000000"/>
          <w:position w:val="0"/>
          <w:sz w:val="20"/>
          <w:u w:val="none"/>
          <w:vertAlign w:val="baseline"/>
        </w:rPr>
        <w:t xml:space="preserve">. A plaintiff claiming an unregistered trademark must therefore alleges sufficient facts to support it's assertion that it has a valid ownership interest in the mark. </w:t>
      </w:r>
      <w:hyperlink r:id="rId38" w:history="1">
        <w:r>
          <w:rPr>
            <w:rFonts w:ascii="arial" w:eastAsia="arial" w:hAnsi="arial" w:cs="arial"/>
            <w:b w:val="0"/>
            <w:i/>
            <w:strike w:val="0"/>
            <w:noProof w:val="0"/>
            <w:color w:val="0077CC"/>
            <w:position w:val="0"/>
            <w:sz w:val="20"/>
            <w:u w:val="single"/>
            <w:vertAlign w:val="baseline"/>
          </w:rPr>
          <w:t>Sebastian Brown Prods., LLC v. Muzooka, Inc.</w:t>
        </w:r>
      </w:hyperlink>
      <w:hyperlink r:id="rId38" w:history="1">
        <w:r>
          <w:rPr>
            <w:rFonts w:ascii="arial" w:eastAsia="arial" w:hAnsi="arial" w:cs="arial"/>
            <w:b w:val="0"/>
            <w:i/>
            <w:strike w:val="0"/>
            <w:noProof w:val="0"/>
            <w:color w:val="0077CC"/>
            <w:position w:val="0"/>
            <w:sz w:val="20"/>
            <w:u w:val="single"/>
            <w:vertAlign w:val="baseline"/>
          </w:rPr>
          <w:t>, 143 F. Supp. 3d 1026, 1041 (N.D. Cal. 2015)</w:t>
        </w:r>
      </w:hyperlink>
      <w:r>
        <w:rPr>
          <w:rFonts w:ascii="arial" w:eastAsia="arial" w:hAnsi="arial" w:cs="arial"/>
          <w:b w:val="0"/>
          <w:i w:val="0"/>
          <w:strike w:val="0"/>
          <w:noProof w:val="0"/>
          <w:color w:val="000000"/>
          <w:position w:val="0"/>
          <w:sz w:val="20"/>
          <w:u w:val="none"/>
          <w:vertAlign w:val="baseline"/>
        </w:rPr>
        <w:t>. When a plaintiff claims priority by alleging that the plaintiff used the mark in commerce before a defendant, that plaintiff must allege the plaintiff's date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first use.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1040-41</w:t>
        </w:r>
      </w:hyperlink>
      <w:r>
        <w:rPr>
          <w:rFonts w:ascii="arial" w:eastAsia="arial" w:hAnsi="arial" w:cs="arial"/>
          <w:b w:val="0"/>
          <w:i w:val="0"/>
          <w:strike w:val="0"/>
          <w:noProof w:val="0"/>
          <w:color w:val="000000"/>
          <w:position w:val="0"/>
          <w:sz w:val="20"/>
          <w:u w:val="none"/>
          <w:vertAlign w:val="baseline"/>
        </w:rPr>
        <w:t xml:space="preserve">. It is insufficient, for example, to merely allege that a plaintiff has used the mark "for several years."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1041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Prior Use</w:t>
      </w:r>
    </w:p>
    <w:p>
      <w:pPr>
        <w:keepNext w:val="0"/>
        <w:spacing w:before="240" w:after="0" w:line="260" w:lineRule="atLeast"/>
        <w:ind w:left="0" w:right="0" w:firstLine="0"/>
        <w:jc w:val="both"/>
      </w:pPr>
      <w:bookmarkStart w:id="44" w:name="Bookmark_para_34"/>
      <w:bookmarkEnd w:id="44"/>
      <w:r>
        <w:rPr>
          <w:rFonts w:ascii="arial" w:eastAsia="arial" w:hAnsi="arial" w:cs="arial"/>
          <w:b w:val="0"/>
          <w:i w:val="0"/>
          <w:strike w:val="0"/>
          <w:noProof w:val="0"/>
          <w:color w:val="000000"/>
          <w:position w:val="0"/>
          <w:sz w:val="20"/>
          <w:u w:val="none"/>
          <w:vertAlign w:val="baseline"/>
        </w:rPr>
        <w:t xml:space="preserve">A court may generally consider facts subject to judicial notice at the pleading stage without converting the movant's motion into one for summary judgment. </w:t>
      </w:r>
      <w:hyperlink r:id="rId39" w:history="1">
        <w:r>
          <w:rPr>
            <w:rFonts w:ascii="arial" w:eastAsia="arial" w:hAnsi="arial" w:cs="arial"/>
            <w:b w:val="0"/>
            <w:i/>
            <w:strike w:val="0"/>
            <w:noProof w:val="0"/>
            <w:color w:val="0077CC"/>
            <w:position w:val="0"/>
            <w:sz w:val="20"/>
            <w:u w:val="single"/>
            <w:vertAlign w:val="baseline"/>
          </w:rPr>
          <w:t>Mullis v. U.S. Bankr. Court</w:t>
        </w:r>
      </w:hyperlink>
      <w:hyperlink r:id="rId39" w:history="1">
        <w:r>
          <w:rPr>
            <w:rFonts w:ascii="arial" w:eastAsia="arial" w:hAnsi="arial" w:cs="arial"/>
            <w:b w:val="0"/>
            <w:i/>
            <w:strike w:val="0"/>
            <w:noProof w:val="0"/>
            <w:color w:val="0077CC"/>
            <w:position w:val="0"/>
            <w:sz w:val="20"/>
            <w:u w:val="single"/>
            <w:vertAlign w:val="baseline"/>
          </w:rPr>
          <w:t>, 828 F.2d 1385, 1388 (9th Cir.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35"/>
      <w:bookmarkEnd w:id="45"/>
      <w:bookmarkStart w:id="46" w:name="Bookmark_I69DMKMP2N1RP30040000400"/>
      <w:bookmarkEnd w:id="46"/>
      <w:r>
        <w:rPr>
          <w:rFonts w:ascii="arial" w:eastAsia="arial" w:hAnsi="arial" w:cs="arial"/>
          <w:b w:val="0"/>
          <w:i w:val="0"/>
          <w:strike w:val="0"/>
          <w:noProof w:val="0"/>
          <w:color w:val="000000"/>
          <w:position w:val="0"/>
          <w:sz w:val="20"/>
          <w:u w:val="none"/>
          <w:vertAlign w:val="baseline"/>
        </w:rPr>
        <w:t xml:space="preserve">However, it is inappropriate to determine the factual issue of prior use at the pleading stage. </w:t>
      </w:r>
      <w:bookmarkStart w:id="47" w:name="Bookmark_I69DMKMP2N1RP30030000400"/>
      <w:bookmarkEnd w:id="47"/>
      <w:hyperlink r:id="rId40" w:history="1">
        <w:r>
          <w:rPr>
            <w:rFonts w:ascii="arial" w:eastAsia="arial" w:hAnsi="arial" w:cs="arial"/>
            <w:b w:val="0"/>
            <w:i/>
            <w:strike w:val="0"/>
            <w:noProof w:val="0"/>
            <w:color w:val="0077CC"/>
            <w:position w:val="0"/>
            <w:sz w:val="20"/>
            <w:u w:val="single"/>
            <w:vertAlign w:val="baseline"/>
          </w:rPr>
          <w:t>Planet Coffee Roasters, Inc. v. Dam</w:t>
        </w:r>
      </w:hyperlink>
      <w:hyperlink r:id="rId40" w:history="1">
        <w:r>
          <w:rPr>
            <w:rFonts w:ascii="arial" w:eastAsia="arial" w:hAnsi="arial" w:cs="arial"/>
            <w:b w:val="0"/>
            <w:i/>
            <w:strike w:val="0"/>
            <w:noProof w:val="0"/>
            <w:color w:val="0077CC"/>
            <w:position w:val="0"/>
            <w:sz w:val="20"/>
            <w:u w:val="single"/>
            <w:vertAlign w:val="baseline"/>
          </w:rPr>
          <w:t>, No. SACV 09-00571-MLG, 2009 U.S. Dist. LEXIS 70775, 2009 WL 2486457, at *2 (C.D. Cal. Aug. 12, 2009)</w:t>
        </w:r>
      </w:hyperlink>
      <w:r>
        <w:rPr>
          <w:rFonts w:ascii="arial" w:eastAsia="arial" w:hAnsi="arial" w:cs="arial"/>
          <w:b w:val="0"/>
          <w:i w:val="0"/>
          <w:strike w:val="0"/>
          <w:noProof w:val="0"/>
          <w:color w:val="000000"/>
          <w:position w:val="0"/>
          <w:sz w:val="20"/>
          <w:u w:val="none"/>
          <w:vertAlign w:val="baseline"/>
        </w:rPr>
        <w:t xml:space="preserve"> (denying 12(b)(6) motion which argued that dismissal was appropriate because defendant was a prior user of plaintiff's mark); </w:t>
      </w:r>
      <w:bookmarkStart w:id="48" w:name="Bookmark_I692JXW52D6NRK0030000400"/>
      <w:bookmarkEnd w:id="48"/>
      <w:hyperlink r:id="rId41" w:history="1">
        <w:r>
          <w:rPr>
            <w:rFonts w:ascii="arial" w:eastAsia="arial" w:hAnsi="arial" w:cs="arial"/>
            <w:b w:val="0"/>
            <w:i/>
            <w:strike w:val="0"/>
            <w:noProof w:val="0"/>
            <w:color w:val="0077CC"/>
            <w:position w:val="0"/>
            <w:sz w:val="20"/>
            <w:u w:val="single"/>
            <w:vertAlign w:val="baseline"/>
          </w:rPr>
          <w:t>Roseville Fullerton Burton Holdings, LLC v. SoCal Wheels, Inc.</w:t>
        </w:r>
      </w:hyperlink>
      <w:hyperlink r:id="rId41" w:history="1">
        <w:r>
          <w:rPr>
            <w:rFonts w:ascii="arial" w:eastAsia="arial" w:hAnsi="arial" w:cs="arial"/>
            <w:b w:val="0"/>
            <w:i/>
            <w:strike w:val="0"/>
            <w:noProof w:val="0"/>
            <w:color w:val="0077CC"/>
            <w:position w:val="0"/>
            <w:sz w:val="20"/>
            <w:u w:val="single"/>
            <w:vertAlign w:val="baseline"/>
          </w:rPr>
          <w:t>, No. SACV141954JLSJCGX, 2016 U.S. Dist. LEXIS 186049, 2016 WL 6159014, at *5 (C.D. Cal. May 20, 2016)</w:t>
        </w:r>
      </w:hyperlink>
      <w:r>
        <w:rPr>
          <w:rFonts w:ascii="arial" w:eastAsia="arial" w:hAnsi="arial" w:cs="arial"/>
          <w:b w:val="0"/>
          <w:i w:val="0"/>
          <w:strike w:val="0"/>
          <w:noProof w:val="0"/>
          <w:color w:val="000000"/>
          <w:position w:val="0"/>
          <w:sz w:val="20"/>
          <w:u w:val="none"/>
          <w:vertAlign w:val="baseline"/>
        </w:rPr>
        <w:t xml:space="preserve">. "If defendants are permitted to present their own version of the facts at the pleading stage—and district courts accept those facts as uncontroverted and true—it becomes near impossible for even the most aggrieved plaintiff to demonstrate a sufficiently "plausible" claim for relief." </w:t>
      </w:r>
      <w:hyperlink r:id="rId22" w:history="1">
        <w:r>
          <w:rPr>
            <w:rFonts w:ascii="arial" w:eastAsia="arial" w:hAnsi="arial" w:cs="arial"/>
            <w:b w:val="0"/>
            <w:i/>
            <w:strike w:val="0"/>
            <w:noProof w:val="0"/>
            <w:color w:val="0077CC"/>
            <w:position w:val="0"/>
            <w:sz w:val="20"/>
            <w:u w:val="single"/>
            <w:vertAlign w:val="baseline"/>
          </w:rPr>
          <w:t>Khoja v. Orexigen Therapeutics, Inc.</w:t>
        </w:r>
      </w:hyperlink>
      <w:hyperlink r:id="rId22" w:history="1">
        <w:r>
          <w:rPr>
            <w:rFonts w:ascii="arial" w:eastAsia="arial" w:hAnsi="arial" w:cs="arial"/>
            <w:b w:val="0"/>
            <w:i/>
            <w:strike w:val="0"/>
            <w:noProof w:val="0"/>
            <w:color w:val="0077CC"/>
            <w:position w:val="0"/>
            <w:sz w:val="20"/>
            <w:u w:val="single"/>
            <w:vertAlign w:val="baseline"/>
          </w:rPr>
          <w:t>, 899 F.3d 988, 999 (9th Cir. 2018)</w:t>
        </w:r>
      </w:hyperlink>
      <w:r>
        <w:rPr>
          <w:rFonts w:ascii="arial" w:eastAsia="arial" w:hAnsi="arial" w:cs="arial"/>
          <w:b w:val="0"/>
          <w:i w:val="0"/>
          <w:strike w:val="0"/>
          <w:noProof w:val="0"/>
          <w:color w:val="000000"/>
          <w:position w:val="0"/>
          <w:sz w:val="20"/>
          <w:u w:val="none"/>
          <w:vertAlign w:val="baseline"/>
        </w:rPr>
        <w:t xml:space="preserve">. "Trademark cases are not resolved with only a stopwatch that pinpoints the time of first use. Put differently, the prior use concept is not only about who used a [m]ark first. Trademark rights are also based, in large part, on the way that a holder uses a [m]ark." </w:t>
      </w:r>
      <w:hyperlink r:id="rId42" w:history="1">
        <w:r>
          <w:rPr>
            <w:rFonts w:ascii="arial" w:eastAsia="arial" w:hAnsi="arial" w:cs="arial"/>
            <w:b w:val="0"/>
            <w:i/>
            <w:strike w:val="0"/>
            <w:noProof w:val="0"/>
            <w:color w:val="0077CC"/>
            <w:position w:val="0"/>
            <w:sz w:val="20"/>
            <w:u w:val="single"/>
            <w:vertAlign w:val="baseline"/>
          </w:rPr>
          <w:t>Advanced Baseball Acad., LLC v. Google</w:t>
        </w:r>
      </w:hyperlink>
      <w:hyperlink r:id="rId42" w:history="1">
        <w:r>
          <w:rPr>
            <w:rFonts w:ascii="arial" w:eastAsia="arial" w:hAnsi="arial" w:cs="arial"/>
            <w:b w:val="0"/>
            <w:i/>
            <w:strike w:val="0"/>
            <w:noProof w:val="0"/>
            <w:color w:val="0077CC"/>
            <w:position w:val="0"/>
            <w:sz w:val="20"/>
            <w:u w:val="single"/>
            <w:vertAlign w:val="baseline"/>
          </w:rPr>
          <w:t>, Inc., No. 14-2461-CM, 2015 U.S. Dist. LEXIS 40151, 2015 WL 1440656, at *7 (D. Kan. Mar. 30, 2015)</w:t>
        </w:r>
      </w:hyperlink>
      <w:r>
        <w:rPr>
          <w:rFonts w:ascii="arial" w:eastAsia="arial" w:hAnsi="arial" w:cs="arial"/>
          <w:b w:val="0"/>
          <w:i w:val="0"/>
          <w:strike w:val="0"/>
          <w:noProof w:val="0"/>
          <w:color w:val="000000"/>
          <w:position w:val="0"/>
          <w:sz w:val="20"/>
          <w:u w:val="none"/>
          <w:vertAlign w:val="baseline"/>
        </w:rPr>
        <w:t xml:space="preserve"> (citing 1 Anne Gilson Lalonde, Gilson on Trademarks § 3.02 (Matthew Bender 2014)). As such, it is only necessary to determine whether Plaintiffs can allege prior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use. It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necessary to parse Defendants' evidence to determine which party </w:t>
      </w:r>
      <w:r>
        <w:rPr>
          <w:rFonts w:ascii="arial" w:eastAsia="arial" w:hAnsi="arial" w:cs="arial"/>
          <w:b w:val="0"/>
          <w:i/>
          <w:strike w:val="0"/>
          <w:noProof w:val="0"/>
          <w:color w:val="000000"/>
          <w:position w:val="0"/>
          <w:sz w:val="20"/>
          <w:u w:val="none"/>
          <w:vertAlign w:val="baseline"/>
        </w:rPr>
        <w:t>actually</w:t>
      </w:r>
      <w:r>
        <w:rPr>
          <w:rFonts w:ascii="arial" w:eastAsia="arial" w:hAnsi="arial" w:cs="arial"/>
          <w:b w:val="0"/>
          <w:i w:val="0"/>
          <w:strike w:val="0"/>
          <w:noProof w:val="0"/>
          <w:color w:val="000000"/>
          <w:position w:val="0"/>
          <w:sz w:val="20"/>
          <w:u w:val="none"/>
          <w:vertAlign w:val="baseline"/>
        </w:rPr>
        <w:t xml:space="preserve"> has priority. The Court therefore declines to do so at this stage.</w:t>
      </w:r>
    </w:p>
    <w:p>
      <w:pPr>
        <w:keepNext w:val="0"/>
        <w:spacing w:before="200" w:after="0" w:line="260" w:lineRule="atLeast"/>
        <w:ind w:left="0" w:right="0" w:firstLine="0"/>
        <w:jc w:val="both"/>
      </w:pPr>
      <w:bookmarkStart w:id="49" w:name="Bookmark_para_36"/>
      <w:bookmarkEnd w:id="49"/>
      <w:r>
        <w:rPr>
          <w:rFonts w:ascii="arial" w:eastAsia="arial" w:hAnsi="arial" w:cs="arial"/>
          <w:b w:val="0"/>
          <w:i w:val="0"/>
          <w:strike w:val="0"/>
          <w:noProof w:val="0"/>
          <w:color w:val="000000"/>
          <w:position w:val="0"/>
          <w:sz w:val="20"/>
          <w:u w:val="none"/>
          <w:vertAlign w:val="baseline"/>
        </w:rPr>
        <w:t>The Court previously dismissed the FAC for failing to allege a date of first use. (Dkt. No. 43 at 14.) In the SAC, Plaintiffs now allege that they acquired the PUFF brand on January 21, 2021 and have used the Marks in connection with their Vape Products since that time. (SAC ¶ 15.) Plaintiffs allege a priority date of February 19, 2021 for the U.S. Trademark Registration No. 6907497 for the PUFF PLUS mark in the cloud design. (SAC ¶ 16.)</w:t>
      </w:r>
    </w:p>
    <w:p>
      <w:pPr>
        <w:keepNext w:val="0"/>
        <w:spacing w:before="200" w:after="0" w:line="260" w:lineRule="atLeast"/>
        <w:ind w:left="0" w:right="0" w:firstLine="0"/>
        <w:jc w:val="both"/>
      </w:pPr>
      <w:bookmarkStart w:id="50" w:name="Bookmark_para_37"/>
      <w:bookmarkEnd w:id="50"/>
      <w:r>
        <w:rPr>
          <w:rFonts w:ascii="arial" w:eastAsia="arial" w:hAnsi="arial" w:cs="arial"/>
          <w:b w:val="0"/>
          <w:i w:val="0"/>
          <w:strike w:val="0"/>
          <w:noProof w:val="0"/>
          <w:color w:val="000000"/>
          <w:position w:val="0"/>
          <w:sz w:val="20"/>
          <w:u w:val="none"/>
          <w:vertAlign w:val="baseline"/>
        </w:rPr>
        <w:t>Defendants argue that Plaintiffs have alleged two conflicting priority dates. However, it appears that Plaintiffs have simply identified a different, later priority date which is specific to the PUFF PLUS registered trademark. At worst, there may ambiguity as to whether Plaintiffs assert a separate priority date for their common law claim as to the PUFF PLUS mark. Even this is unlikely, though, since such a date would likely have been used for registration purposes. To the extent that the issue is unclear, however, it can be resolved in discovery through the use of requests for admission and interrogatories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 Defendants are not "left guessing" as they would be if, as occurred in the FAC, Plaintiffs identified multiple dates of use without identifying any actual date as the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date of 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Use</w:t>
      </w:r>
    </w:p>
    <w:p>
      <w:pPr>
        <w:keepNext w:val="0"/>
        <w:spacing w:before="200" w:after="0" w:line="260" w:lineRule="atLeast"/>
        <w:ind w:left="0" w:right="0" w:firstLine="0"/>
        <w:jc w:val="both"/>
      </w:pPr>
      <w:bookmarkStart w:id="51" w:name="Bookmark_para_38"/>
      <w:bookmarkEnd w:id="51"/>
      <w:r>
        <w:rPr>
          <w:rFonts w:ascii="arial" w:eastAsia="arial" w:hAnsi="arial" w:cs="arial"/>
          <w:b w:val="0"/>
          <w:i w:val="0"/>
          <w:strike w:val="0"/>
          <w:noProof w:val="0"/>
          <w:color w:val="000000"/>
          <w:position w:val="0"/>
          <w:sz w:val="20"/>
          <w:u w:val="none"/>
          <w:vertAlign w:val="baseline"/>
        </w:rPr>
        <w:t>Defendants argue that neither Plaintiff nor Plaintiffs' Predecessor have made lawful use of the Marks in commerce because all of the products sold were tobacco products that were adulterated or misbranded under § 902(6)(A) of the FD&amp;C Act and were misbranded under § 903(a)(6) of the FD&amp;C Act. (Mot. at 3-6, 10-11).</w:t>
      </w:r>
    </w:p>
    <w:p>
      <w:pPr>
        <w:keepNext w:val="0"/>
        <w:spacing w:before="240" w:after="0" w:line="260" w:lineRule="atLeast"/>
        <w:ind w:left="0" w:right="0" w:firstLine="0"/>
        <w:jc w:val="both"/>
      </w:pPr>
      <w:bookmarkStart w:id="52" w:name="Bookmark_para_39"/>
      <w:bookmarkEnd w:id="52"/>
      <w:r>
        <w:rPr>
          <w:rFonts w:ascii="arial" w:eastAsia="arial" w:hAnsi="arial" w:cs="arial"/>
          <w:b w:val="0"/>
          <w:i w:val="0"/>
          <w:strike w:val="0"/>
          <w:noProof w:val="0"/>
          <w:color w:val="000000"/>
          <w:position w:val="0"/>
          <w:sz w:val="20"/>
          <w:u w:val="none"/>
          <w:vertAlign w:val="baseline"/>
        </w:rPr>
        <w:t xml:space="preserve">As laid out in the order dismissing the FAC, these arguments are not appropriate for resolution at the pleading stage. (Dkt. No. 43 at 14-15.) A dispute over whether Plaintiffs and their predecessors sold legal products branded with the Marks is inherently factual, and Plaintiffs have plausibly alleged that they have used the Mark in connection with tobacco-free products, which are not subject to FDA premarket authorization. SAC ¶¶ 14-22. To reject those factual allegations and substitute Defendants' own is entirely inappropriate at the pleading stage. </w:t>
      </w:r>
      <w:hyperlink r:id="rId17" w:history="1">
        <w:r>
          <w:rPr>
            <w:rFonts w:ascii="arial" w:eastAsia="arial" w:hAnsi="arial" w:cs="arial"/>
            <w:b w:val="0"/>
            <w:i/>
            <w:strike w:val="0"/>
            <w:noProof w:val="0"/>
            <w:color w:val="0077CC"/>
            <w:position w:val="0"/>
            <w:sz w:val="20"/>
            <w:u w:val="single"/>
            <w:vertAlign w:val="baseline"/>
          </w:rPr>
          <w:t>Erickson v. Pardus</w:t>
        </w:r>
      </w:hyperlink>
      <w:hyperlink r:id="rId17"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40"/>
      <w:bookmarkEnd w:id="53"/>
      <w:r>
        <w:rPr>
          <w:rFonts w:ascii="arial" w:eastAsia="arial" w:hAnsi="arial" w:cs="arial"/>
          <w:b w:val="0"/>
          <w:i w:val="0"/>
          <w:strike w:val="0"/>
          <w:noProof w:val="0"/>
          <w:color w:val="000000"/>
          <w:position w:val="0"/>
          <w:sz w:val="20"/>
          <w:u w:val="none"/>
          <w:vertAlign w:val="baseline"/>
        </w:rPr>
        <w:t xml:space="preserve">Defendants' offer of judicially noticeable documents in support of their argument that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of Plaintiffs' products were illicit does not alter this analysis for two reasons. First,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judicial notice is not a means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a defendant's version of facts at the pleading stage. </w:t>
      </w:r>
      <w:hyperlink r:id="rId22" w:history="1">
        <w:r>
          <w:rPr>
            <w:rFonts w:ascii="arial" w:eastAsia="arial" w:hAnsi="arial" w:cs="arial"/>
            <w:b w:val="0"/>
            <w:i/>
            <w:strike w:val="0"/>
            <w:noProof w:val="0"/>
            <w:color w:val="0077CC"/>
            <w:position w:val="0"/>
            <w:sz w:val="20"/>
            <w:u w:val="single"/>
            <w:vertAlign w:val="baseline"/>
          </w:rPr>
          <w:t>Khoja</w:t>
        </w:r>
      </w:hyperlink>
      <w:hyperlink r:id="rId22" w:history="1">
        <w:r>
          <w:rPr>
            <w:rFonts w:ascii="arial" w:eastAsia="arial" w:hAnsi="arial" w:cs="arial"/>
            <w:b w:val="0"/>
            <w:i/>
            <w:strike w:val="0"/>
            <w:noProof w:val="0"/>
            <w:color w:val="0077CC"/>
            <w:position w:val="0"/>
            <w:sz w:val="20"/>
            <w:u w:val="single"/>
            <w:vertAlign w:val="baseline"/>
          </w:rPr>
          <w:t>, 899 F.3d at 999</w:t>
        </w:r>
      </w:hyperlink>
      <w:r>
        <w:rPr>
          <w:rFonts w:ascii="arial" w:eastAsia="arial" w:hAnsi="arial" w:cs="arial"/>
          <w:b w:val="0"/>
          <w:i w:val="0"/>
          <w:strike w:val="0"/>
          <w:noProof w:val="0"/>
          <w:color w:val="000000"/>
          <w:position w:val="0"/>
          <w:sz w:val="20"/>
          <w:u w:val="none"/>
          <w:vertAlign w:val="baseline"/>
        </w:rPr>
        <w:t xml:space="preserve"> (courts may not take judicial notice of the truth of a document's contents in order to dispute well-pleaded allegations in a complaint). Second, if the Court were to take as true Defendants' factual assertions that Plaintiffs sold tobacco products that were adulterated or misbranded in connection with the Marks, that would not then warrant the factual conclusion that Plaintiffs sold no tobacco-free products in connection with the Marks. Certainly, none of the FDA warning letters in the record indicate that the entirety of the subject businesses' offerings under the Marks were illegal - only that some of them were.</w:t>
      </w:r>
    </w:p>
    <w:p>
      <w:pPr>
        <w:keepNext w:val="0"/>
        <w:spacing w:before="200" w:after="0" w:line="260" w:lineRule="atLeast"/>
        <w:ind w:left="0" w:right="0" w:firstLine="0"/>
        <w:jc w:val="both"/>
      </w:pPr>
      <w:bookmarkStart w:id="54" w:name="Bookmark_para_41"/>
      <w:bookmarkEnd w:id="54"/>
      <w:r>
        <w:rPr>
          <w:rFonts w:ascii="arial" w:eastAsia="arial" w:hAnsi="arial" w:cs="arial"/>
          <w:b w:val="0"/>
          <w:i w:val="0"/>
          <w:strike w:val="0"/>
          <w:noProof w:val="0"/>
          <w:color w:val="000000"/>
          <w:position w:val="0"/>
          <w:sz w:val="20"/>
          <w:u w:val="none"/>
          <w:vertAlign w:val="baseline"/>
        </w:rPr>
        <w:t>Defendants are free to make this argument on summary judgment with a developed factual record. At this stage, with limited documents to rely on and none of Plaintiffs' business records available to confirm or rebut Defendants' factual assertions, the Court will not evaluate the question of illegality.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Anti-Trafficking Rule</w:t>
      </w:r>
    </w:p>
    <w:p>
      <w:pPr>
        <w:keepNext w:val="0"/>
        <w:spacing w:before="200" w:after="0" w:line="260" w:lineRule="atLeast"/>
        <w:ind w:left="0" w:right="0" w:firstLine="0"/>
        <w:jc w:val="both"/>
      </w:pPr>
      <w:bookmarkStart w:id="55" w:name="Bookmark_para_42"/>
      <w:bookmarkEnd w:id="55"/>
      <w:r>
        <w:rPr>
          <w:rFonts w:ascii="arial" w:eastAsia="arial" w:hAnsi="arial" w:cs="arial"/>
          <w:b w:val="0"/>
          <w:i w:val="0"/>
          <w:strike w:val="0"/>
          <w:noProof w:val="0"/>
          <w:color w:val="000000"/>
          <w:position w:val="0"/>
          <w:sz w:val="20"/>
          <w:u w:val="none"/>
          <w:vertAlign w:val="baseline"/>
        </w:rPr>
        <w:t>Defendants argue that Plaintiffs do not validly own the PUFF PLUS mark because both assignments in its chain of ownership violate the Lanham Act's anti-trafficking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rule. (Mot. at 6-9.)</w:t>
      </w:r>
    </w:p>
    <w:p>
      <w:pPr>
        <w:keepNext w:val="0"/>
        <w:spacing w:before="240" w:after="0" w:line="260" w:lineRule="atLeast"/>
        <w:ind w:left="0" w:right="0" w:firstLine="0"/>
        <w:jc w:val="both"/>
      </w:pPr>
      <w:bookmarkStart w:id="56" w:name="Bookmark_para_43"/>
      <w:bookmarkEnd w:id="56"/>
      <w:r>
        <w:rPr>
          <w:rFonts w:ascii="arial" w:eastAsia="arial" w:hAnsi="arial" w:cs="arial"/>
          <w:b w:val="0"/>
          <w:i w:val="0"/>
          <w:strike w:val="0"/>
          <w:noProof w:val="0"/>
          <w:color w:val="000000"/>
          <w:position w:val="0"/>
          <w:sz w:val="20"/>
          <w:u w:val="none"/>
          <w:vertAlign w:val="baseline"/>
        </w:rPr>
        <w:t xml:space="preserve">The Lanham Act generally prohibits the assignment of an application to register a mark prior to the filing of a verified statement of use. </w:t>
      </w:r>
      <w:hyperlink r:id="rId43" w:history="1">
        <w:r>
          <w:rPr>
            <w:rFonts w:ascii="arial" w:eastAsia="arial" w:hAnsi="arial" w:cs="arial"/>
            <w:b w:val="0"/>
            <w:i/>
            <w:strike w:val="0"/>
            <w:noProof w:val="0"/>
            <w:color w:val="0077CC"/>
            <w:position w:val="0"/>
            <w:sz w:val="20"/>
            <w:u w:val="single"/>
            <w:vertAlign w:val="baseline"/>
          </w:rPr>
          <w:t>15 U.S.C. § 1060(a)(1)</w:t>
        </w:r>
      </w:hyperlink>
      <w:r>
        <w:rPr>
          <w:rFonts w:ascii="arial" w:eastAsia="arial" w:hAnsi="arial" w:cs="arial"/>
          <w:b w:val="0"/>
          <w:i w:val="0"/>
          <w:strike w:val="0"/>
          <w:noProof w:val="0"/>
          <w:color w:val="000000"/>
          <w:position w:val="0"/>
          <w:sz w:val="20"/>
          <w:u w:val="none"/>
          <w:vertAlign w:val="baseline"/>
        </w:rPr>
        <w:t xml:space="preserve">. "Thus, an intent-to-use application is not freely assignable." </w:t>
      </w:r>
      <w:hyperlink r:id="rId44" w:history="1">
        <w:r>
          <w:rPr>
            <w:rFonts w:ascii="arial" w:eastAsia="arial" w:hAnsi="arial" w:cs="arial"/>
            <w:b w:val="0"/>
            <w:i/>
            <w:strike w:val="0"/>
            <w:noProof w:val="0"/>
            <w:color w:val="0077CC"/>
            <w:position w:val="0"/>
            <w:sz w:val="20"/>
            <w:u w:val="single"/>
            <w:vertAlign w:val="baseline"/>
          </w:rPr>
          <w:t>Sebastian Brown Prods. LLC v. Muzooka Inc.</w:t>
        </w:r>
      </w:hyperlink>
      <w:hyperlink r:id="rId44" w:history="1">
        <w:r>
          <w:rPr>
            <w:rFonts w:ascii="arial" w:eastAsia="arial" w:hAnsi="arial" w:cs="arial"/>
            <w:b w:val="0"/>
            <w:i/>
            <w:strike w:val="0"/>
            <w:noProof w:val="0"/>
            <w:color w:val="0077CC"/>
            <w:position w:val="0"/>
            <w:sz w:val="20"/>
            <w:u w:val="single"/>
            <w:vertAlign w:val="baseline"/>
          </w:rPr>
          <w:t>, No. 15-CV-01720-LHK, 2016 U.S. Dist. LEXIS 33483, 2016 WL 949004, at *8 (N.D. Cal. Mar. 14, 2016)</w:t>
        </w:r>
      </w:hyperlink>
      <w:r>
        <w:rPr>
          <w:rFonts w:ascii="arial" w:eastAsia="arial" w:hAnsi="arial" w:cs="arial"/>
          <w:b w:val="0"/>
          <w:i w:val="0"/>
          <w:strike w:val="0"/>
          <w:noProof w:val="0"/>
          <w:color w:val="000000"/>
          <w:position w:val="0"/>
          <w:sz w:val="20"/>
          <w:u w:val="none"/>
          <w:vertAlign w:val="baseline"/>
        </w:rPr>
        <w:t xml:space="preserve">. However, even absent a statement of prior use, a mark may be assigned to "a successor to the business of the applicant, or portion thereof, to which the mark pertains, if that business is ongoing and existing." </w:t>
      </w:r>
      <w:hyperlink r:id="rId43" w:history="1">
        <w:r>
          <w:rPr>
            <w:rFonts w:ascii="arial" w:eastAsia="arial" w:hAnsi="arial" w:cs="arial"/>
            <w:b w:val="0"/>
            <w:i/>
            <w:strike w:val="0"/>
            <w:noProof w:val="0"/>
            <w:color w:val="0077CC"/>
            <w:position w:val="0"/>
            <w:sz w:val="20"/>
            <w:u w:val="single"/>
            <w:vertAlign w:val="baseline"/>
          </w:rPr>
          <w:t>15 U.S.C. § 1060</w:t>
        </w:r>
      </w:hyperlink>
      <w:r>
        <w:rPr>
          <w:rFonts w:ascii="arial" w:eastAsia="arial" w:hAnsi="arial" w:cs="arial"/>
          <w:b w:val="0"/>
          <w:i w:val="0"/>
          <w:strike w:val="0"/>
          <w:noProof w:val="0"/>
          <w:color w:val="000000"/>
          <w:position w:val="0"/>
          <w:sz w:val="20"/>
          <w:u w:val="none"/>
          <w:vertAlign w:val="baseline"/>
        </w:rPr>
        <w:t xml:space="preserve">. "Violating this 'anti-trafficking rule' voids the assignment as well as the underlying application and resulting registration." </w:t>
      </w:r>
      <w:hyperlink r:id="rId45" w:history="1">
        <w:r>
          <w:rPr>
            <w:rFonts w:ascii="arial" w:eastAsia="arial" w:hAnsi="arial" w:cs="arial"/>
            <w:b w:val="0"/>
            <w:i/>
            <w:strike w:val="0"/>
            <w:noProof w:val="0"/>
            <w:color w:val="0077CC"/>
            <w:position w:val="0"/>
            <w:sz w:val="20"/>
            <w:u w:val="single"/>
            <w:vertAlign w:val="baseline"/>
          </w:rPr>
          <w:t>Oculu, LLC v. Oculus VR, Inc.</w:t>
        </w:r>
      </w:hyperlink>
      <w:hyperlink r:id="rId45" w:history="1">
        <w:r>
          <w:rPr>
            <w:rFonts w:ascii="arial" w:eastAsia="arial" w:hAnsi="arial" w:cs="arial"/>
            <w:b w:val="0"/>
            <w:i/>
            <w:strike w:val="0"/>
            <w:noProof w:val="0"/>
            <w:color w:val="0077CC"/>
            <w:position w:val="0"/>
            <w:sz w:val="20"/>
            <w:u w:val="single"/>
            <w:vertAlign w:val="baseline"/>
          </w:rPr>
          <w:t>, 2015 U.S. Dist. LEXIS 74666, 2015 WL 3619204, at *7 (C.D. Cal. June 8, 2015)</w:t>
        </w:r>
      </w:hyperlink>
      <w:r>
        <w:rPr>
          <w:rFonts w:ascii="arial" w:eastAsia="arial" w:hAnsi="arial" w:cs="arial"/>
          <w:b w:val="0"/>
          <w:i w:val="0"/>
          <w:strike w:val="0"/>
          <w:noProof w:val="0"/>
          <w:color w:val="000000"/>
          <w:position w:val="0"/>
          <w:sz w:val="20"/>
          <w:u w:val="none"/>
          <w:vertAlign w:val="baseline"/>
        </w:rPr>
        <w:t xml:space="preserve"> (citing </w:t>
      </w:r>
      <w:hyperlink r:id="rId46" w:history="1">
        <w:r>
          <w:rPr>
            <w:rFonts w:ascii="arial" w:eastAsia="arial" w:hAnsi="arial" w:cs="arial"/>
            <w:b w:val="0"/>
            <w:i/>
            <w:strike w:val="0"/>
            <w:noProof w:val="0"/>
            <w:color w:val="0077CC"/>
            <w:position w:val="0"/>
            <w:sz w:val="20"/>
            <w:u w:val="single"/>
            <w:vertAlign w:val="baseline"/>
          </w:rPr>
          <w:t>Clorox Co. v. Chemical Bank, 40 U.S.P.Q.2d 1098, 1104 (TTAB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44"/>
      <w:bookmarkEnd w:id="57"/>
      <w:r>
        <w:rPr>
          <w:rFonts w:ascii="arial" w:eastAsia="arial" w:hAnsi="arial" w:cs="arial"/>
          <w:b w:val="0"/>
          <w:i w:val="0"/>
          <w:strike w:val="0"/>
          <w:noProof w:val="0"/>
          <w:color w:val="000000"/>
          <w:position w:val="0"/>
          <w:sz w:val="20"/>
          <w:u w:val="none"/>
          <w:vertAlign w:val="baseline"/>
        </w:rPr>
        <w:t>As mentioned above, Plaintiffs were assigned the ITU application for the PUFF PLUS mark by DS Tech on January 21, 2021 (Dkt. 27-1, Ex. 7.) DS Tech, in turn, was assigned the ITU application by Cool Clouds on April 23, 2020. (RFJN Ex. 3.) Both conveyances recite that they assign the entire interest and goodwill of the business.</w:t>
      </w:r>
    </w:p>
    <w:p>
      <w:pPr>
        <w:keepNext w:val="0"/>
        <w:spacing w:before="200" w:after="0" w:line="260" w:lineRule="atLeast"/>
        <w:ind w:left="0" w:right="0" w:firstLine="0"/>
        <w:jc w:val="both"/>
      </w:pPr>
      <w:bookmarkStart w:id="58" w:name="Bookmark_para_45"/>
      <w:bookmarkEnd w:id="58"/>
      <w:r>
        <w:rPr>
          <w:rFonts w:ascii="arial" w:eastAsia="arial" w:hAnsi="arial" w:cs="arial"/>
          <w:b w:val="0"/>
          <w:i w:val="0"/>
          <w:strike w:val="0"/>
          <w:noProof w:val="0"/>
          <w:color w:val="000000"/>
          <w:position w:val="0"/>
          <w:sz w:val="20"/>
          <w:u w:val="none"/>
          <w:vertAlign w:val="baseline"/>
        </w:rPr>
        <w:t>Plaintiffs do not assert that a statement of use was filed prior to the assignments, but do argue that each of the assignments fell within the ongoing and existing business exception. (Oppn. at 11-12.) Defendants respond that the mere recitation of the transfer of the business in the assignment documents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is inadequate, and that Plaintiffs must therefore allege the existence of the prior ongoing business in the complaint. (Reply at 4-5.)</w:t>
      </w:r>
    </w:p>
    <w:p>
      <w:pPr>
        <w:keepNext w:val="0"/>
        <w:spacing w:before="200" w:after="0" w:line="260" w:lineRule="atLeast"/>
        <w:ind w:left="0" w:right="0" w:firstLine="0"/>
        <w:jc w:val="both"/>
      </w:pPr>
      <w:bookmarkStart w:id="59" w:name="Bookmark_para_46"/>
      <w:bookmarkEnd w:id="5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Sebastion Brown Prods.</w:t>
      </w:r>
      <w:r>
        <w:rPr>
          <w:rFonts w:ascii="arial" w:eastAsia="arial" w:hAnsi="arial" w:cs="arial"/>
          <w:b w:val="0"/>
          <w:i w:val="0"/>
          <w:strike w:val="0"/>
          <w:noProof w:val="0"/>
          <w:color w:val="000000"/>
          <w:position w:val="0"/>
          <w:sz w:val="20"/>
          <w:u w:val="none"/>
          <w:vertAlign w:val="baseline"/>
        </w:rPr>
        <w:t xml:space="preserve">, the plaintiff had been assigned an ITU for a mark that was then registered after the assignment. </w:t>
      </w:r>
      <w:hyperlink r:id="rId44" w:history="1">
        <w:r>
          <w:rPr>
            <w:rFonts w:ascii="arial" w:eastAsia="arial" w:hAnsi="arial" w:cs="arial"/>
            <w:b w:val="0"/>
            <w:i/>
            <w:strike w:val="0"/>
            <w:noProof w:val="0"/>
            <w:color w:val="0077CC"/>
            <w:position w:val="0"/>
            <w:sz w:val="20"/>
            <w:u w:val="single"/>
            <w:vertAlign w:val="baseline"/>
          </w:rPr>
          <w:t>Sebastian Brown Prods. LLC v. Muzooka Inc.</w:t>
        </w:r>
      </w:hyperlink>
      <w:hyperlink r:id="rId44" w:history="1">
        <w:r>
          <w:rPr>
            <w:rFonts w:ascii="arial" w:eastAsia="arial" w:hAnsi="arial" w:cs="arial"/>
            <w:b w:val="0"/>
            <w:i/>
            <w:strike w:val="0"/>
            <w:noProof w:val="0"/>
            <w:color w:val="0077CC"/>
            <w:position w:val="0"/>
            <w:sz w:val="20"/>
            <w:u w:val="single"/>
            <w:vertAlign w:val="baseline"/>
          </w:rPr>
          <w:t>, No. 15-CV-01720-LHK, 2016 U.S. Dist. LEXIS 33483, 2016 WL 949004, at *12 (N.D. Cal. Mar. 14, 2016)</w:t>
        </w:r>
      </w:hyperlink>
      <w:r>
        <w:rPr>
          <w:rFonts w:ascii="arial" w:eastAsia="arial" w:hAnsi="arial" w:cs="arial"/>
          <w:b w:val="0"/>
          <w:i w:val="0"/>
          <w:strike w:val="0"/>
          <w:noProof w:val="0"/>
          <w:color w:val="000000"/>
          <w:position w:val="0"/>
          <w:sz w:val="20"/>
          <w:u w:val="none"/>
          <w:vertAlign w:val="baseline"/>
        </w:rPr>
        <w:t xml:space="preserve">. The court first found that the mere recitation of the transfer of an ongoing business in the assignment documents was insufficient to establish the exception because mere language cannot control whether an actual business existed.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The court then looked to the complaint for allegations of an ongoing business and, finding none, held that the assignment violated the anti-trafficking rule and granted a motion to dismiss.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14.</w:t>
      </w:r>
    </w:p>
    <w:p>
      <w:pPr>
        <w:keepNext w:val="0"/>
        <w:spacing w:before="200" w:after="0" w:line="260" w:lineRule="atLeast"/>
        <w:ind w:left="0" w:right="0" w:firstLine="0"/>
        <w:jc w:val="both"/>
      </w:pPr>
      <w:bookmarkStart w:id="60" w:name="Bookmark_para_47"/>
      <w:bookmarkEnd w:id="60"/>
      <w:r>
        <w:rPr>
          <w:rFonts w:ascii="arial" w:eastAsia="arial" w:hAnsi="arial" w:cs="arial"/>
          <w:b w:val="0"/>
          <w:i w:val="0"/>
          <w:strike w:val="0"/>
          <w:noProof w:val="0"/>
          <w:color w:val="000000"/>
          <w:position w:val="0"/>
          <w:sz w:val="20"/>
          <w:u w:val="none"/>
          <w:vertAlign w:val="baseline"/>
        </w:rPr>
        <w:t xml:space="preserve">As discussed above, registration of a mark constitutes prima facie evidence of both validity and ownership of the mark. </w:t>
      </w:r>
      <w:hyperlink r:id="rId35" w:history="1">
        <w:r>
          <w:rPr>
            <w:rFonts w:ascii="arial" w:eastAsia="arial" w:hAnsi="arial" w:cs="arial"/>
            <w:b w:val="0"/>
            <w:i/>
            <w:strike w:val="0"/>
            <w:noProof w:val="0"/>
            <w:color w:val="0077CC"/>
            <w:position w:val="0"/>
            <w:sz w:val="20"/>
            <w:u w:val="single"/>
            <w:vertAlign w:val="baseline"/>
          </w:rPr>
          <w:t>15 U.S.C. § 1057</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Tie Tech, Inc. v. Kinedyne Corp.</w:t>
        </w:r>
      </w:hyperlink>
      <w:hyperlink r:id="rId36" w:history="1">
        <w:r>
          <w:rPr>
            <w:rFonts w:ascii="arial" w:eastAsia="arial" w:hAnsi="arial" w:cs="arial"/>
            <w:b w:val="0"/>
            <w:i/>
            <w:strike w:val="0"/>
            <w:noProof w:val="0"/>
            <w:color w:val="0077CC"/>
            <w:position w:val="0"/>
            <w:sz w:val="20"/>
            <w:u w:val="single"/>
            <w:vertAlign w:val="baseline"/>
          </w:rPr>
          <w:t>, 296 F.3d 778, 783 (9th Cir. 2002)</w:t>
        </w:r>
      </w:hyperlink>
      <w:r>
        <w:rPr>
          <w:rFonts w:ascii="arial" w:eastAsia="arial" w:hAnsi="arial" w:cs="arial"/>
          <w:b w:val="0"/>
          <w:i w:val="0"/>
          <w:strike w:val="0"/>
          <w:noProof w:val="0"/>
          <w:color w:val="000000"/>
          <w:position w:val="0"/>
          <w:sz w:val="20"/>
          <w:u w:val="none"/>
          <w:vertAlign w:val="baseline"/>
        </w:rPr>
        <w:t xml:space="preserve">. When a plaintiff holds a registered trademark, they are therefore relieved of the burden of proof as to their ownership of the mark and the mark's validity. </w:t>
      </w:r>
      <w:hyperlink r:id="rId36" w:history="1">
        <w:r>
          <w:rPr>
            <w:rFonts w:ascii="arial" w:eastAsia="arial" w:hAnsi="arial" w:cs="arial"/>
            <w:b w:val="0"/>
            <w:i/>
            <w:strike w:val="0"/>
            <w:noProof w:val="0"/>
            <w:color w:val="0077CC"/>
            <w:position w:val="0"/>
            <w:sz w:val="20"/>
            <w:u w:val="single"/>
            <w:vertAlign w:val="baseline"/>
          </w:rPr>
          <w:t>Tie Tech, Inc.</w:t>
        </w:r>
      </w:hyperlink>
      <w:hyperlink r:id="rId36" w:history="1">
        <w:r>
          <w:rPr>
            <w:rFonts w:ascii="arial" w:eastAsia="arial" w:hAnsi="arial" w:cs="arial"/>
            <w:b w:val="0"/>
            <w:i/>
            <w:strike w:val="0"/>
            <w:noProof w:val="0"/>
            <w:color w:val="0077CC"/>
            <w:position w:val="0"/>
            <w:sz w:val="20"/>
            <w:u w:val="single"/>
            <w:vertAlign w:val="baseline"/>
          </w:rPr>
          <w:t>, 296 F.3d at 783</w:t>
        </w:r>
      </w:hyperlink>
      <w:r>
        <w:rPr>
          <w:rFonts w:ascii="arial" w:eastAsia="arial" w:hAnsi="arial" w:cs="arial"/>
          <w:b w:val="0"/>
          <w:i w:val="0"/>
          <w:strike w:val="0"/>
          <w:noProof w:val="0"/>
          <w:color w:val="000000"/>
          <w:position w:val="0"/>
          <w:sz w:val="20"/>
          <w:u w:val="none"/>
          <w:vertAlign w:val="baseline"/>
        </w:rPr>
        <w:t>. Because the anti-trafficking rule goes to the issue of validity and ownership, it is therefore subject to the same presumption. As such, the presence of allegations and evidence of the PUFF PLUS mark's registration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satisfies Plaintiffs' burden to plead validity at this stage.</w:t>
      </w:r>
    </w:p>
    <w:p>
      <w:pPr>
        <w:keepNext w:val="0"/>
        <w:spacing w:before="240" w:after="0" w:line="260" w:lineRule="atLeast"/>
        <w:ind w:left="0" w:right="0" w:firstLine="0"/>
        <w:jc w:val="both"/>
      </w:pPr>
      <w:bookmarkStart w:id="61" w:name="Bookmark_para_48"/>
      <w:bookmarkEnd w:id="61"/>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val="0"/>
          <w:i/>
          <w:strike w:val="0"/>
          <w:noProof w:val="0"/>
          <w:color w:val="000000"/>
          <w:position w:val="0"/>
          <w:sz w:val="20"/>
          <w:u w:val="none"/>
          <w:vertAlign w:val="baseline"/>
        </w:rPr>
        <w:t>Sebastion Brown Prods</w:t>
      </w:r>
      <w:r>
        <w:rPr>
          <w:rFonts w:ascii="arial" w:eastAsia="arial" w:hAnsi="arial" w:cs="arial"/>
          <w:b w:val="0"/>
          <w:i w:val="0"/>
          <w:strike w:val="0"/>
          <w:noProof w:val="0"/>
          <w:color w:val="000000"/>
          <w:position w:val="0"/>
          <w:sz w:val="20"/>
          <w:u w:val="none"/>
          <w:vertAlign w:val="baseline"/>
        </w:rPr>
        <w:t xml:space="preserve">. court made note of the fact that registration is prima facia evidence of ownership, it did not apply that presumption to the anti-trafficking rule analysis. </w:t>
      </w:r>
      <w:hyperlink r:id="rId44" w:history="1">
        <w:r>
          <w:rPr>
            <w:rFonts w:ascii="arial" w:eastAsia="arial" w:hAnsi="arial" w:cs="arial"/>
            <w:b w:val="0"/>
            <w:i/>
            <w:strike w:val="0"/>
            <w:noProof w:val="0"/>
            <w:color w:val="0077CC"/>
            <w:position w:val="0"/>
            <w:sz w:val="20"/>
            <w:u w:val="single"/>
            <w:vertAlign w:val="baseline"/>
          </w:rPr>
          <w:t>Sebastian Brown Prods. LLC v. Muzooka Inc.</w:t>
        </w:r>
      </w:hyperlink>
      <w:hyperlink r:id="rId44" w:history="1">
        <w:r>
          <w:rPr>
            <w:rFonts w:ascii="arial" w:eastAsia="arial" w:hAnsi="arial" w:cs="arial"/>
            <w:b w:val="0"/>
            <w:i/>
            <w:strike w:val="0"/>
            <w:noProof w:val="0"/>
            <w:color w:val="0077CC"/>
            <w:position w:val="0"/>
            <w:sz w:val="20"/>
            <w:u w:val="single"/>
            <w:vertAlign w:val="baseline"/>
          </w:rPr>
          <w:t>, No. 15-CV-01720-LHK, 2016 U.S. Dist. LEXIS 33483, 2016 WL 949004, at *6 (N.D. Cal. Mar. 14, 2016)</w:t>
        </w:r>
      </w:hyperlink>
      <w:r>
        <w:rPr>
          <w:rFonts w:ascii="arial" w:eastAsia="arial" w:hAnsi="arial" w:cs="arial"/>
          <w:b w:val="0"/>
          <w:i w:val="0"/>
          <w:strike w:val="0"/>
          <w:noProof w:val="0"/>
          <w:color w:val="000000"/>
          <w:position w:val="0"/>
          <w:sz w:val="20"/>
          <w:u w:val="none"/>
          <w:vertAlign w:val="baseline"/>
        </w:rPr>
        <w:t xml:space="preserve">. The court instead held that a plaintiff must plead facts showing the existence of an exception to the anti-trafficking rule.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This approach appears incorrect. While a defendant may present evidence to contravene the presumption created by registration, they must actually present such evidence before the burden shifts back to the plaintiff. </w:t>
      </w:r>
      <w:hyperlink r:id="rId36" w:history="1">
        <w:r>
          <w:rPr>
            <w:rFonts w:ascii="arial" w:eastAsia="arial" w:hAnsi="arial" w:cs="arial"/>
            <w:b w:val="0"/>
            <w:i/>
            <w:strike w:val="0"/>
            <w:noProof w:val="0"/>
            <w:color w:val="0077CC"/>
            <w:position w:val="0"/>
            <w:sz w:val="20"/>
            <w:u w:val="single"/>
            <w:vertAlign w:val="baseline"/>
          </w:rPr>
          <w:t>Tie Tech, Inc.</w:t>
        </w:r>
      </w:hyperlink>
      <w:hyperlink r:id="rId36" w:history="1">
        <w:r>
          <w:rPr>
            <w:rFonts w:ascii="arial" w:eastAsia="arial" w:hAnsi="arial" w:cs="arial"/>
            <w:b w:val="0"/>
            <w:i/>
            <w:strike w:val="0"/>
            <w:noProof w:val="0"/>
            <w:color w:val="0077CC"/>
            <w:position w:val="0"/>
            <w:sz w:val="20"/>
            <w:u w:val="single"/>
            <w:vertAlign w:val="baseline"/>
          </w:rPr>
          <w:t>, 296 F.3d at 783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49"/>
      <w:bookmarkEnd w:id="62"/>
      <w:r>
        <w:rPr>
          <w:rFonts w:ascii="arial" w:eastAsia="arial" w:hAnsi="arial" w:cs="arial"/>
          <w:b w:val="0"/>
          <w:i w:val="0"/>
          <w:strike w:val="0"/>
          <w:noProof w:val="0"/>
          <w:color w:val="000000"/>
          <w:position w:val="0"/>
          <w:sz w:val="20"/>
          <w:u w:val="none"/>
          <w:vertAlign w:val="baseline"/>
        </w:rPr>
        <w:t xml:space="preserve">Here, Defendants have presented evidence that at least some of the products sold by Plaintiffs and their predecessors in connection with the Marks were illegal. However, as discussed above, this evidence does not even purport to indicate that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any of the subject entities' products sold in connection with any of the Marks were illicit. Furthermore, while Defendants may be able to show on summary judgment that there is no reasonable dispute of fact that all of Plaintiffs' and their predecessors' uses of the PUFF PLUS mark were illegal, that dispute is not properly handled at the pleading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stage, where all inferences must be drawn in favor of the nonmoving party. </w:t>
      </w:r>
      <w:hyperlink r:id="rId18" w:history="1">
        <w:r>
          <w:rPr>
            <w:rFonts w:ascii="arial" w:eastAsia="arial" w:hAnsi="arial" w:cs="arial"/>
            <w:b w:val="0"/>
            <w:i/>
            <w:strike w:val="0"/>
            <w:noProof w:val="0"/>
            <w:color w:val="0077CC"/>
            <w:position w:val="0"/>
            <w:sz w:val="20"/>
            <w:u w:val="single"/>
            <w:vertAlign w:val="baseline"/>
          </w:rPr>
          <w:t>Gregg v. Hawaii, Dep't of Pub. Safety</w:t>
        </w:r>
      </w:hyperlink>
      <w:hyperlink r:id="rId18" w:history="1">
        <w:r>
          <w:rPr>
            <w:rFonts w:ascii="arial" w:eastAsia="arial" w:hAnsi="arial" w:cs="arial"/>
            <w:b w:val="0"/>
            <w:i/>
            <w:strike w:val="0"/>
            <w:noProof w:val="0"/>
            <w:color w:val="0077CC"/>
            <w:position w:val="0"/>
            <w:sz w:val="20"/>
            <w:u w:val="single"/>
            <w:vertAlign w:val="baseline"/>
          </w:rPr>
          <w:t>, 870 F.3d 883, 886 (9th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Likelihood of Confusion</w:t>
      </w:r>
    </w:p>
    <w:p>
      <w:pPr>
        <w:keepNext w:val="0"/>
        <w:spacing w:before="200" w:after="0" w:line="260" w:lineRule="atLeast"/>
        <w:ind w:left="0" w:right="0" w:firstLine="0"/>
        <w:jc w:val="both"/>
      </w:pPr>
      <w:bookmarkStart w:id="63" w:name="Bookmark_para_50"/>
      <w:bookmarkEnd w:id="63"/>
      <w:r>
        <w:rPr>
          <w:rFonts w:ascii="arial" w:eastAsia="arial" w:hAnsi="arial" w:cs="arial"/>
          <w:b w:val="0"/>
          <w:i w:val="0"/>
          <w:strike w:val="0"/>
          <w:noProof w:val="0"/>
          <w:color w:val="000000"/>
          <w:position w:val="0"/>
          <w:sz w:val="20"/>
          <w:u w:val="none"/>
          <w:vertAlign w:val="baseline"/>
        </w:rPr>
        <w:t>Plaintiffs have adequately pled likelihood of confusion. (SAC ¶¶ 34-36). Further, Defendants do not contest that Plaintiff has adequately pled likelihood of confusion.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64" w:name="Bookmark_para_51"/>
      <w:bookmarkEnd w:id="64"/>
      <w:r>
        <w:rPr>
          <w:rFonts w:ascii="arial" w:eastAsia="arial" w:hAnsi="arial" w:cs="arial"/>
          <w:b w:val="0"/>
          <w:i w:val="0"/>
          <w:strike w:val="0"/>
          <w:noProof w:val="0"/>
          <w:color w:val="000000"/>
          <w:position w:val="0"/>
          <w:sz w:val="20"/>
          <w:u w:val="none"/>
          <w:vertAlign w:val="baseline"/>
        </w:rPr>
        <w:t xml:space="preserve">For the reasons set forth above, the Court </w:t>
      </w:r>
      <w:r>
        <w:rPr>
          <w:rFonts w:ascii="arial" w:eastAsia="arial" w:hAnsi="arial" w:cs="arial"/>
          <w:b/>
          <w:i w:val="0"/>
          <w:strike w:val="0"/>
          <w:noProof w:val="0"/>
          <w:color w:val="000000"/>
          <w:position w:val="0"/>
          <w:sz w:val="20"/>
          <w:u w:val="single"/>
          <w:vertAlign w:val="baseline"/>
        </w:rPr>
        <w:t>DENIES</w:t>
      </w:r>
      <w:r>
        <w:rPr>
          <w:rFonts w:ascii="arial" w:eastAsia="arial" w:hAnsi="arial" w:cs="arial"/>
          <w:b w:val="0"/>
          <w:i w:val="0"/>
          <w:strike w:val="0"/>
          <w:noProof w:val="0"/>
          <w:color w:val="000000"/>
          <w:position w:val="0"/>
          <w:sz w:val="20"/>
          <w:u w:val="none"/>
          <w:vertAlign w:val="baseline"/>
        </w:rPr>
        <w:t xml:space="preserve"> Defendants' Motion to Dismiss.</w:t>
      </w:r>
    </w:p>
    <w:p>
      <w:pPr>
        <w:keepNext w:val="0"/>
        <w:spacing w:before="200" w:after="0" w:line="260" w:lineRule="atLeast"/>
        <w:ind w:left="0" w:right="0" w:firstLine="0"/>
        <w:jc w:val="both"/>
      </w:pPr>
      <w:bookmarkStart w:id="65" w:name="Bookmark_para_52"/>
      <w:bookmarkEnd w:id="65"/>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53"/>
      <w:bookmarkEnd w:id="66"/>
      <w:r>
        <w:rPr>
          <w:rFonts w:ascii="arial" w:eastAsia="arial" w:hAnsi="arial" w:cs="arial"/>
          <w:b w:val="0"/>
          <w:i w:val="0"/>
          <w:strike w:val="0"/>
          <w:noProof w:val="0"/>
          <w:color w:val="000000"/>
          <w:position w:val="0"/>
          <w:sz w:val="20"/>
          <w:u w:val="none"/>
          <w:vertAlign w:val="baseline"/>
        </w:rPr>
        <w:t>Dated: August 14, 2023</w:t>
      </w:r>
    </w:p>
    <w:p>
      <w:pPr>
        <w:keepNext w:val="0"/>
        <w:spacing w:before="200" w:after="0" w:line="260" w:lineRule="atLeast"/>
        <w:ind w:left="0" w:right="0" w:firstLine="0"/>
        <w:jc w:val="both"/>
      </w:pPr>
      <w:bookmarkStart w:id="67" w:name="Bookmark_para_54"/>
      <w:bookmarkEnd w:id="67"/>
      <w:r>
        <w:rPr>
          <w:rFonts w:ascii="arial" w:eastAsia="arial" w:hAnsi="arial" w:cs="arial"/>
          <w:b w:val="0"/>
          <w:i w:val="0"/>
          <w:strike w:val="0"/>
          <w:noProof w:val="0"/>
          <w:color w:val="000000"/>
          <w:position w:val="0"/>
          <w:sz w:val="20"/>
          <w:u w:val="none"/>
          <w:vertAlign w:val="baseline"/>
        </w:rPr>
        <w:t>/s/ André Birotte Jr.</w:t>
      </w:r>
    </w:p>
    <w:p>
      <w:pPr>
        <w:keepNext w:val="0"/>
        <w:spacing w:before="200" w:after="0" w:line="260" w:lineRule="atLeast"/>
        <w:ind w:left="0" w:right="0" w:firstLine="0"/>
        <w:jc w:val="both"/>
      </w:pPr>
      <w:bookmarkStart w:id="68" w:name="Bookmark_para_55"/>
      <w:bookmarkEnd w:id="68"/>
      <w:r>
        <w:rPr>
          <w:rFonts w:ascii="arial" w:eastAsia="arial" w:hAnsi="arial" w:cs="arial"/>
          <w:b w:val="0"/>
          <w:i w:val="0"/>
          <w:strike w:val="0"/>
          <w:noProof w:val="0"/>
          <w:color w:val="000000"/>
          <w:position w:val="0"/>
          <w:sz w:val="20"/>
          <w:u w:val="none"/>
          <w:vertAlign w:val="baseline"/>
        </w:rPr>
        <w:t>HONORABLE ANDRÉ BIROTTE JR.</w:t>
      </w:r>
    </w:p>
    <w:p>
      <w:pPr>
        <w:keepNext w:val="0"/>
        <w:spacing w:before="200" w:after="0" w:line="260" w:lineRule="atLeast"/>
        <w:ind w:left="0" w:right="0" w:firstLine="0"/>
        <w:jc w:val="both"/>
      </w:pPr>
      <w:bookmarkStart w:id="69" w:name="Bookmark_para_56"/>
      <w:bookmarkEnd w:id="69"/>
      <w:r>
        <w:rPr>
          <w:rFonts w:ascii="arial" w:eastAsia="arial" w:hAnsi="arial" w:cs="arial"/>
          <w:b w:val="0"/>
          <w:i w:val="0"/>
          <w:strike w:val="0"/>
          <w:noProof w:val="0"/>
          <w:color w:val="000000"/>
          <w:position w:val="0"/>
          <w:sz w:val="20"/>
          <w:u w:val="none"/>
          <w:vertAlign w:val="baseline"/>
        </w:rPr>
        <w:t>UNITED STATES DISTRICT COURT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Defendants refer to Dkt. No. 45-1 as the "Second RFJN." Dkt. No. 45-1 is the first set of requests for judicial notice filed in connection with this motion, and the third request for judicial notice filed when accounting for the two filed in connection with the motion to dismiss the FAC.</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The Court has previously taken judicial notice of this item. (Dkt. No. 43 at 5-6.)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Evo Brands, LLC v. Al Khalifa Grp. LLC, 2023 U.S. Dist. LEXIS 151753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9D-W4W2-8T6X-716T-00000-00&amp;context=1519360" TargetMode="External" /><Relationship Id="rId11" Type="http://schemas.openxmlformats.org/officeDocument/2006/relationships/hyperlink" Target="https://advance.lexis.com/api/document?collection=statutes-legislation&amp;id=urn:contentItem:8S9D-W4W2-8T6X-7177-00000-00&amp;context=1519360" TargetMode="External" /><Relationship Id="rId12" Type="http://schemas.openxmlformats.org/officeDocument/2006/relationships/hyperlink" Target="https://advance.lexis.com/api/document?collection=statutes-legislation&amp;id=urn:contentItem:5JFB-2YX1-DYB7-W1SB-00000-00&amp;context=1519360" TargetMode="External" /><Relationship Id="rId13" Type="http://schemas.openxmlformats.org/officeDocument/2006/relationships/hyperlink" Target="https://advance.lexis.com/api/document?collection=statutes-legislation&amp;id=urn:contentItem:5GYC-1WP1-6N19-F0YK-00000-00&amp;context=1519360" TargetMode="External" /><Relationship Id="rId14" Type="http://schemas.openxmlformats.org/officeDocument/2006/relationships/hyperlink" Target="https://advance.lexis.com/api/document?collection=cases&amp;id=urn:contentItem:4NSN-8840-004C-002M-00000-00&amp;context=1519360" TargetMode="External" /><Relationship Id="rId15" Type="http://schemas.openxmlformats.org/officeDocument/2006/relationships/hyperlink" Target="https://advance.lexis.com/api/document?collection=cases&amp;id=urn:contentItem:4W9Y-4KS0-TXFX-1325-00000-00&amp;context=1519360" TargetMode="External" /><Relationship Id="rId16" Type="http://schemas.openxmlformats.org/officeDocument/2006/relationships/hyperlink" Target="https://advance.lexis.com/api/document?collection=cases&amp;id=urn:contentItem:3S4W-YJ40-001B-K35G-00000-00&amp;context=1519360" TargetMode="External" /><Relationship Id="rId17" Type="http://schemas.openxmlformats.org/officeDocument/2006/relationships/hyperlink" Target="https://advance.lexis.com/api/document?collection=cases&amp;id=urn:contentItem:4NWM-S330-004B-Y00V-00000-00&amp;context=1519360" TargetMode="External" /><Relationship Id="rId18" Type="http://schemas.openxmlformats.org/officeDocument/2006/relationships/hyperlink" Target="https://advance.lexis.com/api/document?collection=cases&amp;id=urn:contentItem:5PC0-TD51-F04K-V0WY-00000-00&amp;context=1519360" TargetMode="External" /><Relationship Id="rId19" Type="http://schemas.openxmlformats.org/officeDocument/2006/relationships/hyperlink" Target="https://advance.lexis.com/api/document?collection=cases&amp;id=urn:contentItem:3YJ3-P760-0038-X0K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RGX-6R10-TXFX-D3CY-00000-00&amp;context=1519360" TargetMode="External" /><Relationship Id="rId21" Type="http://schemas.openxmlformats.org/officeDocument/2006/relationships/hyperlink" Target="https://advance.lexis.com/api/document?collection=statutes-legislation&amp;id=urn:contentItem:5GYC-2991-FG36-11WV-00000-00&amp;context=1519360" TargetMode="External" /><Relationship Id="rId22" Type="http://schemas.openxmlformats.org/officeDocument/2006/relationships/hyperlink" Target="https://advance.lexis.com/api/document?collection=cases&amp;id=urn:contentItem:5T1D-N7H1-JKHB-61KV-00000-00&amp;context=1519360" TargetMode="External" /><Relationship Id="rId23" Type="http://schemas.openxmlformats.org/officeDocument/2006/relationships/hyperlink" Target="https://advance.lexis.com/api/document?collection=cases&amp;id=urn:contentItem:4302-JVD0-0038-X21S-00000-00&amp;context=1519360" TargetMode="External" /><Relationship Id="rId24" Type="http://schemas.openxmlformats.org/officeDocument/2006/relationships/hyperlink" Target="https://advance.lexis.com/api/document?collection=cases&amp;id=urn:contentItem:4JK5-DCD0-0038-X25Y-00000-00&amp;context=1519360" TargetMode="External" /><Relationship Id="rId25" Type="http://schemas.openxmlformats.org/officeDocument/2006/relationships/hyperlink" Target="https://advance.lexis.com/api/document?collection=cases&amp;id=urn:contentItem:3S4X-98M0-003B-P48C-00000-00&amp;context=1519360" TargetMode="External" /><Relationship Id="rId26" Type="http://schemas.openxmlformats.org/officeDocument/2006/relationships/hyperlink" Target="https://advance.lexis.com/api/document?collection=cases&amp;id=urn:contentItem:51RV-7241-652R-8000-00000-00&amp;context=1519360" TargetMode="External" /><Relationship Id="rId27" Type="http://schemas.openxmlformats.org/officeDocument/2006/relationships/hyperlink" Target="https://advance.lexis.com/api/document?collection=cases&amp;id=urn:contentItem:5D87-GFY1-F04C-T45G-00000-00&amp;context=1519360" TargetMode="External" /><Relationship Id="rId28" Type="http://schemas.openxmlformats.org/officeDocument/2006/relationships/hyperlink" Target="https://advance.lexis.com/api/document?collection=cases&amp;id=urn:contentItem:4X4S-P920-TXFP-C2PF-00000-00&amp;context=1519360" TargetMode="External" /><Relationship Id="rId29" Type="http://schemas.openxmlformats.org/officeDocument/2006/relationships/hyperlink" Target="https://advance.lexis.com/api/document?collection=cases&amp;id=urn:contentItem:5P43-P2F1-F04C-T1D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YHM-XN60-0038-X0F2-00000-00&amp;context=1519360" TargetMode="External" /><Relationship Id="rId31" Type="http://schemas.openxmlformats.org/officeDocument/2006/relationships/hyperlink" Target="https://advance.lexis.com/api/document?collection=cases&amp;id=urn:contentItem:3W9K-FM00-0038-X06W-00000-00&amp;context=1519360" TargetMode="External" /><Relationship Id="rId32" Type="http://schemas.openxmlformats.org/officeDocument/2006/relationships/hyperlink" Target="https://advance.lexis.com/api/document?collection=cases&amp;id=urn:contentItem:3S4X-0T10-006F-M0KD-00000-00&amp;context=1519360" TargetMode="External" /><Relationship Id="rId33" Type="http://schemas.openxmlformats.org/officeDocument/2006/relationships/hyperlink" Target="https://advance.lexis.com/api/document?collection=cases&amp;id=urn:contentItem:3S4X-3Y60-003B-P4GH-00000-00&amp;context=1519360" TargetMode="External" /><Relationship Id="rId34" Type="http://schemas.openxmlformats.org/officeDocument/2006/relationships/hyperlink" Target="https://advance.lexis.com/api/document?collection=cases&amp;id=urn:contentItem:4F1K-1TX0-0038-X1SP-00000-00&amp;context=1519360" TargetMode="External" /><Relationship Id="rId35" Type="http://schemas.openxmlformats.org/officeDocument/2006/relationships/hyperlink" Target="https://advance.lexis.com/api/document?collection=statutes-legislation&amp;id=urn:contentItem:8S9D-W4W2-8T6X-715V-00000-00&amp;context=1519360" TargetMode="External" /><Relationship Id="rId36" Type="http://schemas.openxmlformats.org/officeDocument/2006/relationships/hyperlink" Target="https://advance.lexis.com/api/document?collection=cases&amp;id=urn:contentItem:4686-VXT0-0038-X3NM-00000-00&amp;context=1519360" TargetMode="External" /><Relationship Id="rId37" Type="http://schemas.openxmlformats.org/officeDocument/2006/relationships/hyperlink" Target="https://advance.lexis.com/api/document?collection=cases&amp;id=urn:contentItem:3S4W-W5D0-0039-M2GX-00000-00&amp;context=1519360" TargetMode="External" /><Relationship Id="rId38" Type="http://schemas.openxmlformats.org/officeDocument/2006/relationships/hyperlink" Target="https://advance.lexis.com/api/document?collection=cases&amp;id=urn:contentItem:5HC7-WW61-F04C-T4W2-00000-00&amp;context=1519360" TargetMode="External" /><Relationship Id="rId39" Type="http://schemas.openxmlformats.org/officeDocument/2006/relationships/hyperlink" Target="https://advance.lexis.com/api/document?collection=cases&amp;id=urn:contentItem:3S4X-7010-001B-K2J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X0G-8680-TXFP-C289-00000-00&amp;context=1519360" TargetMode="External" /><Relationship Id="rId41" Type="http://schemas.openxmlformats.org/officeDocument/2006/relationships/hyperlink" Target="https://advance.lexis.com/api/document?collection=cases&amp;id=urn:contentItem:5NC7-R021-F04C-T06Y-00000-00&amp;context=1519360" TargetMode="External" /><Relationship Id="rId42" Type="http://schemas.openxmlformats.org/officeDocument/2006/relationships/hyperlink" Target="https://advance.lexis.com/api/document?collection=cases&amp;id=urn:contentItem:5FMR-BTC1-F04D-901J-00000-00&amp;context=1519360" TargetMode="External" /><Relationship Id="rId43" Type="http://schemas.openxmlformats.org/officeDocument/2006/relationships/hyperlink" Target="https://advance.lexis.com/api/document?collection=statutes-legislation&amp;id=urn:contentItem:8S9D-W4W2-8T6X-715Y-00000-00&amp;context=1519360" TargetMode="External" /><Relationship Id="rId44" Type="http://schemas.openxmlformats.org/officeDocument/2006/relationships/hyperlink" Target="https://advance.lexis.com/api/document?collection=cases&amp;id=urn:contentItem:5J9P-19S1-F04C-T34X-00000-00&amp;context=1519360" TargetMode="External" /><Relationship Id="rId45" Type="http://schemas.openxmlformats.org/officeDocument/2006/relationships/hyperlink" Target="https://advance.lexis.com/api/document?collection=cases&amp;id=urn:contentItem:5G60-BJ71-F04C-T0CN-00000-00&amp;context=1519360" TargetMode="External" /><Relationship Id="rId46" Type="http://schemas.openxmlformats.org/officeDocument/2006/relationships/hyperlink" Target="https://advance.lexis.com/api/document?collection=administrative-materials&amp;id=urn:contentItem:3T1P-0VF0-0017-K01Y-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24-PJ01-JS0R-209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 Brands, LLC v. Al Khalifa Grp. LLC, 2023 U.S. Dist. LEXIS 151753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Doc::urn:hlct:5|contextualFeaturePermID::1519360</vt:lpwstr>
  </property>
  <property fmtid="{D5CDD505-2E9C-101B-9397-08002B2CF9AE}" pid="5" name="UserPermID">
    <vt:lpwstr>urn:user:PA186186283</vt:lpwstr>
  </property>
</Properties>
</file>