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People v. Kaminski</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Court of Appeal of California, Fourth Appellate District, Division One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7, 2023, Opinion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D080374</w:t>
      </w:r>
    </w:p>
    <w:p>
      <w:pPr>
        <w:keepNext w:val="0"/>
        <w:spacing w:after="0" w:line="240" w:lineRule="atLeast"/>
        <w:ind w:right="0"/>
        <w:jc w:val="both"/>
      </w:pPr>
      <w:bookmarkStart w:id="0" w:name="Bookmark_38"/>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Cal. App. Unpub. LEXIS 2041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2821898</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PEOPLE, Plaintiff and Respondent, v. TIMOTHY JAMES KAMINSKI, Defendant and Appellant.</w:t>
      </w:r>
    </w:p>
    <w:p>
      <w:pPr>
        <w:keepNext w:val="0"/>
        <w:spacing w:before="240" w:after="0" w:line="260" w:lineRule="atLeast"/>
        <w:ind w:left="0" w:right="0" w:firstLine="0"/>
        <w:jc w:val="both"/>
      </w:pPr>
      <w:bookmarkStart w:id="2" w:name="Notice"/>
      <w:bookmarkEnd w:id="2"/>
      <w:r>
        <w:rPr>
          <w:rFonts w:ascii="arial" w:eastAsia="arial" w:hAnsi="arial" w:cs="arial"/>
          <w:b/>
          <w:i w:val="0"/>
          <w:strike w:val="0"/>
          <w:noProof w:val="0"/>
          <w:color w:val="000000"/>
          <w:position w:val="0"/>
          <w:sz w:val="20"/>
          <w:u w:val="none"/>
          <w:vertAlign w:val="baseline"/>
        </w:rPr>
        <w:t>Notice:</w:t>
      </w:r>
      <w:r>
        <w:rPr>
          <w:rFonts w:ascii="arial" w:eastAsia="arial" w:hAnsi="arial" w:cs="arial"/>
          <w:b w:val="0"/>
          <w:i w:val="0"/>
          <w:strike w:val="0"/>
          <w:noProof w:val="0"/>
          <w:color w:val="000000"/>
          <w:position w:val="0"/>
          <w:sz w:val="20"/>
          <w:u w:val="none"/>
          <w:vertAlign w:val="baseline"/>
        </w:rPr>
        <w:t> </w:t>
      </w:r>
      <w:bookmarkStart w:id="3" w:name="Bookmark_para_1"/>
      <w:bookmarkEnd w:id="3"/>
      <w:r>
        <w:rPr>
          <w:rFonts w:ascii="arial" w:eastAsia="arial" w:hAnsi="arial" w:cs="arial"/>
          <w:b w:val="0"/>
          <w:i w:val="0"/>
          <w:strike w:val="0"/>
          <w:noProof w:val="0"/>
          <w:color w:val="000000"/>
          <w:position w:val="0"/>
          <w:sz w:val="20"/>
          <w:u w:val="none"/>
          <w:vertAlign w:val="baseline"/>
        </w:rPr>
        <w:t xml:space="preserve">NOT TO BE PUBLISHED IN OFFICIAL REPORTS. </w:t>
      </w:r>
      <w:hyperlink r:id="rId10" w:history="1">
        <w:r>
          <w:rPr>
            <w:rFonts w:ascii="arial" w:eastAsia="arial" w:hAnsi="arial" w:cs="arial"/>
            <w:b w:val="0"/>
            <w:i/>
            <w:strike w:val="0"/>
            <w:noProof w:val="0"/>
            <w:color w:val="0077CC"/>
            <w:position w:val="0"/>
            <w:sz w:val="20"/>
            <w:u w:val="single"/>
            <w:vertAlign w:val="baseline"/>
          </w:rPr>
          <w:t>CALIFORNIA RULES OF COURT, RULE 8.1115(a)</w:t>
        </w:r>
      </w:hyperlink>
      <w:r>
        <w:rPr>
          <w:rFonts w:ascii="arial" w:eastAsia="arial" w:hAnsi="arial" w:cs="arial"/>
          <w:b w:val="0"/>
          <w:i w:val="0"/>
          <w:strike w:val="0"/>
          <w:noProof w:val="0"/>
          <w:color w:val="000000"/>
          <w:position w:val="0"/>
          <w:sz w:val="20"/>
          <w:u w:val="none"/>
          <w:vertAlign w:val="baseline"/>
        </w:rPr>
        <w:t xml:space="preserve">, PROHIBITS COURTS AND PARTIES FROM CITING OR RELYING ON OPINIONS NOT CERTIFIED FOR PUBLICATION OR ORDERED PUBLISHED, EXCEPT AS SPECIFIED BY </w:t>
      </w:r>
      <w:hyperlink r:id="rId10" w:history="1">
        <w:r>
          <w:rPr>
            <w:rFonts w:ascii="arial" w:eastAsia="arial" w:hAnsi="arial" w:cs="arial"/>
            <w:b w:val="0"/>
            <w:i/>
            <w:strike w:val="0"/>
            <w:noProof w:val="0"/>
            <w:color w:val="0077CC"/>
            <w:position w:val="0"/>
            <w:sz w:val="20"/>
            <w:u w:val="single"/>
            <w:vertAlign w:val="baseline"/>
          </w:rPr>
          <w:t>RULE 8.1115(b)</w:t>
        </w:r>
      </w:hyperlink>
      <w:r>
        <w:rPr>
          <w:rFonts w:ascii="arial" w:eastAsia="arial" w:hAnsi="arial" w:cs="arial"/>
          <w:b w:val="0"/>
          <w:i w:val="0"/>
          <w:strike w:val="0"/>
          <w:noProof w:val="0"/>
          <w:color w:val="000000"/>
          <w:position w:val="0"/>
          <w:sz w:val="20"/>
          <w:u w:val="none"/>
          <w:vertAlign w:val="baseline"/>
        </w:rPr>
        <w:t xml:space="preserve">. THIS OPINION HAS NOT BEEN CERTIFIED FOR PUBLICATION OR ORDERED PUBLISHED FOR THE PURPOSES OF </w:t>
      </w:r>
      <w:hyperlink r:id="rId10" w:history="1">
        <w:r>
          <w:rPr>
            <w:rFonts w:ascii="arial" w:eastAsia="arial" w:hAnsi="arial" w:cs="arial"/>
            <w:b w:val="0"/>
            <w:i/>
            <w:strike w:val="0"/>
            <w:noProof w:val="0"/>
            <w:color w:val="0077CC"/>
            <w:position w:val="0"/>
            <w:sz w:val="20"/>
            <w:u w:val="single"/>
            <w:vertAlign w:val="baseline"/>
          </w:rPr>
          <w:t>RULE 8.1115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bookmarkStart w:id="4" w:name="Subsequent History"/>
      <w:bookmarkEnd w:id="4"/>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xml:space="preserve"> Review denied by </w:t>
      </w:r>
      <w:hyperlink r:id="rId11" w:history="1">
        <w:r>
          <w:rPr>
            <w:rFonts w:ascii="arial" w:eastAsia="arial" w:hAnsi="arial" w:cs="arial"/>
            <w:b w:val="0"/>
            <w:i/>
            <w:strike w:val="0"/>
            <w:noProof w:val="0"/>
            <w:color w:val="0077CC"/>
            <w:position w:val="0"/>
            <w:sz w:val="20"/>
            <w:u w:val="single"/>
            <w:vertAlign w:val="baseline"/>
          </w:rPr>
          <w:t>People v. Kaminski, 2023 Cal. LEXIS 3496 (Cal., June 21, 2023)</w:t>
        </w:r>
      </w:hyperlink>
    </w:p>
    <w:p>
      <w:pPr>
        <w:keepNext w:val="0"/>
        <w:spacing w:before="240" w:after="0" w:line="260" w:lineRule="atLeast"/>
        <w:ind w:left="0" w:right="0" w:firstLine="0"/>
        <w:jc w:val="both"/>
      </w:pPr>
      <w:bookmarkStart w:id="5" w:name="Prior History"/>
      <w:bookmarkEnd w:id="5"/>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6" w:name="Bookmark_para_2"/>
      <w:bookmarkEnd w:id="6"/>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APPEAL from a judgment of the Superior Court of San Diego County, No. SCS313151, Maryann D'Addezio Kotler, Judge.</w:t>
      </w:r>
    </w:p>
    <w:p>
      <w:pPr>
        <w:keepNext w:val="0"/>
        <w:spacing w:before="240" w:after="0" w:line="260" w:lineRule="atLeast"/>
        <w:ind w:left="0" w:right="0" w:firstLine="0"/>
        <w:jc w:val="both"/>
      </w:pPr>
      <w:bookmarkStart w:id="7" w:name="Disposition"/>
      <w:bookmarkEnd w:id="7"/>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8" w:name="Bookmark_clspara_1"/>
      <w:bookmarkEnd w:id="8"/>
      <w:r>
        <w:rPr>
          <w:rFonts w:ascii="arial" w:eastAsia="arial" w:hAnsi="arial" w:cs="arial"/>
          <w:b w:val="0"/>
          <w:i w:val="0"/>
          <w:strike w:val="0"/>
          <w:noProof w:val="0"/>
          <w:color w:val="000000"/>
          <w:position w:val="0"/>
          <w:sz w:val="20"/>
          <w:u w:val="none"/>
          <w:vertAlign w:val="baseline"/>
        </w:rPr>
        <w:t>Affirmed.</w:t>
      </w:r>
    </w:p>
    <w:p>
      <w:pPr>
        <w:keepNext/>
        <w:spacing w:before="240" w:after="0" w:line="340" w:lineRule="atLeast"/>
        <w:ind w:left="0" w:right="0" w:firstLine="0"/>
        <w:jc w:val="left"/>
      </w:pPr>
      <w:bookmarkStart w:id="9" w:name="Core Terms"/>
      <w:bookmarkEnd w:id="9"/>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arrest, border, duress defense, exclude evidence, trial court, newspaper article, defense counsel, Prejudicial, probability, methamphetamine, credibility, testifying, crossing</w:t>
      </w:r>
    </w:p>
    <w:p>
      <w:pPr>
        <w:keepNext w:val="0"/>
        <w:spacing w:before="240" w:after="0" w:line="260" w:lineRule="atLeast"/>
        <w:ind w:left="0" w:right="0" w:firstLine="0"/>
        <w:jc w:val="left"/>
      </w:pPr>
      <w:bookmarkStart w:id="10" w:name="Counsel"/>
      <w:bookmarkEnd w:id="10"/>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Sheila O'Connor, under appointment by the Court of Appeal, for Defendant and Appellant.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Rob Bonta, Attorney General, Charles C. Ragland, Senior Assistant Attorney General, Arlene A. Sevidal and Minh U. Le, Deputy Attorneys General, for Plaintiff and Respondent.</w:t>
      </w:r>
    </w:p>
    <w:p>
      <w:pPr>
        <w:keepNext w:val="0"/>
        <w:spacing w:before="240" w:after="0" w:line="260" w:lineRule="atLeast"/>
        <w:ind w:left="0" w:right="0" w:firstLine="0"/>
        <w:jc w:val="left"/>
      </w:pPr>
      <w:bookmarkStart w:id="11" w:name="Judges"/>
      <w:bookmarkEnd w:id="11"/>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O'ROURKE, J.; McCONNELL, P. J., BUCHANAN, J. concurred.</w:t>
      </w:r>
    </w:p>
    <w:p>
      <w:pPr>
        <w:keepNext w:val="0"/>
        <w:spacing w:before="240" w:after="0" w:line="260" w:lineRule="atLeast"/>
        <w:ind w:left="0" w:right="0" w:firstLine="0"/>
        <w:jc w:val="left"/>
      </w:pPr>
      <w:bookmarkStart w:id="12" w:name="Opinion by"/>
      <w:bookmarkEnd w:id="12"/>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O'ROURKE, J.</w:t>
      </w:r>
    </w:p>
    <w:p>
      <w:pPr>
        <w:keepNext/>
        <w:spacing w:before="240" w:after="0" w:line="340" w:lineRule="atLeast"/>
        <w:ind w:left="0" w:right="0" w:firstLine="0"/>
        <w:jc w:val="left"/>
      </w:pPr>
      <w:bookmarkStart w:id="13" w:name="Opinion"/>
      <w:bookmarkEnd w:id="13"/>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
      <w:pPr>
        <w:keepNext w:val="0"/>
        <w:spacing w:before="240" w:after="0" w:line="260" w:lineRule="atLeast"/>
        <w:ind w:left="0" w:right="0" w:firstLine="0"/>
        <w:jc w:val="both"/>
      </w:pPr>
      <w:bookmarkStart w:id="14" w:name="Bookmark_para_3"/>
      <w:bookmarkEnd w:id="14"/>
      <w:r>
        <w:rPr>
          <w:rFonts w:ascii="arial" w:eastAsia="arial" w:hAnsi="arial" w:cs="arial"/>
          <w:b w:val="0"/>
          <w:i w:val="0"/>
          <w:strike w:val="0"/>
          <w:noProof w:val="0"/>
          <w:color w:val="000000"/>
          <w:position w:val="0"/>
          <w:sz w:val="20"/>
          <w:u w:val="none"/>
          <w:vertAlign w:val="baseline"/>
        </w:rPr>
        <w:t>A jury convicted Timothy James Kaminski of possession of methamphetamine for sale (</w:t>
      </w:r>
      <w:hyperlink r:id="rId12" w:history="1">
        <w:r>
          <w:rPr>
            <w:rFonts w:ascii="arial" w:eastAsia="arial" w:hAnsi="arial" w:cs="arial"/>
            <w:b w:val="0"/>
            <w:i/>
            <w:strike w:val="0"/>
            <w:noProof w:val="0"/>
            <w:color w:val="0077CC"/>
            <w:position w:val="0"/>
            <w:sz w:val="20"/>
            <w:u w:val="single"/>
            <w:vertAlign w:val="baseline"/>
          </w:rPr>
          <w:t>Health &amp; Saf. Code, § 11378</w:t>
        </w:r>
      </w:hyperlink>
      <w:r>
        <w:rPr>
          <w:rFonts w:ascii="arial" w:eastAsia="arial" w:hAnsi="arial" w:cs="arial"/>
          <w:b w:val="0"/>
          <w:i w:val="0"/>
          <w:strike w:val="0"/>
          <w:noProof w:val="0"/>
          <w:color w:val="000000"/>
          <w:position w:val="0"/>
          <w:sz w:val="20"/>
          <w:u w:val="none"/>
          <w:vertAlign w:val="baseline"/>
        </w:rPr>
        <w:t>; count 1), and importation of methamphetamine into California (</w:t>
      </w:r>
      <w:hyperlink r:id="rId13" w:history="1">
        <w:r>
          <w:rPr>
            <w:rFonts w:ascii="arial" w:eastAsia="arial" w:hAnsi="arial" w:cs="arial"/>
            <w:b w:val="0"/>
            <w:i/>
            <w:strike w:val="0"/>
            <w:noProof w:val="0"/>
            <w:color w:val="0077CC"/>
            <w:position w:val="0"/>
            <w:sz w:val="20"/>
            <w:u w:val="single"/>
            <w:vertAlign w:val="baseline"/>
          </w:rPr>
          <w:t>Health &amp; Saf. Code, § 11379, subd. (a)</w:t>
        </w:r>
      </w:hyperlink>
      <w:r>
        <w:rPr>
          <w:rFonts w:ascii="arial" w:eastAsia="arial" w:hAnsi="arial" w:cs="arial"/>
          <w:b w:val="0"/>
          <w:i w:val="0"/>
          <w:strike w:val="0"/>
          <w:noProof w:val="0"/>
          <w:color w:val="000000"/>
          <w:position w:val="0"/>
          <w:sz w:val="20"/>
          <w:u w:val="none"/>
          <w:vertAlign w:val="baseline"/>
        </w:rPr>
        <w:t>; count 2). After Kaminski waived a jury trial, the court found true allegations that the offenses involved a large quantity of contraband (</w:t>
      </w:r>
      <w:hyperlink r:id="rId14" w:history="1">
        <w:r>
          <w:rPr>
            <w:rFonts w:ascii="arial" w:eastAsia="arial" w:hAnsi="arial" w:cs="arial"/>
            <w:b w:val="0"/>
            <w:i/>
            <w:strike w:val="0"/>
            <w:noProof w:val="0"/>
            <w:color w:val="0077CC"/>
            <w:position w:val="0"/>
            <w:sz w:val="20"/>
            <w:u w:val="single"/>
            <w:vertAlign w:val="baseline"/>
          </w:rPr>
          <w:t>Cal. Rules of Court, rule 4.421(a)(10)</w:t>
        </w:r>
      </w:hyperlink>
      <w:r>
        <w:rPr>
          <w:rFonts w:ascii="arial" w:eastAsia="arial" w:hAnsi="arial" w:cs="arial"/>
          <w:b w:val="0"/>
          <w:i w:val="0"/>
          <w:strike w:val="0"/>
          <w:noProof w:val="0"/>
          <w:color w:val="000000"/>
          <w:position w:val="0"/>
          <w:sz w:val="20"/>
          <w:u w:val="none"/>
          <w:vertAlign w:val="baseline"/>
        </w:rPr>
        <w:t>) and the methamphetamine was in crystalline form (</w:t>
      </w:r>
      <w:hyperlink r:id="rId15" w:history="1">
        <w:r>
          <w:rPr>
            <w:rFonts w:ascii="arial" w:eastAsia="arial" w:hAnsi="arial" w:cs="arial"/>
            <w:b w:val="0"/>
            <w:i/>
            <w:strike w:val="0"/>
            <w:noProof w:val="0"/>
            <w:color w:val="0077CC"/>
            <w:position w:val="0"/>
            <w:sz w:val="20"/>
            <w:u w:val="single"/>
            <w:vertAlign w:val="baseline"/>
          </w:rPr>
          <w:t>Pen. Code, § 1170.74</w:t>
        </w:r>
      </w:hyperlink>
      <w:r>
        <w:rPr>
          <w:rFonts w:ascii="arial" w:eastAsia="arial" w:hAnsi="arial" w:cs="arial"/>
          <w:b w:val="0"/>
          <w:i w:val="0"/>
          <w:strike w:val="0"/>
          <w:noProof w:val="0"/>
          <w:color w:val="000000"/>
          <w:position w:val="0"/>
          <w:sz w:val="20"/>
          <w:u w:val="none"/>
          <w:vertAlign w:val="baseline"/>
        </w:rPr>
        <w:t>). It suspended imposition of sentence and granted Kaminski formal probation for two years, ordering he serve 365 days in custody with 132 days credit for time served. The court permitted him to travel to and reside in Tijuana, Mexico and ordered him to complete a substance abuse program.</w:t>
      </w:r>
    </w:p>
    <w:p>
      <w:pPr>
        <w:keepNext w:val="0"/>
        <w:spacing w:before="200" w:after="0" w:line="260" w:lineRule="atLeast"/>
        <w:ind w:left="0" w:right="0" w:firstLine="0"/>
        <w:jc w:val="both"/>
      </w:pPr>
      <w:bookmarkStart w:id="15" w:name="Bookmark_para_4"/>
      <w:bookmarkEnd w:id="15"/>
      <w:r>
        <w:rPr>
          <w:rFonts w:ascii="arial" w:eastAsia="arial" w:hAnsi="arial" w:cs="arial"/>
          <w:b w:val="0"/>
          <w:i w:val="0"/>
          <w:strike w:val="0"/>
          <w:noProof w:val="0"/>
          <w:color w:val="000000"/>
          <w:position w:val="0"/>
          <w:sz w:val="20"/>
          <w:u w:val="none"/>
          <w:vertAlign w:val="baseline"/>
        </w:rPr>
        <w:t xml:space="preserve">Kaminski contends the trial court prejudicially erred by excluding, on hearsay and </w:t>
      </w:r>
      <w:hyperlink r:id="rId16" w:history="1">
        <w:r>
          <w:rPr>
            <w:rFonts w:ascii="arial" w:eastAsia="arial" w:hAnsi="arial" w:cs="arial"/>
            <w:b w:val="0"/>
            <w:i/>
            <w:strike w:val="0"/>
            <w:noProof w:val="0"/>
            <w:color w:val="0077CC"/>
            <w:position w:val="0"/>
            <w:sz w:val="20"/>
            <w:u w:val="single"/>
            <w:vertAlign w:val="baseline"/>
          </w:rPr>
          <w:t>Evidence Code</w:t>
        </w:r>
      </w:hyperlink>
      <w:r>
        <w:rPr>
          <w:rFonts w:ascii="arial" w:eastAsia="arial" w:hAnsi="arial" w:cs="arial"/>
          <w:vertAlign w:val="superscript"/>
        </w:rPr>
        <w:footnoteReference w:customMarkFollows="1" w:id="2"/>
        <w:t xml:space="preserve">1</w:t>
      </w:r>
      <w:hyperlink r:id="rId16" w:history="1">
        <w:r>
          <w:rPr>
            <w:rFonts w:ascii="arial" w:eastAsia="arial" w:hAnsi="arial" w:cs="arial"/>
            <w:b w:val="0"/>
            <w:i/>
            <w:strike w:val="0"/>
            <w:noProof w:val="0"/>
            <w:color w:val="0077CC"/>
            <w:position w:val="0"/>
            <w:sz w:val="20"/>
            <w:u w:val="single"/>
            <w:vertAlign w:val="baseline"/>
          </w:rPr>
          <w:t xml:space="preserve"> section 352</w:t>
        </w:r>
      </w:hyperlink>
      <w:r>
        <w:rPr>
          <w:rFonts w:ascii="arial" w:eastAsia="arial" w:hAnsi="arial" w:cs="arial"/>
          <w:b w:val="0"/>
          <w:i w:val="0"/>
          <w:strike w:val="0"/>
          <w:noProof w:val="0"/>
          <w:color w:val="000000"/>
          <w:position w:val="0"/>
          <w:sz w:val="20"/>
          <w:u w:val="none"/>
          <w:vertAlign w:val="baseline"/>
        </w:rPr>
        <w:t xml:space="preserve"> grounds, evidence relevant to his defense</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that he committed his crimes under duress. Specifically, he maintains he should have been permitted to present evidence that he read a newspaper article reporting the death of the woman who assertedly demanded he commit the crimes under threat to his family. According to Kaminski, exclusion of the evidence prejudicially affected the verdict as it "would have explained Kaminski's fear of the woman at the time of the crime and why he felt he could not tell anyone about what happened until the trial." He asks that we reverse and remand for a new trial.</w:t>
      </w:r>
    </w:p>
    <w:p>
      <w:pPr>
        <w:keepNext w:val="0"/>
        <w:spacing w:before="240" w:after="0" w:line="260" w:lineRule="atLeast"/>
        <w:ind w:left="0" w:right="0" w:firstLine="0"/>
        <w:jc w:val="both"/>
      </w:pPr>
      <w:bookmarkStart w:id="17" w:name="Bookmark_para_5"/>
      <w:bookmarkEnd w:id="17"/>
      <w:r>
        <w:rPr>
          <w:rFonts w:ascii="arial" w:eastAsia="arial" w:hAnsi="arial" w:cs="arial"/>
          <w:b w:val="0"/>
          <w:i w:val="0"/>
          <w:strike w:val="0"/>
          <w:noProof w:val="0"/>
          <w:color w:val="000000"/>
          <w:position w:val="0"/>
          <w:sz w:val="20"/>
          <w:u w:val="none"/>
          <w:vertAlign w:val="baseline"/>
        </w:rPr>
        <w:t xml:space="preserve">The People concede the evidence was admitted for a nonhearsay purpose, but maintain the court properly excluded it under </w:t>
      </w:r>
      <w:hyperlink r:id="rId16" w:history="1">
        <w:r>
          <w:rPr>
            <w:rFonts w:ascii="arial" w:eastAsia="arial" w:hAnsi="arial" w:cs="arial"/>
            <w:b w:val="0"/>
            <w:i/>
            <w:strike w:val="0"/>
            <w:noProof w:val="0"/>
            <w:color w:val="0077CC"/>
            <w:position w:val="0"/>
            <w:sz w:val="20"/>
            <w:u w:val="single"/>
            <w:vertAlign w:val="baseline"/>
          </w:rPr>
          <w:t>section 352</w:t>
        </w:r>
      </w:hyperlink>
      <w:r>
        <w:rPr>
          <w:rFonts w:ascii="arial" w:eastAsia="arial" w:hAnsi="arial" w:cs="arial"/>
          <w:b w:val="0"/>
          <w:i w:val="0"/>
          <w:strike w:val="0"/>
          <w:noProof w:val="0"/>
          <w:color w:val="000000"/>
          <w:position w:val="0"/>
          <w:sz w:val="20"/>
          <w:u w:val="none"/>
          <w:vertAlign w:val="baseline"/>
        </w:rPr>
        <w:t xml:space="preserve"> as it was only marginally relevant to Kaminski's credibility, and its limited probative value was substantially outweighed by the probability that its admission would confuse or mislead the jury. The People further argue that any error in excluding the evidence was harmless. We affirm the judgment.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FACTUAL AND PROCEDURAL BACKGROUND</w:t>
      </w:r>
    </w:p>
    <w:p>
      <w:pPr>
        <w:keepNext w:val="0"/>
        <w:spacing w:before="200" w:after="0" w:line="260" w:lineRule="atLeast"/>
        <w:ind w:left="0" w:right="0" w:firstLine="0"/>
        <w:jc w:val="both"/>
      </w:pPr>
      <w:bookmarkStart w:id="18" w:name="Bookmark_para_6"/>
      <w:bookmarkEnd w:id="18"/>
      <w:r>
        <w:rPr>
          <w:rFonts w:ascii="arial" w:eastAsia="arial" w:hAnsi="arial" w:cs="arial"/>
          <w:b w:val="0"/>
          <w:i w:val="0"/>
          <w:strike w:val="0"/>
          <w:noProof w:val="0"/>
          <w:color w:val="000000"/>
          <w:position w:val="0"/>
          <w:sz w:val="20"/>
          <w:u w:val="none"/>
          <w:vertAlign w:val="baseline"/>
        </w:rPr>
        <w:t>In February 2020, customs officials arrested Kaminski after they found packages of methamphetamine strapped to his body while he was crossing the border on foot from Mexico into the United States.</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The officer questioning Kaminski at the border crossing had detected signs of nervousness; Kaminski's voice was breaking and shaky, and he was physically shaking. While officers were securing the packages, Kaminski fell to the floor as if he had lost his leg strength and officers had him transported to the hospital. Kaminski did not at the time of his arrest ask for help or tell the arresting officer that he was afraid.</w:t>
      </w:r>
    </w:p>
    <w:p>
      <w:pPr>
        <w:keepNext w:val="0"/>
        <w:spacing w:before="240" w:after="0" w:line="260" w:lineRule="atLeast"/>
        <w:ind w:left="0" w:right="0" w:firstLine="0"/>
        <w:jc w:val="both"/>
      </w:pPr>
      <w:bookmarkStart w:id="19" w:name="Bookmark_para_7"/>
      <w:bookmarkEnd w:id="19"/>
      <w:r>
        <w:rPr>
          <w:rFonts w:ascii="arial" w:eastAsia="arial" w:hAnsi="arial" w:cs="arial"/>
          <w:b w:val="0"/>
          <w:i w:val="0"/>
          <w:strike w:val="0"/>
          <w:noProof w:val="0"/>
          <w:color w:val="000000"/>
          <w:position w:val="0"/>
          <w:sz w:val="20"/>
          <w:u w:val="none"/>
          <w:vertAlign w:val="baseline"/>
        </w:rPr>
        <w:t>During the pretrial hearing on evidentiary motions, the court and counsel discussed certain exhibits that defense counsel had given to the prosecutor that morning. Kaminski's counsel represented that some of the exhibits, including a February 25, 2020 newspaper article, pertained to a woman, Alondra Cataño, also known as "Gata," who had assertedly forced Kaminski to commit his crimes. Counsel sought to reserve the right to use the newspaper article, which he said reported that Cataño had been killed in Mexico about two-to-three weeks after Kaminski's arrest, as relevant to Kaminski's "knowledge or perhaps reasons for testifying now." The trial court tentatively ruled the article was inadmissible hearsay because it was being offered to "say that another person was killed,</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which is exactly what the article says" and it was confusing under </w:t>
      </w:r>
      <w:hyperlink r:id="rId16" w:history="1">
        <w:r>
          <w:rPr>
            <w:rFonts w:ascii="arial" w:eastAsia="arial" w:hAnsi="arial" w:cs="arial"/>
            <w:b w:val="0"/>
            <w:i/>
            <w:strike w:val="0"/>
            <w:noProof w:val="0"/>
            <w:color w:val="0077CC"/>
            <w:position w:val="0"/>
            <w:sz w:val="20"/>
            <w:u w:val="single"/>
            <w:vertAlign w:val="baseline"/>
          </w:rPr>
          <w:t>section 352</w:t>
        </w:r>
      </w:hyperlink>
      <w:r>
        <w:rPr>
          <w:rFonts w:ascii="arial" w:eastAsia="arial" w:hAnsi="arial" w:cs="arial"/>
          <w:b w:val="0"/>
          <w:i w:val="0"/>
          <w:strike w:val="0"/>
          <w:noProof w:val="0"/>
          <w:color w:val="000000"/>
          <w:position w:val="0"/>
          <w:sz w:val="20"/>
          <w:u w:val="none"/>
          <w:vertAlign w:val="baseline"/>
        </w:rPr>
        <w:t>: "I don't think—without a witness to come in and testify that this woman was killed because of drug trafficking, it is not relevant to [Kaminski's] duress defense."</w:t>
      </w:r>
    </w:p>
    <w:p>
      <w:pPr>
        <w:keepNext w:val="0"/>
        <w:spacing w:before="200" w:after="0" w:line="260" w:lineRule="atLeast"/>
        <w:ind w:left="0" w:right="0" w:firstLine="0"/>
        <w:jc w:val="both"/>
      </w:pPr>
      <w:bookmarkStart w:id="20" w:name="Bookmark_para_8"/>
      <w:bookmarkEnd w:id="20"/>
      <w:r>
        <w:rPr>
          <w:rFonts w:ascii="arial" w:eastAsia="arial" w:hAnsi="arial" w:cs="arial"/>
          <w:b w:val="0"/>
          <w:i w:val="0"/>
          <w:strike w:val="0"/>
          <w:noProof w:val="0"/>
          <w:color w:val="000000"/>
          <w:position w:val="0"/>
          <w:sz w:val="20"/>
          <w:u w:val="none"/>
          <w:vertAlign w:val="baseline"/>
        </w:rPr>
        <w:t>At trial, Kaminski took the stand. He testified that while he was married with adult children, at the time of his arrest he was separated from his wife and living with a girlfriend. He and his then girlfriend were friends with Cataño, and all of them were crystal methamphetamine users. According to Kaminski, days before his arrest, Cataño and his girlfriend argued about money Cataño had given her to give to Kaminski. The money was in connection with Cataño's earlier request that Kaminski illegally cross people over the border for her, which he had refused to do. According to Kaminski, after he told Cataño he never received the money, she told him he needed to take something across the border for her. Kaminski testified he offered to give Cataño the money back, but she told him he already had that chance. When Kaminski questioned that assertion, one of two men who accompanied Cataño grabbed the grip of a pistol in the man's beltline. Kaminski testified that</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when he asked why Cataño was holding him accountable, she said he was going to do it "or else," telling Kaminski that she knew where his wife and children lived. The man then pulled out his pistol and pointed it a foot away from Kaminski's head. The man dropped the weapon after Kaminski told them he would do what Cataño wanted. Kaminski testified he was going to keep his family safe and did not want Cataño and the men to harm them.</w:t>
      </w:r>
    </w:p>
    <w:p>
      <w:pPr>
        <w:keepNext w:val="0"/>
        <w:spacing w:before="200" w:after="0" w:line="260" w:lineRule="atLeast"/>
        <w:ind w:left="0" w:right="0" w:firstLine="0"/>
        <w:jc w:val="both"/>
      </w:pPr>
      <w:bookmarkStart w:id="21" w:name="Bookmark_para_9"/>
      <w:bookmarkEnd w:id="21"/>
      <w:r>
        <w:rPr>
          <w:rFonts w:ascii="arial" w:eastAsia="arial" w:hAnsi="arial" w:cs="arial"/>
          <w:b w:val="0"/>
          <w:i w:val="0"/>
          <w:strike w:val="0"/>
          <w:noProof w:val="0"/>
          <w:color w:val="000000"/>
          <w:position w:val="0"/>
          <w:sz w:val="20"/>
          <w:u w:val="none"/>
          <w:vertAlign w:val="baseline"/>
        </w:rPr>
        <w:t>After Cataño and the men left, Kaminski called his wife and told her to get out of their house. Kaminski testified he did not call the Mexican police because he had no confidence in them, stating they took property and suggesting they would make arrests for no reason. When two other men arrived later that night to take him to a hotel and assist with the border crossing, he went with them because he did not want them to hurt his family or himself.</w:t>
      </w:r>
    </w:p>
    <w:p>
      <w:pPr>
        <w:keepNext w:val="0"/>
        <w:spacing w:before="200" w:after="0" w:line="260" w:lineRule="atLeast"/>
        <w:ind w:left="0" w:right="0" w:firstLine="0"/>
        <w:jc w:val="both"/>
      </w:pPr>
      <w:bookmarkStart w:id="22" w:name="Bookmark_para_10"/>
      <w:bookmarkEnd w:id="22"/>
      <w:r>
        <w:rPr>
          <w:rFonts w:ascii="arial" w:eastAsia="arial" w:hAnsi="arial" w:cs="arial"/>
          <w:b w:val="0"/>
          <w:i w:val="0"/>
          <w:strike w:val="0"/>
          <w:noProof w:val="0"/>
          <w:color w:val="000000"/>
          <w:position w:val="0"/>
          <w:sz w:val="20"/>
          <w:u w:val="none"/>
          <w:vertAlign w:val="baseline"/>
        </w:rPr>
        <w:t>Kaminski testified he was "[n]ervous as hell" at the border crossing because he "knew [he] was doing something [he] didn't want to do."</w:t>
      </w:r>
    </w:p>
    <w:p>
      <w:pPr>
        <w:keepNext w:val="0"/>
        <w:spacing w:before="200" w:after="0" w:line="260" w:lineRule="atLeast"/>
        <w:ind w:left="0" w:right="0" w:firstLine="0"/>
        <w:jc w:val="both"/>
      </w:pPr>
      <w:bookmarkStart w:id="23" w:name="Bookmark_para_11"/>
      <w:bookmarkEnd w:id="23"/>
      <w:r>
        <w:rPr>
          <w:rFonts w:ascii="arial" w:eastAsia="arial" w:hAnsi="arial" w:cs="arial"/>
          <w:b w:val="0"/>
          <w:i w:val="0"/>
          <w:strike w:val="0"/>
          <w:noProof w:val="0"/>
          <w:color w:val="000000"/>
          <w:position w:val="0"/>
          <w:sz w:val="20"/>
          <w:u w:val="none"/>
          <w:vertAlign w:val="baseline"/>
        </w:rPr>
        <w:t>Defense counsel questioned Kaminski about his willingness to commit the crimes:</w:t>
      </w:r>
    </w:p>
    <w:p>
      <w:pPr>
        <w:keepNext w:val="0"/>
        <w:spacing w:before="200" w:after="0" w:line="260" w:lineRule="atLeast"/>
        <w:ind w:left="0" w:right="0" w:firstLine="0"/>
        <w:jc w:val="both"/>
      </w:pPr>
      <w:bookmarkStart w:id="24" w:name="Bookmark_para_12"/>
      <w:bookmarkEnd w:id="24"/>
      <w:r>
        <w:rPr>
          <w:rFonts w:ascii="arial" w:eastAsia="arial" w:hAnsi="arial" w:cs="arial"/>
          <w:b w:val="0"/>
          <w:i w:val="0"/>
          <w:strike w:val="0"/>
          <w:noProof w:val="0"/>
          <w:color w:val="000000"/>
          <w:position w:val="0"/>
          <w:sz w:val="20"/>
          <w:u w:val="none"/>
          <w:vertAlign w:val="baseline"/>
        </w:rPr>
        <w:t xml:space="preserve">"[Defense counsel:] [W]ould you ever </w:t>
      </w:r>
      <w:r>
        <w:rPr>
          <w:rFonts w:ascii="arial" w:eastAsia="arial" w:hAnsi="arial" w:cs="arial"/>
          <w:b/>
          <w:i/>
          <w:strike w:val="0"/>
          <w:noProof w:val="0"/>
          <w:color w:val="000000"/>
          <w:position w:val="0"/>
          <w:sz w:val="20"/>
          <w:u w:val="single"/>
          <w:vertAlign w:val="baseline"/>
        </w:rPr>
        <w:t>smuggle</w:t>
      </w:r>
      <w:r>
        <w:rPr>
          <w:rFonts w:ascii="arial" w:eastAsia="arial" w:hAnsi="arial" w:cs="arial"/>
          <w:b w:val="0"/>
          <w:i w:val="0"/>
          <w:strike w:val="0"/>
          <w:noProof w:val="0"/>
          <w:color w:val="000000"/>
          <w:position w:val="0"/>
          <w:sz w:val="20"/>
          <w:u w:val="none"/>
          <w:vertAlign w:val="baseline"/>
        </w:rPr>
        <w:t xml:space="preserve"> drugs from Mexico into the United States?</w:t>
      </w:r>
    </w:p>
    <w:p>
      <w:pPr>
        <w:keepNext w:val="0"/>
        <w:spacing w:before="200" w:after="0" w:line="260" w:lineRule="atLeast"/>
        <w:ind w:left="0" w:right="0" w:firstLine="0"/>
        <w:jc w:val="both"/>
      </w:pPr>
      <w:bookmarkStart w:id="25" w:name="Bookmark_para_13"/>
      <w:bookmarkEnd w:id="25"/>
      <w:r>
        <w:rPr>
          <w:rFonts w:ascii="arial" w:eastAsia="arial" w:hAnsi="arial" w:cs="arial"/>
          <w:b w:val="0"/>
          <w:i w:val="0"/>
          <w:strike w:val="0"/>
          <w:noProof w:val="0"/>
          <w:color w:val="000000"/>
          <w:position w:val="0"/>
          <w:sz w:val="20"/>
          <w:u w:val="none"/>
          <w:vertAlign w:val="baseline"/>
        </w:rPr>
        <w:t>"[Kaminski:] No.</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I crossed the border every day for 20 years and I never did it one time.</w:t>
      </w:r>
    </w:p>
    <w:p>
      <w:pPr>
        <w:keepNext w:val="0"/>
        <w:spacing w:before="200" w:after="0" w:line="260" w:lineRule="atLeast"/>
        <w:ind w:left="0" w:right="0" w:firstLine="0"/>
        <w:jc w:val="both"/>
      </w:pPr>
      <w:bookmarkStart w:id="26" w:name="Bookmark_para_14"/>
      <w:bookmarkEnd w:id="26"/>
      <w:r>
        <w:rPr>
          <w:rFonts w:ascii="arial" w:eastAsia="arial" w:hAnsi="arial" w:cs="arial"/>
          <w:b w:val="0"/>
          <w:i w:val="0"/>
          <w:strike w:val="0"/>
          <w:noProof w:val="0"/>
          <w:color w:val="000000"/>
          <w:position w:val="0"/>
          <w:sz w:val="20"/>
          <w:u w:val="none"/>
          <w:vertAlign w:val="baseline"/>
        </w:rPr>
        <w:t>"[Defense counsel:] And this time when you were going up to the San Ysidro Port of Entry with those packages strapped to your body, did you do that on your own free will or not?</w:t>
      </w:r>
    </w:p>
    <w:p>
      <w:pPr>
        <w:keepNext w:val="0"/>
        <w:spacing w:before="200" w:after="0" w:line="260" w:lineRule="atLeast"/>
        <w:ind w:left="0" w:right="0" w:firstLine="0"/>
        <w:jc w:val="both"/>
      </w:pPr>
      <w:bookmarkStart w:id="27" w:name="Bookmark_para_15"/>
      <w:bookmarkEnd w:id="27"/>
      <w:r>
        <w:rPr>
          <w:rFonts w:ascii="arial" w:eastAsia="arial" w:hAnsi="arial" w:cs="arial"/>
          <w:b w:val="0"/>
          <w:i w:val="0"/>
          <w:strike w:val="0"/>
          <w:noProof w:val="0"/>
          <w:color w:val="000000"/>
          <w:position w:val="0"/>
          <w:sz w:val="20"/>
          <w:u w:val="none"/>
          <w:vertAlign w:val="baseline"/>
        </w:rPr>
        <w:t>"[Kaminski:] No.</w:t>
      </w:r>
    </w:p>
    <w:p>
      <w:pPr>
        <w:keepNext w:val="0"/>
        <w:spacing w:before="200" w:after="0" w:line="260" w:lineRule="atLeast"/>
        <w:ind w:left="0" w:right="0" w:firstLine="0"/>
        <w:jc w:val="both"/>
      </w:pPr>
      <w:bookmarkStart w:id="28" w:name="Bookmark_para_16"/>
      <w:bookmarkEnd w:id="28"/>
      <w:r>
        <w:rPr>
          <w:rFonts w:ascii="arial" w:eastAsia="arial" w:hAnsi="arial" w:cs="arial"/>
          <w:b w:val="0"/>
          <w:i w:val="0"/>
          <w:strike w:val="0"/>
          <w:noProof w:val="0"/>
          <w:color w:val="000000"/>
          <w:position w:val="0"/>
          <w:sz w:val="20"/>
          <w:u w:val="none"/>
          <w:vertAlign w:val="baseline"/>
        </w:rPr>
        <w:t>"[Defense counsel:] And when you say that you didn't do it because of your own free will, was that because you were concerned for your safety and the safety of your family?</w:t>
      </w:r>
    </w:p>
    <w:p>
      <w:pPr>
        <w:keepNext w:val="0"/>
        <w:spacing w:before="200" w:after="0" w:line="260" w:lineRule="atLeast"/>
        <w:ind w:left="0" w:right="0" w:firstLine="0"/>
        <w:jc w:val="both"/>
      </w:pPr>
      <w:bookmarkStart w:id="29" w:name="Bookmark_para_17"/>
      <w:bookmarkEnd w:id="29"/>
      <w:r>
        <w:rPr>
          <w:rFonts w:ascii="arial" w:eastAsia="arial" w:hAnsi="arial" w:cs="arial"/>
          <w:b w:val="0"/>
          <w:i w:val="0"/>
          <w:strike w:val="0"/>
          <w:noProof w:val="0"/>
          <w:color w:val="000000"/>
          <w:position w:val="0"/>
          <w:sz w:val="20"/>
          <w:u w:val="none"/>
          <w:vertAlign w:val="baseline"/>
        </w:rPr>
        <w:t>"[Kaminski:] Yes."</w:t>
      </w:r>
    </w:p>
    <w:p>
      <w:pPr>
        <w:keepNext w:val="0"/>
        <w:spacing w:before="200" w:after="0" w:line="260" w:lineRule="atLeast"/>
        <w:ind w:left="0" w:right="0" w:firstLine="0"/>
        <w:jc w:val="both"/>
      </w:pPr>
      <w:bookmarkStart w:id="30" w:name="Bookmark_para_18"/>
      <w:bookmarkEnd w:id="30"/>
      <w:r>
        <w:rPr>
          <w:rFonts w:ascii="arial" w:eastAsia="arial" w:hAnsi="arial" w:cs="arial"/>
          <w:b w:val="0"/>
          <w:i w:val="0"/>
          <w:strike w:val="0"/>
          <w:noProof w:val="0"/>
          <w:color w:val="000000"/>
          <w:position w:val="0"/>
          <w:sz w:val="20"/>
          <w:u w:val="none"/>
          <w:vertAlign w:val="baseline"/>
        </w:rPr>
        <w:t>On cross-examination, Kaminski admitted that in the hours after Cataño and the men left his house, he did not call federal or local law enforcement in the United States or the Federal Bureau of Investigation. He admitted he did not tell anyone in the hotel what was going on or try to leave the hotel. He conceded he did not ask the United States Customs officer for help, nor did he tell the officer he was scared, had drugs on his body or that his family had been threatened. Kaminski acknowledged he could have approached United States law enforcement, but testified it would not keep his wife or children safe as they lived in Mexico. He did not tell anyone else about what happened to him. After he was released from custody, he returned to</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live with his wife in Tijuana.</w:t>
      </w:r>
    </w:p>
    <w:p>
      <w:pPr>
        <w:keepNext w:val="0"/>
        <w:spacing w:before="200" w:after="0" w:line="260" w:lineRule="atLeast"/>
        <w:ind w:left="0" w:right="0" w:firstLine="0"/>
        <w:jc w:val="both"/>
      </w:pPr>
      <w:bookmarkStart w:id="31" w:name="Bookmark_para_19"/>
      <w:bookmarkEnd w:id="31"/>
      <w:r>
        <w:rPr>
          <w:rFonts w:ascii="arial" w:eastAsia="arial" w:hAnsi="arial" w:cs="arial"/>
          <w:b w:val="0"/>
          <w:i w:val="0"/>
          <w:strike w:val="0"/>
          <w:noProof w:val="0"/>
          <w:color w:val="000000"/>
          <w:position w:val="0"/>
          <w:sz w:val="20"/>
          <w:u w:val="none"/>
          <w:vertAlign w:val="baseline"/>
        </w:rPr>
        <w:t>Following this testimony, defense counsel during a sidebar asked the court to allow him to ask Kaminski why he had not told anyone about the situation before, but now felt comfortable testifying and telling his story. Counsel brought up the newspaper article, advising the court that Kaminski had read the article and believed Cataño was dead. Counsel stated: "It wouldn't be offered for the truth of the matter asserted. It would be offered for the effect of the hearer; feeling confident and able to testify why he is comfortable sharing that information now because I believe his credibility for not disclosing that was discussed on cross-examination. . . . I should be able to rehabilitate that."</w:t>
      </w:r>
    </w:p>
    <w:p>
      <w:pPr>
        <w:keepNext w:val="0"/>
        <w:spacing w:before="200" w:after="0" w:line="260" w:lineRule="atLeast"/>
        <w:ind w:left="0" w:right="0" w:firstLine="0"/>
        <w:jc w:val="both"/>
      </w:pPr>
      <w:bookmarkStart w:id="32" w:name="Bookmark_para_20"/>
      <w:bookmarkEnd w:id="32"/>
      <w:r>
        <w:rPr>
          <w:rFonts w:ascii="arial" w:eastAsia="arial" w:hAnsi="arial" w:cs="arial"/>
          <w:b w:val="0"/>
          <w:i w:val="0"/>
          <w:strike w:val="0"/>
          <w:noProof w:val="0"/>
          <w:color w:val="000000"/>
          <w:position w:val="0"/>
          <w:sz w:val="20"/>
          <w:u w:val="none"/>
          <w:vertAlign w:val="baseline"/>
        </w:rPr>
        <w:t xml:space="preserve">After considering additional remarks from counsel, the court ruled the matter was being offered for its truth. It also ruled under </w:t>
      </w:r>
      <w:hyperlink r:id="rId16" w:history="1">
        <w:r>
          <w:rPr>
            <w:rFonts w:ascii="arial" w:eastAsia="arial" w:hAnsi="arial" w:cs="arial"/>
            <w:b w:val="0"/>
            <w:i/>
            <w:strike w:val="0"/>
            <w:noProof w:val="0"/>
            <w:color w:val="0077CC"/>
            <w:position w:val="0"/>
            <w:sz w:val="20"/>
            <w:u w:val="single"/>
            <w:vertAlign w:val="baseline"/>
          </w:rPr>
          <w:t>section 352</w:t>
        </w:r>
      </w:hyperlink>
      <w:r>
        <w:rPr>
          <w:rFonts w:ascii="arial" w:eastAsia="arial" w:hAnsi="arial" w:cs="arial"/>
          <w:b w:val="0"/>
          <w:i w:val="0"/>
          <w:strike w:val="0"/>
          <w:noProof w:val="0"/>
          <w:color w:val="000000"/>
          <w:position w:val="0"/>
          <w:sz w:val="20"/>
          <w:u w:val="none"/>
          <w:vertAlign w:val="baseline"/>
        </w:rPr>
        <w:t xml:space="preserve"> the evidence was "confusing." The court reasoned: "I don't think it's probative at all because it just doesn't even make sense that he finds out that she is dead and now he feels comfortable testifying about what happened to him and going back and forth to Mexico. It seems it would be the opposite. But I don't find it's relevant and I find</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it's hearsay, so there is no exception."</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DISCUSSION</w:t>
      </w:r>
    </w:p>
    <w:p>
      <w:pPr>
        <w:keepNext w:val="0"/>
        <w:spacing w:before="240" w:after="0" w:line="260" w:lineRule="atLeast"/>
        <w:ind w:left="0" w:right="0" w:firstLine="0"/>
        <w:jc w:val="both"/>
      </w:pPr>
      <w:bookmarkStart w:id="33" w:name="Bookmark_para_21"/>
      <w:bookmarkEnd w:id="33"/>
      <w:r>
        <w:rPr>
          <w:rFonts w:ascii="arial" w:eastAsia="arial" w:hAnsi="arial" w:cs="arial"/>
          <w:b w:val="0"/>
          <w:i w:val="0"/>
          <w:strike w:val="0"/>
          <w:noProof w:val="0"/>
          <w:color w:val="000000"/>
          <w:position w:val="0"/>
          <w:sz w:val="20"/>
          <w:u w:val="none"/>
          <w:vertAlign w:val="baseline"/>
        </w:rPr>
        <w:t xml:space="preserve">The People concede Kaminski sought to introduce evidence of the newspaper article for a nonhearsay purpose, that is, to explain why he felt comfortable testifying at trial in contrast to his failure to notify law enforcement during the offenses, and that it may have been admissible for that purpose. Their main argument is that the court properly excluded the evidence under </w:t>
      </w:r>
      <w:hyperlink r:id="rId16" w:history="1">
        <w:r>
          <w:rPr>
            <w:rFonts w:ascii="arial" w:eastAsia="arial" w:hAnsi="arial" w:cs="arial"/>
            <w:b w:val="0"/>
            <w:i/>
            <w:strike w:val="0"/>
            <w:noProof w:val="0"/>
            <w:color w:val="0077CC"/>
            <w:position w:val="0"/>
            <w:sz w:val="20"/>
            <w:u w:val="single"/>
            <w:vertAlign w:val="baseline"/>
          </w:rPr>
          <w:t>section 352</w:t>
        </w:r>
      </w:hyperlink>
      <w:r>
        <w:rPr>
          <w:rFonts w:ascii="arial" w:eastAsia="arial" w:hAnsi="arial" w:cs="arial"/>
          <w:b w:val="0"/>
          <w:i w:val="0"/>
          <w:strike w:val="0"/>
          <w:noProof w:val="0"/>
          <w:color w:val="000000"/>
          <w:position w:val="0"/>
          <w:sz w:val="20"/>
          <w:u w:val="none"/>
          <w:vertAlign w:val="baseline"/>
        </w:rPr>
        <w:t xml:space="preserve"> as it was only marginally relevant, and likely to confuse or mislead the jury. Thus, the sole question before us is whether, notwithstanding any error by the court in excluding the newspaper article about Cataño's death on hearsay grounds, it correctly excluded the evidence under </w:t>
      </w:r>
      <w:hyperlink r:id="rId16" w:history="1">
        <w:r>
          <w:rPr>
            <w:rFonts w:ascii="arial" w:eastAsia="arial" w:hAnsi="arial" w:cs="arial"/>
            <w:b w:val="0"/>
            <w:i/>
            <w:strike w:val="0"/>
            <w:noProof w:val="0"/>
            <w:color w:val="0077CC"/>
            <w:position w:val="0"/>
            <w:sz w:val="20"/>
            <w:u w:val="single"/>
            <w:vertAlign w:val="baseline"/>
          </w:rPr>
          <w:t>section 352</w:t>
        </w:r>
      </w:hyperlink>
      <w:r>
        <w:rPr>
          <w:rFonts w:ascii="arial" w:eastAsia="arial" w:hAnsi="arial" w:cs="arial"/>
          <w:b w:val="0"/>
          <w:i w:val="0"/>
          <w:strike w:val="0"/>
          <w:noProof w:val="0"/>
          <w:color w:val="000000"/>
          <w:position w:val="0"/>
          <w:sz w:val="20"/>
          <w:u w:val="none"/>
          <w:vertAlign w:val="baseline"/>
        </w:rPr>
        <w:t>. As we explain, we answer that question in the affirmative.</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I. </w:t>
      </w:r>
      <w:r>
        <w:rPr>
          <w:rFonts w:ascii="arial" w:eastAsia="arial" w:hAnsi="arial" w:cs="arial"/>
          <w:b w:val="0"/>
          <w:i/>
          <w:strike w:val="0"/>
          <w:noProof w:val="0"/>
          <w:color w:val="000000"/>
          <w:position w:val="0"/>
          <w:sz w:val="20"/>
          <w:u w:val="none"/>
          <w:vertAlign w:val="baseline"/>
        </w:rPr>
        <w:t>Standard of Review</w:t>
      </w:r>
    </w:p>
    <w:p>
      <w:pPr>
        <w:keepNext w:val="0"/>
        <w:spacing w:before="240" w:after="0" w:line="260" w:lineRule="atLeast"/>
        <w:ind w:left="0" w:right="0" w:firstLine="0"/>
        <w:jc w:val="both"/>
      </w:pPr>
      <w:bookmarkStart w:id="34" w:name="Bookmark_para_22"/>
      <w:bookmarkEnd w:id="34"/>
      <w:bookmarkStart w:id="35" w:name="Bookmark_I68092592SF7NN0020000400"/>
      <w:bookmarkEnd w:id="35"/>
      <w:bookmarkStart w:id="36" w:name="Bookmark_I68092592SF7NN0040000400"/>
      <w:bookmarkEnd w:id="36"/>
      <w:r>
        <w:rPr>
          <w:rFonts w:ascii="arial" w:eastAsia="arial" w:hAnsi="arial" w:cs="arial"/>
          <w:b w:val="0"/>
          <w:i w:val="0"/>
          <w:strike w:val="0"/>
          <w:noProof w:val="0"/>
          <w:color w:val="000000"/>
          <w:position w:val="0"/>
          <w:sz w:val="20"/>
          <w:u w:val="none"/>
          <w:vertAlign w:val="baseline"/>
        </w:rPr>
        <w:t xml:space="preserve">"[U]nder . . . </w:t>
      </w:r>
      <w:hyperlink r:id="rId16" w:history="1">
        <w:r>
          <w:rPr>
            <w:rFonts w:ascii="arial" w:eastAsia="arial" w:hAnsi="arial" w:cs="arial"/>
            <w:b w:val="0"/>
            <w:i/>
            <w:strike w:val="0"/>
            <w:noProof w:val="0"/>
            <w:color w:val="0077CC"/>
            <w:position w:val="0"/>
            <w:sz w:val="20"/>
            <w:u w:val="single"/>
            <w:vertAlign w:val="baseline"/>
          </w:rPr>
          <w:t>section 352</w:t>
        </w:r>
      </w:hyperlink>
      <w:r>
        <w:rPr>
          <w:rFonts w:ascii="arial" w:eastAsia="arial" w:hAnsi="arial" w:cs="arial"/>
          <w:b w:val="0"/>
          <w:i w:val="0"/>
          <w:strike w:val="0"/>
          <w:noProof w:val="0"/>
          <w:color w:val="000000"/>
          <w:position w:val="0"/>
          <w:sz w:val="20"/>
          <w:u w:val="none"/>
          <w:vertAlign w:val="baseline"/>
        </w:rPr>
        <w:t>, 'a trial court has broad discretion to exclude evidence it deems irrelevant, cumulative, or unduly prejudicial or time-consuming.'" (</w:t>
      </w:r>
      <w:bookmarkStart w:id="37" w:name="Bookmark_I68092592SF7NN0010000400"/>
      <w:bookmarkEnd w:id="37"/>
      <w:hyperlink r:id="rId17" w:history="1">
        <w:r>
          <w:rPr>
            <w:rFonts w:ascii="arial" w:eastAsia="arial" w:hAnsi="arial" w:cs="arial"/>
            <w:b w:val="0"/>
            <w:i/>
            <w:strike w:val="0"/>
            <w:noProof w:val="0"/>
            <w:color w:val="0077CC"/>
            <w:position w:val="0"/>
            <w:sz w:val="20"/>
            <w:u w:val="single"/>
            <w:vertAlign w:val="baseline"/>
          </w:rPr>
          <w:t>People v. Johnson</w:t>
        </w:r>
      </w:hyperlink>
      <w:hyperlink r:id="rId17" w:history="1">
        <w:r>
          <w:rPr>
            <w:rFonts w:ascii="arial" w:eastAsia="arial" w:hAnsi="arial" w:cs="arial"/>
            <w:b w:val="0"/>
            <w:i/>
            <w:strike w:val="0"/>
            <w:noProof w:val="0"/>
            <w:color w:val="0077CC"/>
            <w:position w:val="0"/>
            <w:sz w:val="20"/>
            <w:u w:val="single"/>
            <w:vertAlign w:val="baseline"/>
          </w:rPr>
          <w:t xml:space="preserve"> (2022) 12 Cal.5th 544, 605, 288 Cal. Rptr. 3d 291, 501 P.3d 651</w:t>
        </w:r>
      </w:hyperlink>
      <w:r>
        <w:rPr>
          <w:rFonts w:ascii="arial" w:eastAsia="arial" w:hAnsi="arial" w:cs="arial"/>
          <w:b w:val="0"/>
          <w:i w:val="0"/>
          <w:strike w:val="0"/>
          <w:noProof w:val="0"/>
          <w:color w:val="000000"/>
          <w:position w:val="0"/>
          <w:sz w:val="20"/>
          <w:u w:val="none"/>
          <w:vertAlign w:val="baseline"/>
        </w:rPr>
        <w:t>.) The statute permits the court to exclude even relevant evidence if it determines its probative value is substantially outweighed by its possible prejudicial effects. (</w:t>
      </w:r>
      <w:bookmarkStart w:id="38" w:name="Bookmark_I68092592SF7NN0030000400"/>
      <w:bookmarkEnd w:id="38"/>
      <w:hyperlink r:id="rId18" w:history="1">
        <w:r>
          <w:rPr>
            <w:rFonts w:ascii="arial" w:eastAsia="arial" w:hAnsi="arial" w:cs="arial"/>
            <w:b w:val="0"/>
            <w:i/>
            <w:strike w:val="0"/>
            <w:noProof w:val="0"/>
            <w:color w:val="0077CC"/>
            <w:position w:val="0"/>
            <w:sz w:val="20"/>
            <w:u w:val="single"/>
            <w:vertAlign w:val="baseline"/>
          </w:rPr>
          <w:t>People v. Parker</w:t>
        </w:r>
      </w:hyperlink>
      <w:hyperlink r:id="rId18" w:history="1">
        <w:r>
          <w:rPr>
            <w:rFonts w:ascii="arial" w:eastAsia="arial" w:hAnsi="arial" w:cs="arial"/>
            <w:b w:val="0"/>
            <w:i/>
            <w:strike w:val="0"/>
            <w:noProof w:val="0"/>
            <w:color w:val="0077CC"/>
            <w:position w:val="0"/>
            <w:sz w:val="20"/>
            <w:u w:val="single"/>
            <w:vertAlign w:val="baseline"/>
          </w:rPr>
          <w:t xml:space="preserve"> (2022) 13 Cal.5th 1, 53, 293 Cal. Rptr. 3d 813, 510 P.3d 404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9" w:name="Bookmark_para_23"/>
      <w:bookmarkEnd w:id="39"/>
      <w:bookmarkStart w:id="40" w:name="Bookmark_I680925928T4440010000400"/>
      <w:bookmarkEnd w:id="40"/>
      <w:r>
        <w:rPr>
          <w:rFonts w:ascii="arial" w:eastAsia="arial" w:hAnsi="arial" w:cs="arial"/>
          <w:b w:val="0"/>
          <w:i w:val="0"/>
          <w:strike w:val="0"/>
          <w:noProof w:val="0"/>
          <w:color w:val="000000"/>
          <w:position w:val="0"/>
          <w:sz w:val="20"/>
          <w:u w:val="none"/>
          <w:vertAlign w:val="baseline"/>
        </w:rPr>
        <w:t xml:space="preserve">We review the court's ruling under </w:t>
      </w:r>
      <w:hyperlink r:id="rId16" w:history="1">
        <w:r>
          <w:rPr>
            <w:rFonts w:ascii="arial" w:eastAsia="arial" w:hAnsi="arial" w:cs="arial"/>
            <w:b w:val="0"/>
            <w:i/>
            <w:strike w:val="0"/>
            <w:noProof w:val="0"/>
            <w:color w:val="0077CC"/>
            <w:position w:val="0"/>
            <w:sz w:val="20"/>
            <w:u w:val="single"/>
            <w:vertAlign w:val="baseline"/>
          </w:rPr>
          <w:t>section 352</w:t>
        </w:r>
      </w:hyperlink>
      <w:r>
        <w:rPr>
          <w:rFonts w:ascii="arial" w:eastAsia="arial" w:hAnsi="arial" w:cs="arial"/>
          <w:b w:val="0"/>
          <w:i w:val="0"/>
          <w:strike w:val="0"/>
          <w:noProof w:val="0"/>
          <w:color w:val="000000"/>
          <w:position w:val="0"/>
          <w:sz w:val="20"/>
          <w:u w:val="none"/>
          <w:vertAlign w:val="baseline"/>
        </w:rPr>
        <w:t xml:space="preserve"> for abuse of discretion. (</w:t>
      </w:r>
      <w:bookmarkStart w:id="41" w:name="Bookmark_I68092592SF7NN0050000400"/>
      <w:bookmarkEnd w:id="41"/>
      <w:r>
        <w:rPr>
          <w:rFonts w:ascii="arial" w:eastAsia="arial" w:hAnsi="arial" w:cs="arial"/>
          <w:b w:val="0"/>
          <w:i/>
          <w:strike w:val="0"/>
          <w:noProof w:val="0"/>
          <w:color w:val="000000"/>
          <w:position w:val="0"/>
          <w:sz w:val="20"/>
          <w:u w:val="none"/>
          <w:vertAlign w:val="baseline"/>
        </w:rPr>
        <w:t>People v. Parker, supra</w:t>
      </w:r>
      <w:r>
        <w:rPr>
          <w:rFonts w:ascii="arial" w:eastAsia="arial" w:hAnsi="arial" w:cs="arial"/>
          <w:b w:val="0"/>
          <w:i w:val="0"/>
          <w:strike w:val="0"/>
          <w:noProof w:val="0"/>
          <w:color w:val="000000"/>
          <w:position w:val="0"/>
          <w:sz w:val="20"/>
          <w:u w:val="none"/>
          <w:vertAlign w:val="baseline"/>
        </w:rPr>
        <w:t>, 13 Cal.5th at p. 53.) "'"'[T]he scope of discretion</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always resides in the particular law being applied, i.e., in the "legal principles governing the subject of [the] action . . . ." Action that transgresses the confines of the applicable principles of law is outside the scope of discretion and we call such action an "abuse" of discretion.'"' [Citation.] 'To establish an abuse of discretion, defendants must demonstrate that the trial court's decision was so erroneous that it "falls outside the bounds of reason." [Citations.] </w:t>
      </w:r>
      <w:bookmarkStart w:id="42" w:name="Bookmark_I680925928T4440030000400"/>
      <w:bookmarkEnd w:id="42"/>
      <w:r>
        <w:rPr>
          <w:rFonts w:ascii="arial" w:eastAsia="arial" w:hAnsi="arial" w:cs="arial"/>
          <w:b w:val="0"/>
          <w:i w:val="0"/>
          <w:strike w:val="0"/>
          <w:noProof w:val="0"/>
          <w:color w:val="000000"/>
          <w:position w:val="0"/>
          <w:sz w:val="20"/>
          <w:u w:val="none"/>
          <w:vertAlign w:val="baseline"/>
        </w:rPr>
        <w:t xml:space="preserve">A merely debatable ruling cannot be deemed an abuse of discretion. </w:t>
      </w:r>
      <w:bookmarkStart w:id="43" w:name="Bookmark_I680925B2SF7P40020000400"/>
      <w:bookmarkEnd w:id="43"/>
      <w:r>
        <w:rPr>
          <w:rFonts w:ascii="arial" w:eastAsia="arial" w:hAnsi="arial" w:cs="arial"/>
          <w:b w:val="0"/>
          <w:i w:val="0"/>
          <w:strike w:val="0"/>
          <w:noProof w:val="0"/>
          <w:color w:val="000000"/>
          <w:position w:val="0"/>
          <w:sz w:val="20"/>
          <w:u w:val="none"/>
          <w:vertAlign w:val="baseline"/>
        </w:rPr>
        <w:t>[Citations.] An abuse of discretion will be "established by 'a showing the trial court exercised its discretion in an arbitrary, capricious, or patently absurd manner that resulted in a manifest miscarriage of justice.'"'" (</w:t>
      </w:r>
      <w:bookmarkStart w:id="44" w:name="Bookmark_I680925928T4440020000400"/>
      <w:bookmarkEnd w:id="44"/>
      <w:r>
        <w:rPr>
          <w:rFonts w:ascii="arial" w:eastAsia="arial" w:hAnsi="arial" w:cs="arial"/>
          <w:b w:val="0"/>
          <w:i/>
          <w:strike w:val="0"/>
          <w:noProof w:val="0"/>
          <w:color w:val="000000"/>
          <w:position w:val="0"/>
          <w:sz w:val="20"/>
          <w:u w:val="none"/>
          <w:vertAlign w:val="baseline"/>
        </w:rPr>
        <w:t>People v. Johnson, supra</w:t>
      </w:r>
      <w:r>
        <w:rPr>
          <w:rFonts w:ascii="arial" w:eastAsia="arial" w:hAnsi="arial" w:cs="arial"/>
          <w:b w:val="0"/>
          <w:i w:val="0"/>
          <w:strike w:val="0"/>
          <w:noProof w:val="0"/>
          <w:color w:val="000000"/>
          <w:position w:val="0"/>
          <w:sz w:val="20"/>
          <w:u w:val="none"/>
          <w:vertAlign w:val="baseline"/>
        </w:rPr>
        <w:t xml:space="preserve">, 12 Cal.5th at pp. 605-606; see also </w:t>
      </w:r>
      <w:bookmarkStart w:id="45" w:name="Bookmark_I680925928T4440040000400"/>
      <w:bookmarkEnd w:id="45"/>
      <w:r>
        <w:rPr>
          <w:rFonts w:ascii="arial" w:eastAsia="arial" w:hAnsi="arial" w:cs="arial"/>
          <w:b w:val="0"/>
          <w:i/>
          <w:strike w:val="0"/>
          <w:noProof w:val="0"/>
          <w:color w:val="000000"/>
          <w:position w:val="0"/>
          <w:sz w:val="20"/>
          <w:u w:val="none"/>
          <w:vertAlign w:val="baseline"/>
        </w:rPr>
        <w:t>Parker</w:t>
      </w:r>
      <w:r>
        <w:rPr>
          <w:rFonts w:ascii="arial" w:eastAsia="arial" w:hAnsi="arial" w:cs="arial"/>
          <w:b w:val="0"/>
          <w:i w:val="0"/>
          <w:strike w:val="0"/>
          <w:noProof w:val="0"/>
          <w:color w:val="000000"/>
          <w:position w:val="0"/>
          <w:sz w:val="20"/>
          <w:u w:val="none"/>
          <w:vertAlign w:val="baseline"/>
        </w:rPr>
        <w:t xml:space="preserve">, at p. 53.) </w:t>
      </w:r>
      <w:bookmarkStart w:id="46" w:name="Bookmark_I680925B2SF7P40020000400_2"/>
      <w:bookmarkEnd w:id="46"/>
      <w:r>
        <w:rPr>
          <w:rFonts w:ascii="arial" w:eastAsia="arial" w:hAnsi="arial" w:cs="arial"/>
          <w:b w:val="0"/>
          <w:i w:val="0"/>
          <w:strike w:val="0"/>
          <w:noProof w:val="0"/>
          <w:color w:val="000000"/>
          <w:position w:val="0"/>
          <w:sz w:val="20"/>
          <w:u w:val="none"/>
          <w:vertAlign w:val="baseline"/>
        </w:rPr>
        <w:t>"[W]e review the trial court's ruling, 'not the court's reasoning and, if the ruling was correct on any ground, we affirm.'" (</w:t>
      </w:r>
      <w:bookmarkStart w:id="47" w:name="Bookmark_I680925B2SF7P40010000400"/>
      <w:bookmarkEnd w:id="47"/>
      <w:hyperlink r:id="rId19" w:history="1">
        <w:r>
          <w:rPr>
            <w:rFonts w:ascii="arial" w:eastAsia="arial" w:hAnsi="arial" w:cs="arial"/>
            <w:b w:val="0"/>
            <w:i/>
            <w:strike w:val="0"/>
            <w:noProof w:val="0"/>
            <w:color w:val="0077CC"/>
            <w:position w:val="0"/>
            <w:sz w:val="20"/>
            <w:u w:val="single"/>
            <w:vertAlign w:val="baseline"/>
          </w:rPr>
          <w:t>People v. Camacho</w:t>
        </w:r>
      </w:hyperlink>
      <w:hyperlink r:id="rId19" w:history="1">
        <w:r>
          <w:rPr>
            <w:rFonts w:ascii="arial" w:eastAsia="arial" w:hAnsi="arial" w:cs="arial"/>
            <w:b w:val="0"/>
            <w:i/>
            <w:strike w:val="0"/>
            <w:noProof w:val="0"/>
            <w:color w:val="0077CC"/>
            <w:position w:val="0"/>
            <w:sz w:val="20"/>
            <w:u w:val="single"/>
            <w:vertAlign w:val="baseline"/>
          </w:rPr>
          <w:t xml:space="preserve"> (2022) 14 Cal.5th 77, 123, 301 Cal. Rptr. 3d 448, 520 P.3d 548</w:t>
        </w:r>
      </w:hyperlink>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II. </w:t>
      </w:r>
      <w:r>
        <w:rPr>
          <w:rFonts w:ascii="arial" w:eastAsia="arial" w:hAnsi="arial" w:cs="arial"/>
          <w:b w:val="0"/>
          <w:i/>
          <w:strike w:val="0"/>
          <w:noProof w:val="0"/>
          <w:color w:val="000000"/>
          <w:position w:val="0"/>
          <w:sz w:val="20"/>
          <w:u w:val="none"/>
          <w:vertAlign w:val="baseline"/>
        </w:rPr>
        <w:t>The Trial Court Did Not Abuse Its Discretion in Determining the Probative Value of the Evidence Was Outweighed by Its Prejudicial Effect</w:t>
      </w:r>
    </w:p>
    <w:p>
      <w:pPr>
        <w:keepNext w:val="0"/>
        <w:spacing w:before="200" w:after="0" w:line="260" w:lineRule="atLeast"/>
        <w:ind w:left="0" w:right="0" w:firstLine="0"/>
        <w:jc w:val="both"/>
      </w:pPr>
      <w:bookmarkStart w:id="48" w:name="Bookmark_para_24"/>
      <w:bookmarkEnd w:id="48"/>
      <w:r>
        <w:rPr>
          <w:rFonts w:ascii="arial" w:eastAsia="arial" w:hAnsi="arial" w:cs="arial"/>
          <w:b w:val="0"/>
          <w:i w:val="0"/>
          <w:strike w:val="0"/>
          <w:noProof w:val="0"/>
          <w:color w:val="000000"/>
          <w:position w:val="0"/>
          <w:sz w:val="20"/>
          <w:u w:val="none"/>
          <w:vertAlign w:val="baseline"/>
        </w:rPr>
        <w:t>Kaminski contends the evidence of the newspaper article and his knowledge that Cataño had died was relevant to his credibility and intent, and the court</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should have admitted the evidence because it "went directly to the issue of the extent of his fear and his action before, during and after the crime in direct contradiction to the prosecution's assertions that he was not afraid because he never sought help." He argues his belief that Cataño's and her bodyguards' threats were immediate and ongoing kept him from calling for help or turning her in. He argues evidence of Cataño's death "gave some explanation . . . for [his] reticence and actions both before and at the border . . . ." Kaminski explains his "fear was made an issue when he raised the duress defense, which made his testimony regarding [Cataño] both relevant to his credibility as a witness and implicated his intent to commit a crime." Kaminski maintains that because the court instructed the jury on his duress theory, his fear of harm and any evidence to support the reasonableness of that fear was "pivotal," and thus relevant and probative.</w:t>
      </w:r>
    </w:p>
    <w:p>
      <w:pPr>
        <w:keepNext w:val="0"/>
        <w:spacing w:before="200" w:after="0" w:line="260" w:lineRule="atLeast"/>
        <w:ind w:left="0" w:right="0" w:firstLine="0"/>
        <w:jc w:val="both"/>
      </w:pPr>
      <w:bookmarkStart w:id="49" w:name="Bookmark_para_25"/>
      <w:bookmarkEnd w:id="49"/>
      <w:bookmarkStart w:id="50" w:name="Bookmark_I680925B2SF7P40040000400"/>
      <w:bookmarkEnd w:id="50"/>
      <w:r>
        <w:rPr>
          <w:rFonts w:ascii="arial" w:eastAsia="arial" w:hAnsi="arial" w:cs="arial"/>
          <w:b w:val="0"/>
          <w:i w:val="0"/>
          <w:strike w:val="0"/>
          <w:noProof w:val="0"/>
          <w:color w:val="000000"/>
          <w:position w:val="0"/>
          <w:sz w:val="20"/>
          <w:u w:val="none"/>
          <w:vertAlign w:val="baseline"/>
        </w:rPr>
        <w:t>While, as the People concede there may be some probative value to evidence that Cataño died after Kaminski's arrest so as to demonstrate Kaminski felt she was no longer a threat and thus contradict the prosecution's attempt to prove he was</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unafraid, we cannot say the court exceeded the bounds of reason by concluding the probative value was so minimal that it was outweighed by other </w:t>
      </w:r>
      <w:hyperlink r:id="rId16" w:history="1">
        <w:r>
          <w:rPr>
            <w:rFonts w:ascii="arial" w:eastAsia="arial" w:hAnsi="arial" w:cs="arial"/>
            <w:b w:val="0"/>
            <w:i/>
            <w:strike w:val="0"/>
            <w:noProof w:val="0"/>
            <w:color w:val="0077CC"/>
            <w:position w:val="0"/>
            <w:sz w:val="20"/>
            <w:u w:val="single"/>
            <w:vertAlign w:val="baseline"/>
          </w:rPr>
          <w:t>section 352</w:t>
        </w:r>
      </w:hyperlink>
      <w:r>
        <w:rPr>
          <w:rFonts w:ascii="arial" w:eastAsia="arial" w:hAnsi="arial" w:cs="arial"/>
          <w:b w:val="0"/>
          <w:i w:val="0"/>
          <w:strike w:val="0"/>
          <w:noProof w:val="0"/>
          <w:color w:val="000000"/>
          <w:position w:val="0"/>
          <w:sz w:val="20"/>
          <w:u w:val="none"/>
          <w:vertAlign w:val="baseline"/>
        </w:rPr>
        <w:t xml:space="preserve"> factors. Evidence is relevant when it "'"'tends "logically, naturally, and by reasonable inference" to establish material facts . . . .'"'" (</w:t>
      </w:r>
      <w:bookmarkStart w:id="51" w:name="Bookmark_I680925B2SF7P40030000400"/>
      <w:bookmarkEnd w:id="51"/>
      <w:r>
        <w:rPr>
          <w:rFonts w:ascii="arial" w:eastAsia="arial" w:hAnsi="arial" w:cs="arial"/>
          <w:b w:val="0"/>
          <w:i/>
          <w:strike w:val="0"/>
          <w:noProof w:val="0"/>
          <w:color w:val="000000"/>
          <w:position w:val="0"/>
          <w:sz w:val="20"/>
          <w:u w:val="none"/>
          <w:vertAlign w:val="baseline"/>
        </w:rPr>
        <w:t>People v. Parker, supra</w:t>
      </w:r>
      <w:r>
        <w:rPr>
          <w:rFonts w:ascii="arial" w:eastAsia="arial" w:hAnsi="arial" w:cs="arial"/>
          <w:b w:val="0"/>
          <w:i w:val="0"/>
          <w:strike w:val="0"/>
          <w:noProof w:val="0"/>
          <w:color w:val="000000"/>
          <w:position w:val="0"/>
          <w:sz w:val="20"/>
          <w:u w:val="none"/>
          <w:vertAlign w:val="baseline"/>
        </w:rPr>
        <w:t xml:space="preserve">, 13 Cal.5th at p. 53; </w:t>
      </w:r>
      <w:bookmarkStart w:id="52" w:name="Bookmark_I680925B2SF7P40050000400"/>
      <w:bookmarkEnd w:id="52"/>
      <w:hyperlink r:id="rId20" w:history="1">
        <w:r>
          <w:rPr>
            <w:rFonts w:ascii="arial" w:eastAsia="arial" w:hAnsi="arial" w:cs="arial"/>
            <w:b w:val="0"/>
            <w:i/>
            <w:strike w:val="0"/>
            <w:noProof w:val="0"/>
            <w:color w:val="0077CC"/>
            <w:position w:val="0"/>
            <w:sz w:val="20"/>
            <w:u w:val="single"/>
            <w:vertAlign w:val="baseline"/>
          </w:rPr>
          <w:t>People v. Young</w:t>
        </w:r>
      </w:hyperlink>
      <w:hyperlink r:id="rId20" w:history="1">
        <w:r>
          <w:rPr>
            <w:rFonts w:ascii="arial" w:eastAsia="arial" w:hAnsi="arial" w:cs="arial"/>
            <w:b w:val="0"/>
            <w:i/>
            <w:strike w:val="0"/>
            <w:noProof w:val="0"/>
            <w:color w:val="0077CC"/>
            <w:position w:val="0"/>
            <w:sz w:val="20"/>
            <w:u w:val="single"/>
            <w:vertAlign w:val="baseline"/>
          </w:rPr>
          <w:t xml:space="preserve"> (2019) 7 Cal.5th 905, 931, 250 Cal. Rptr. 3d 192, 445 P.3d 591</w:t>
        </w:r>
      </w:hyperlink>
      <w:r>
        <w:rPr>
          <w:rFonts w:ascii="arial" w:eastAsia="arial" w:hAnsi="arial" w:cs="arial"/>
          <w:b w:val="0"/>
          <w:i w:val="0"/>
          <w:strike w:val="0"/>
          <w:noProof w:val="0"/>
          <w:color w:val="000000"/>
          <w:position w:val="0"/>
          <w:sz w:val="20"/>
          <w:u w:val="none"/>
          <w:vertAlign w:val="baseline"/>
        </w:rPr>
        <w:t xml:space="preserve">.) But evidence of Kaminski's state of mind </w:t>
      </w:r>
      <w:r>
        <w:rPr>
          <w:rFonts w:ascii="arial" w:eastAsia="arial" w:hAnsi="arial" w:cs="arial"/>
          <w:b w:val="0"/>
          <w:i/>
          <w:strike w:val="0"/>
          <w:noProof w:val="0"/>
          <w:color w:val="000000"/>
          <w:position w:val="0"/>
          <w:sz w:val="20"/>
          <w:u w:val="none"/>
          <w:vertAlign w:val="baseline"/>
        </w:rPr>
        <w:t>after</w:t>
      </w:r>
      <w:r>
        <w:rPr>
          <w:rFonts w:ascii="arial" w:eastAsia="arial" w:hAnsi="arial" w:cs="arial"/>
          <w:b w:val="0"/>
          <w:i w:val="0"/>
          <w:strike w:val="0"/>
          <w:noProof w:val="0"/>
          <w:color w:val="000000"/>
          <w:position w:val="0"/>
          <w:sz w:val="20"/>
          <w:u w:val="none"/>
          <w:vertAlign w:val="baseline"/>
        </w:rPr>
        <w:t xml:space="preserve"> his arrest, weeks after he committed his crimes, gives rise only to a very weak inference as to his mental state at the time of his crimes.</w:t>
      </w:r>
    </w:p>
    <w:p>
      <w:pPr>
        <w:keepNext w:val="0"/>
        <w:spacing w:before="200" w:after="0" w:line="260" w:lineRule="atLeast"/>
        <w:ind w:left="0" w:right="0" w:firstLine="0"/>
        <w:jc w:val="both"/>
      </w:pPr>
      <w:bookmarkStart w:id="53" w:name="Bookmark_para_26"/>
      <w:bookmarkEnd w:id="53"/>
      <w:r>
        <w:rPr>
          <w:rFonts w:ascii="arial" w:eastAsia="arial" w:hAnsi="arial" w:cs="arial"/>
          <w:b w:val="0"/>
          <w:i w:val="0"/>
          <w:strike w:val="0"/>
          <w:noProof w:val="0"/>
          <w:color w:val="000000"/>
          <w:position w:val="0"/>
          <w:sz w:val="20"/>
          <w:u w:val="none"/>
          <w:vertAlign w:val="baseline"/>
        </w:rPr>
        <w:t>Further, to the extent the evidence was relevant to Kaminski's credibility or whether Kaminski acted under threat and belief that he or his family were in immediate danger at the time of his crimes, it was cumulative. Kaminski specifically testified that he did not act on his own "free will" in committing the offenses; he detailed Cataño's implicit threat to his family and that of the man who held a gun to his head, and explained he committed the crime out of fear for his and his family's safety. In view of Kaminski's testimony, the court instructed the jury on his defense theory of duress.</w:t>
      </w:r>
      <w:r>
        <w:rPr>
          <w:rFonts w:ascii="arial" w:eastAsia="arial" w:hAnsi="arial" w:cs="arial"/>
          <w:vertAlign w:val="superscript"/>
        </w:rPr>
        <w:footnoteReference w:customMarkFollows="1" w:id="3"/>
        <w:t xml:space="preserve">2</w:t>
      </w:r>
    </w:p>
    <w:p>
      <w:pPr>
        <w:keepNext w:val="0"/>
        <w:spacing w:before="200" w:after="0" w:line="260" w:lineRule="atLeast"/>
        <w:ind w:left="0" w:right="0" w:firstLine="0"/>
        <w:jc w:val="both"/>
      </w:pPr>
      <w:bookmarkStart w:id="59" w:name="Bookmark_para_27"/>
      <w:bookmarkEnd w:id="59"/>
      <w:r>
        <w:rPr>
          <w:rFonts w:ascii="arial" w:eastAsia="arial" w:hAnsi="arial" w:cs="arial"/>
          <w:b w:val="0"/>
          <w:i w:val="0"/>
          <w:strike w:val="0"/>
          <w:noProof w:val="0"/>
          <w:color w:val="000000"/>
          <w:position w:val="0"/>
          <w:sz w:val="20"/>
          <w:u w:val="none"/>
          <w:vertAlign w:val="baseline"/>
        </w:rPr>
        <w:t>We need not further discuss the propriety of the court's evidentiary ruling, since as we will explain, Kaminski cannot demonstrate</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prejudice.</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III. </w:t>
      </w:r>
      <w:r>
        <w:rPr>
          <w:rFonts w:ascii="arial" w:eastAsia="arial" w:hAnsi="arial" w:cs="arial"/>
          <w:b w:val="0"/>
          <w:i/>
          <w:strike w:val="0"/>
          <w:noProof w:val="0"/>
          <w:color w:val="000000"/>
          <w:position w:val="0"/>
          <w:sz w:val="20"/>
          <w:u w:val="none"/>
          <w:vertAlign w:val="baseline"/>
        </w:rPr>
        <w:t>Any Assumed Error Was Not Prejudicial</w:t>
      </w:r>
    </w:p>
    <w:p>
      <w:pPr>
        <w:keepNext w:val="0"/>
        <w:spacing w:before="240" w:after="0" w:line="260" w:lineRule="atLeast"/>
        <w:ind w:left="0" w:right="0" w:firstLine="0"/>
        <w:jc w:val="both"/>
      </w:pPr>
      <w:bookmarkStart w:id="60" w:name="Bookmark_para_28"/>
      <w:bookmarkEnd w:id="60"/>
      <w:bookmarkStart w:id="61" w:name="Bookmark_I680925B2SF7P90050000400"/>
      <w:bookmarkEnd w:id="61"/>
      <w:r>
        <w:rPr>
          <w:rFonts w:ascii="arial" w:eastAsia="arial" w:hAnsi="arial" w:cs="arial"/>
          <w:b w:val="0"/>
          <w:i w:val="0"/>
          <w:strike w:val="0"/>
          <w:noProof w:val="0"/>
          <w:color w:val="000000"/>
          <w:position w:val="0"/>
          <w:sz w:val="20"/>
          <w:u w:val="none"/>
          <w:vertAlign w:val="baseline"/>
        </w:rPr>
        <w:t xml:space="preserve">Even if the trial court erred by excluding the evidence of Cataño's death, the error would not warrant reversal. Kaminski asserts we should conclude the court's error is of federal constitutional magnitude because it violated his due process right to present a defense. He maintains the error should be assessed for prejudice under the </w:t>
      </w:r>
      <w:bookmarkStart w:id="62" w:name="Bookmark_I680925B2SF7P90050000400_2"/>
      <w:bookmarkEnd w:id="62"/>
      <w:bookmarkStart w:id="63" w:name="Bookmark_I680925B2SF7P90040000400"/>
      <w:bookmarkEnd w:id="63"/>
      <w:hyperlink r:id="rId21" w:history="1">
        <w:r>
          <w:rPr>
            <w:rFonts w:ascii="arial" w:eastAsia="arial" w:hAnsi="arial" w:cs="arial"/>
            <w:b w:val="0"/>
            <w:i/>
            <w:strike w:val="0"/>
            <w:noProof w:val="0"/>
            <w:color w:val="0077CC"/>
            <w:position w:val="0"/>
            <w:sz w:val="20"/>
            <w:u w:val="single"/>
            <w:vertAlign w:val="baseline"/>
          </w:rPr>
          <w:t>Chapman</w:t>
        </w:r>
      </w:hyperlink>
      <w:r>
        <w:rPr>
          <w:rFonts w:ascii="arial" w:eastAsia="arial" w:hAnsi="arial" w:cs="arial"/>
          <w:b w:val="0"/>
          <w:i w:val="0"/>
          <w:strike w:val="0"/>
          <w:noProof w:val="0"/>
          <w:color w:val="000000"/>
          <w:position w:val="0"/>
          <w:sz w:val="20"/>
          <w:u w:val="none"/>
          <w:vertAlign w:val="baseline"/>
        </w:rPr>
        <w:t xml:space="preserve"> (</w:t>
      </w:r>
      <w:bookmarkStart w:id="64" w:name="Bookmark_I680925C28T44M0010000400"/>
      <w:bookmarkEnd w:id="64"/>
      <w:hyperlink r:id="rId21" w:history="1">
        <w:r>
          <w:rPr>
            <w:rFonts w:ascii="arial" w:eastAsia="arial" w:hAnsi="arial" w:cs="arial"/>
            <w:b w:val="0"/>
            <w:i/>
            <w:strike w:val="0"/>
            <w:noProof w:val="0"/>
            <w:color w:val="0077CC"/>
            <w:position w:val="0"/>
            <w:sz w:val="20"/>
            <w:u w:val="single"/>
            <w:vertAlign w:val="baseline"/>
          </w:rPr>
          <w:t>Chapman v. California</w:t>
        </w:r>
      </w:hyperlink>
      <w:hyperlink r:id="rId21" w:history="1">
        <w:r>
          <w:rPr>
            <w:rFonts w:ascii="arial" w:eastAsia="arial" w:hAnsi="arial" w:cs="arial"/>
            <w:b w:val="0"/>
            <w:i/>
            <w:strike w:val="0"/>
            <w:noProof w:val="0"/>
            <w:color w:val="0077CC"/>
            <w:position w:val="0"/>
            <w:sz w:val="20"/>
            <w:u w:val="single"/>
            <w:vertAlign w:val="baseline"/>
          </w:rPr>
          <w:t xml:space="preserve"> (1967) 386 U.S. 18, 87 S. Ct. 824, 17 L. Ed. 2d 705</w:t>
        </w:r>
      </w:hyperlink>
      <w:r>
        <w:rPr>
          <w:rFonts w:ascii="arial" w:eastAsia="arial" w:hAnsi="arial" w:cs="arial"/>
          <w:b w:val="0"/>
          <w:i w:val="0"/>
          <w:strike w:val="0"/>
          <w:noProof w:val="0"/>
          <w:color w:val="000000"/>
          <w:position w:val="0"/>
          <w:sz w:val="20"/>
          <w:u w:val="none"/>
          <w:vertAlign w:val="baseline"/>
        </w:rPr>
        <w:t>) standard, but that he was prejudiced by the error under either state or federal prejudice standards.</w:t>
      </w:r>
    </w:p>
    <w:p>
      <w:pPr>
        <w:keepNext w:val="0"/>
        <w:spacing w:before="200" w:after="0" w:line="260" w:lineRule="atLeast"/>
        <w:ind w:left="0" w:right="0" w:firstLine="0"/>
        <w:jc w:val="both"/>
      </w:pPr>
      <w:bookmarkStart w:id="65" w:name="Bookmark_para_29"/>
      <w:bookmarkEnd w:id="65"/>
      <w:bookmarkStart w:id="66" w:name="Bookmark_I680925C28T44M0040000400"/>
      <w:bookmarkEnd w:id="66"/>
      <w:bookmarkStart w:id="67" w:name="Bookmark_I680925C2SF7PP0010000400"/>
      <w:bookmarkEnd w:id="67"/>
      <w:r>
        <w:rPr>
          <w:rFonts w:ascii="arial" w:eastAsia="arial" w:hAnsi="arial" w:cs="arial"/>
          <w:b w:val="0"/>
          <w:i w:val="0"/>
          <w:strike w:val="0"/>
          <w:noProof w:val="0"/>
          <w:color w:val="000000"/>
          <w:position w:val="0"/>
          <w:sz w:val="20"/>
          <w:u w:val="none"/>
          <w:vertAlign w:val="baseline"/>
        </w:rPr>
        <w:t>We reject Kaminski's attempt to "inflate garden-variety evidentiary questions into constitutional ones . . . ." (</w:t>
      </w:r>
      <w:bookmarkStart w:id="68" w:name="Bookmark_I680925C28T44M0030000400"/>
      <w:bookmarkEnd w:id="68"/>
      <w:hyperlink r:id="rId22" w:history="1">
        <w:r>
          <w:rPr>
            <w:rFonts w:ascii="arial" w:eastAsia="arial" w:hAnsi="arial" w:cs="arial"/>
            <w:b w:val="0"/>
            <w:i/>
            <w:strike w:val="0"/>
            <w:noProof w:val="0"/>
            <w:color w:val="0077CC"/>
            <w:position w:val="0"/>
            <w:sz w:val="20"/>
            <w:u w:val="single"/>
            <w:vertAlign w:val="baseline"/>
          </w:rPr>
          <w:t>People v. Boyette</w:t>
        </w:r>
      </w:hyperlink>
      <w:hyperlink r:id="rId22" w:history="1">
        <w:r>
          <w:rPr>
            <w:rFonts w:ascii="arial" w:eastAsia="arial" w:hAnsi="arial" w:cs="arial"/>
            <w:b w:val="0"/>
            <w:i/>
            <w:strike w:val="0"/>
            <w:noProof w:val="0"/>
            <w:color w:val="0077CC"/>
            <w:position w:val="0"/>
            <w:sz w:val="20"/>
            <w:u w:val="single"/>
            <w:vertAlign w:val="baseline"/>
          </w:rPr>
          <w:t xml:space="preserve"> (2002) 29 Cal.4th 381, 427, 127 Cal. Rptr. 2d 544, 58 P.3d 391</w:t>
        </w:r>
      </w:hyperlink>
      <w:r>
        <w:rPr>
          <w:rFonts w:ascii="arial" w:eastAsia="arial" w:hAnsi="arial" w:cs="arial"/>
          <w:b w:val="0"/>
          <w:i w:val="0"/>
          <w:strike w:val="0"/>
          <w:noProof w:val="0"/>
          <w:color w:val="000000"/>
          <w:position w:val="0"/>
          <w:sz w:val="20"/>
          <w:u w:val="none"/>
          <w:vertAlign w:val="baseline"/>
        </w:rPr>
        <w:t xml:space="preserve">.) </w:t>
      </w:r>
      <w:bookmarkStart w:id="69" w:name="Bookmark_I680925C2SF7PP0050000400"/>
      <w:bookmarkEnd w:id="69"/>
      <w:r>
        <w:rPr>
          <w:rFonts w:ascii="arial" w:eastAsia="arial" w:hAnsi="arial" w:cs="arial"/>
          <w:b w:val="0"/>
          <w:i w:val="0"/>
          <w:strike w:val="0"/>
          <w:noProof w:val="0"/>
          <w:color w:val="000000"/>
          <w:position w:val="0"/>
          <w:sz w:val="20"/>
          <w:u w:val="none"/>
          <w:vertAlign w:val="baseline"/>
        </w:rPr>
        <w:t xml:space="preserve">Application of the ordinary rules of evidence, including in applying </w:t>
      </w:r>
      <w:hyperlink r:id="rId16" w:history="1">
        <w:r>
          <w:rPr>
            <w:rFonts w:ascii="arial" w:eastAsia="arial" w:hAnsi="arial" w:cs="arial"/>
            <w:b w:val="0"/>
            <w:i/>
            <w:strike w:val="0"/>
            <w:noProof w:val="0"/>
            <w:color w:val="0077CC"/>
            <w:position w:val="0"/>
            <w:sz w:val="20"/>
            <w:u w:val="single"/>
            <w:vertAlign w:val="baseline"/>
          </w:rPr>
          <w:t>section 352</w:t>
        </w:r>
      </w:hyperlink>
      <w:r>
        <w:rPr>
          <w:rFonts w:ascii="arial" w:eastAsia="arial" w:hAnsi="arial" w:cs="arial"/>
          <w:b w:val="0"/>
          <w:i w:val="0"/>
          <w:strike w:val="0"/>
          <w:noProof w:val="0"/>
          <w:color w:val="000000"/>
          <w:position w:val="0"/>
          <w:sz w:val="20"/>
          <w:u w:val="none"/>
          <w:vertAlign w:val="baseline"/>
        </w:rPr>
        <w:t xml:space="preserve">, generally does not deprive a defendant of the opportunity to present a defense. </w:t>
      </w:r>
      <w:bookmarkStart w:id="70" w:name="Bookmark_I680925D2D6N1K0040000400"/>
      <w:bookmarkEnd w:id="70"/>
      <w:r>
        <w:rPr>
          <w:rFonts w:ascii="arial" w:eastAsia="arial" w:hAnsi="arial" w:cs="arial"/>
          <w:b w:val="0"/>
          <w:i w:val="0"/>
          <w:strike w:val="0"/>
          <w:noProof w:val="0"/>
          <w:color w:val="000000"/>
          <w:position w:val="0"/>
          <w:sz w:val="20"/>
          <w:u w:val="none"/>
          <w:vertAlign w:val="baseline"/>
        </w:rPr>
        <w:t>(</w:t>
      </w:r>
      <w:bookmarkStart w:id="71" w:name="Bookmark_I680925C28T44M0050000400"/>
      <w:bookmarkEnd w:id="71"/>
      <w:hyperlink r:id="rId23" w:history="1">
        <w:r>
          <w:rPr>
            <w:rFonts w:ascii="arial" w:eastAsia="arial" w:hAnsi="arial" w:cs="arial"/>
            <w:b w:val="0"/>
            <w:i/>
            <w:strike w:val="0"/>
            <w:noProof w:val="0"/>
            <w:color w:val="0077CC"/>
            <w:position w:val="0"/>
            <w:sz w:val="20"/>
            <w:u w:val="single"/>
            <w:vertAlign w:val="baseline"/>
          </w:rPr>
          <w:t>People v. Snow</w:t>
        </w:r>
      </w:hyperlink>
      <w:hyperlink r:id="rId23" w:history="1">
        <w:r>
          <w:rPr>
            <w:rFonts w:ascii="arial" w:eastAsia="arial" w:hAnsi="arial" w:cs="arial"/>
            <w:b w:val="0"/>
            <w:i/>
            <w:strike w:val="0"/>
            <w:noProof w:val="0"/>
            <w:color w:val="0077CC"/>
            <w:position w:val="0"/>
            <w:sz w:val="20"/>
            <w:u w:val="single"/>
            <w:vertAlign w:val="baseline"/>
          </w:rPr>
          <w:t xml:space="preserve"> (2003) 30 Cal.4th 43, 90, 132 Cal. Rptr. 2d 271, 65 P.3d 749</w:t>
        </w:r>
      </w:hyperlink>
      <w:r>
        <w:rPr>
          <w:rFonts w:ascii="arial" w:eastAsia="arial" w:hAnsi="arial" w:cs="arial"/>
          <w:b w:val="0"/>
          <w:i w:val="0"/>
          <w:strike w:val="0"/>
          <w:noProof w:val="0"/>
          <w:color w:val="000000"/>
          <w:position w:val="0"/>
          <w:sz w:val="20"/>
          <w:u w:val="none"/>
          <w:vertAlign w:val="baseline"/>
        </w:rPr>
        <w:t xml:space="preserve">; </w:t>
      </w:r>
      <w:bookmarkStart w:id="72" w:name="Bookmark_I680925C2SF7PP0020000400"/>
      <w:bookmarkEnd w:id="72"/>
      <w:hyperlink r:id="rId22" w:history="1">
        <w:r>
          <w:rPr>
            <w:rFonts w:ascii="arial" w:eastAsia="arial" w:hAnsi="arial" w:cs="arial"/>
            <w:b w:val="0"/>
            <w:i/>
            <w:strike w:val="0"/>
            <w:noProof w:val="0"/>
            <w:color w:val="0077CC"/>
            <w:position w:val="0"/>
            <w:sz w:val="20"/>
            <w:u w:val="single"/>
            <w:vertAlign w:val="baseline"/>
          </w:rPr>
          <w:t>Boyette</w:t>
        </w:r>
      </w:hyperlink>
      <w:hyperlink r:id="rId22" w:history="1">
        <w:r>
          <w:rPr>
            <w:rFonts w:ascii="arial" w:eastAsia="arial" w:hAnsi="arial" w:cs="arial"/>
            <w:b w:val="0"/>
            <w:i/>
            <w:strike w:val="0"/>
            <w:noProof w:val="0"/>
            <w:color w:val="0077CC"/>
            <w:position w:val="0"/>
            <w:sz w:val="20"/>
            <w:u w:val="single"/>
            <w:vertAlign w:val="baseline"/>
          </w:rPr>
          <w:t>, at pp. 427-428</w:t>
        </w:r>
      </w:hyperlink>
      <w:r>
        <w:rPr>
          <w:rFonts w:ascii="arial" w:eastAsia="arial" w:hAnsi="arial" w:cs="arial"/>
          <w:b w:val="0"/>
          <w:i w:val="0"/>
          <w:strike w:val="0"/>
          <w:noProof w:val="0"/>
          <w:color w:val="000000"/>
          <w:position w:val="0"/>
          <w:sz w:val="20"/>
          <w:u w:val="none"/>
          <w:vertAlign w:val="baseline"/>
        </w:rPr>
        <w:t xml:space="preserve">.) </w:t>
      </w:r>
      <w:bookmarkStart w:id="73" w:name="Bookmark_I680925D2D6N1K0040000400_2"/>
      <w:bookmarkEnd w:id="73"/>
      <w:bookmarkStart w:id="74" w:name="Bookmark_I680925C2SF7PP0050000400_2"/>
      <w:bookmarkEnd w:id="74"/>
      <w:r>
        <w:rPr>
          <w:rFonts w:ascii="arial" w:eastAsia="arial" w:hAnsi="arial" w:cs="arial"/>
          <w:b w:val="0"/>
          <w:i w:val="0"/>
          <w:strike w:val="0"/>
          <w:noProof w:val="0"/>
          <w:color w:val="000000"/>
          <w:position w:val="0"/>
          <w:sz w:val="20"/>
          <w:u w:val="none"/>
          <w:vertAlign w:val="baseline"/>
        </w:rPr>
        <w:t xml:space="preserve">Where the court rejects only some evidence concerning the defense, the proper standard of review is that set forth in </w:t>
      </w:r>
      <w:bookmarkStart w:id="75" w:name="Bookmark_I680925C2SF7PP0040000400"/>
      <w:bookmarkEnd w:id="75"/>
      <w:hyperlink r:id="rId24" w:history="1">
        <w:r>
          <w:rPr>
            <w:rFonts w:ascii="arial" w:eastAsia="arial" w:hAnsi="arial" w:cs="arial"/>
            <w:b w:val="0"/>
            <w:i/>
            <w:strike w:val="0"/>
            <w:noProof w:val="0"/>
            <w:color w:val="0077CC"/>
            <w:position w:val="0"/>
            <w:sz w:val="20"/>
            <w:u w:val="single"/>
            <w:vertAlign w:val="baseline"/>
          </w:rPr>
          <w:t>People v. Watson</w:t>
        </w:r>
      </w:hyperlink>
      <w:hyperlink r:id="rId24" w:history="1">
        <w:r>
          <w:rPr>
            <w:rFonts w:ascii="arial" w:eastAsia="arial" w:hAnsi="arial" w:cs="arial"/>
            <w:b w:val="0"/>
            <w:i/>
            <w:strike w:val="0"/>
            <w:noProof w:val="0"/>
            <w:color w:val="0077CC"/>
            <w:position w:val="0"/>
            <w:sz w:val="20"/>
            <w:u w:val="single"/>
            <w:vertAlign w:val="baseline"/>
          </w:rPr>
          <w:t xml:space="preserve"> (1956) 46 Cal.2d 818, 836, 299 P.2d 243 (</w:t>
        </w:r>
      </w:hyperlink>
      <w:hyperlink r:id="rId24" w:history="1">
        <w:r>
          <w:rPr>
            <w:rFonts w:ascii="arial" w:eastAsia="arial" w:hAnsi="arial" w:cs="arial"/>
            <w:b w:val="0"/>
            <w:i/>
            <w:strike w:val="0"/>
            <w:noProof w:val="0"/>
            <w:color w:val="0077CC"/>
            <w:position w:val="0"/>
            <w:sz w:val="20"/>
            <w:u w:val="single"/>
            <w:vertAlign w:val="baseline"/>
          </w:rPr>
          <w:t>Watson</w:t>
        </w:r>
      </w:hyperlink>
      <w:hyperlink r:id="rId24" w:history="1">
        <w:r>
          <w:rPr>
            <w:rFonts w:ascii="arial" w:eastAsia="arial" w:hAnsi="arial" w:cs="arial"/>
            <w:b w:val="0"/>
            <w:i/>
            <w:strike w:val="0"/>
            <w:noProof w:val="0"/>
            <w:color w:val="0077CC"/>
            <w:position w:val="0"/>
            <w:sz w:val="20"/>
            <w:u w:val="single"/>
            <w:vertAlign w:val="baseline"/>
          </w:rPr>
          <w:t>)</w:t>
        </w:r>
      </w:hyperlink>
      <w:r>
        <w:rPr>
          <w:rFonts w:ascii="arial" w:eastAsia="arial" w:hAnsi="arial" w:cs="arial"/>
          <w:b w:val="0"/>
          <w:i w:val="0"/>
          <w:strike w:val="0"/>
          <w:noProof w:val="0"/>
          <w:color w:val="000000"/>
          <w:position w:val="0"/>
          <w:sz w:val="20"/>
          <w:u w:val="none"/>
          <w:vertAlign w:val="baseline"/>
        </w:rPr>
        <w:t xml:space="preserve">, not the stricter beyond-a-reasonable-doubt standard reserved for errors of constitutional dimension of </w:t>
      </w:r>
      <w:bookmarkStart w:id="76" w:name="Bookmark_I680925D2D6N1K0010000400"/>
      <w:bookmarkEnd w:id="76"/>
      <w:hyperlink r:id="rId21" w:history="1">
        <w:r>
          <w:rPr>
            <w:rFonts w:ascii="arial" w:eastAsia="arial" w:hAnsi="arial" w:cs="arial"/>
            <w:b w:val="0"/>
            <w:i/>
            <w:strike w:val="0"/>
            <w:noProof w:val="0"/>
            <w:color w:val="0077CC"/>
            <w:position w:val="0"/>
            <w:sz w:val="20"/>
            <w:u w:val="single"/>
            <w:vertAlign w:val="baseline"/>
          </w:rPr>
          <w:t>Chapman, supra</w:t>
        </w:r>
      </w:hyperlink>
      <w:hyperlink r:id="rId21" w:history="1">
        <w:r>
          <w:rPr>
            <w:rFonts w:ascii="arial" w:eastAsia="arial" w:hAnsi="arial" w:cs="arial"/>
            <w:b w:val="0"/>
            <w:i/>
            <w:strike w:val="0"/>
            <w:noProof w:val="0"/>
            <w:color w:val="0077CC"/>
            <w:position w:val="0"/>
            <w:sz w:val="20"/>
            <w:u w:val="single"/>
            <w:vertAlign w:val="baseline"/>
          </w:rPr>
          <w:t>, 386 U.S. 18</w:t>
        </w:r>
      </w:hyperlink>
      <w:r>
        <w:rPr>
          <w:rFonts w:ascii="arial" w:eastAsia="arial" w:hAnsi="arial" w:cs="arial"/>
          <w:b w:val="0"/>
          <w:i w:val="0"/>
          <w:strike w:val="0"/>
          <w:noProof w:val="0"/>
          <w:color w:val="000000"/>
          <w:position w:val="0"/>
          <w:sz w:val="20"/>
          <w:u w:val="none"/>
          <w:vertAlign w:val="baseline"/>
        </w:rPr>
        <w:t>. (</w:t>
      </w:r>
      <w:bookmarkStart w:id="77" w:name="Bookmark_I680925D2D6N1K0030000400"/>
      <w:bookmarkEnd w:id="77"/>
      <w:hyperlink r:id="rId22" w:history="1">
        <w:r>
          <w:rPr>
            <w:rFonts w:ascii="arial" w:eastAsia="arial" w:hAnsi="arial" w:cs="arial"/>
            <w:b w:val="0"/>
            <w:i/>
            <w:strike w:val="0"/>
            <w:noProof w:val="0"/>
            <w:color w:val="0077CC"/>
            <w:position w:val="0"/>
            <w:sz w:val="20"/>
            <w:u w:val="single"/>
            <w:vertAlign w:val="baseline"/>
          </w:rPr>
          <w:t>Boyette</w:t>
        </w:r>
      </w:hyperlink>
      <w:hyperlink r:id="rId22" w:history="1">
        <w:r>
          <w:rPr>
            <w:rFonts w:ascii="arial" w:eastAsia="arial" w:hAnsi="arial" w:cs="arial"/>
            <w:b w:val="0"/>
            <w:i/>
            <w:strike w:val="0"/>
            <w:noProof w:val="0"/>
            <w:color w:val="0077CC"/>
            <w:position w:val="0"/>
            <w:sz w:val="20"/>
            <w:u w:val="single"/>
            <w:vertAlign w:val="baseline"/>
          </w:rPr>
          <w:t>, at p. 427</w:t>
        </w:r>
      </w:hyperlink>
      <w:r>
        <w:rPr>
          <w:rFonts w:ascii="arial" w:eastAsia="arial" w:hAnsi="arial" w:cs="arial"/>
          <w:b w:val="0"/>
          <w:i w:val="0"/>
          <w:strike w:val="0"/>
          <w:noProof w:val="0"/>
          <w:color w:val="000000"/>
          <w:position w:val="0"/>
          <w:sz w:val="20"/>
          <w:u w:val="none"/>
          <w:vertAlign w:val="baseline"/>
        </w:rPr>
        <w:t xml:space="preserve">; see also </w:t>
      </w:r>
      <w:bookmarkStart w:id="78" w:name="Bookmark_I680925D2D6N1K0050000400"/>
      <w:bookmarkEnd w:id="78"/>
      <w:hyperlink r:id="rId25" w:history="1">
        <w:r>
          <w:rPr>
            <w:rFonts w:ascii="arial" w:eastAsia="arial" w:hAnsi="arial" w:cs="arial"/>
            <w:b w:val="0"/>
            <w:i/>
            <w:strike w:val="0"/>
            <w:noProof w:val="0"/>
            <w:color w:val="0077CC"/>
            <w:position w:val="0"/>
            <w:sz w:val="20"/>
            <w:u w:val="single"/>
            <w:vertAlign w:val="baseline"/>
          </w:rPr>
          <w:t>People v. Yor Xiong</w:t>
        </w:r>
      </w:hyperlink>
      <w:hyperlink r:id="rId25" w:history="1">
        <w:r>
          <w:rPr>
            <w:rFonts w:ascii="arial" w:eastAsia="arial" w:hAnsi="arial" w:cs="arial"/>
            <w:b w:val="0"/>
            <w:i/>
            <w:strike w:val="0"/>
            <w:noProof w:val="0"/>
            <w:color w:val="0077CC"/>
            <w:position w:val="0"/>
            <w:sz w:val="20"/>
            <w:u w:val="single"/>
            <w:vertAlign w:val="baseline"/>
          </w:rPr>
          <w:t xml:space="preserve"> (2020) 54 Cal.App.5th 1046, 1073, 268 Cal. Rptr. 3d 861</w:t>
        </w:r>
      </w:hyperlink>
      <w:r>
        <w:rPr>
          <w:rFonts w:ascii="arial" w:eastAsia="arial" w:hAnsi="arial" w:cs="arial"/>
          <w:b w:val="0"/>
          <w:i w:val="0"/>
          <w:strike w:val="0"/>
          <w:noProof w:val="0"/>
          <w:color w:val="000000"/>
          <w:position w:val="0"/>
          <w:sz w:val="20"/>
          <w:u w:val="none"/>
          <w:vertAlign w:val="baseline"/>
        </w:rPr>
        <w:t>.) The standard for federal constitutional error applies when there is a "'blanket exclusion'" of a defense and the defendant is "deprived of a '"meaningful opportunity to present a complete defense</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 . . ."'" (</w:t>
      </w:r>
      <w:r>
        <w:rPr>
          <w:rFonts w:ascii="arial" w:eastAsia="arial" w:hAnsi="arial" w:cs="arial"/>
          <w:b w:val="0"/>
          <w:i/>
          <w:strike w:val="0"/>
          <w:noProof w:val="0"/>
          <w:color w:val="000000"/>
          <w:position w:val="0"/>
          <w:sz w:val="20"/>
          <w:u w:val="none"/>
          <w:vertAlign w:val="baseline"/>
        </w:rPr>
        <w:t>People v. Yor Xiong</w:t>
      </w:r>
      <w:r>
        <w:rPr>
          <w:rFonts w:ascii="arial" w:eastAsia="arial" w:hAnsi="arial" w:cs="arial"/>
          <w:b w:val="0"/>
          <w:i w:val="0"/>
          <w:strike w:val="0"/>
          <w:noProof w:val="0"/>
          <w:color w:val="000000"/>
          <w:position w:val="0"/>
          <w:sz w:val="20"/>
          <w:u w:val="none"/>
          <w:vertAlign w:val="baseline"/>
        </w:rPr>
        <w:t>, at p. 1074.)</w:t>
      </w:r>
    </w:p>
    <w:p>
      <w:pPr>
        <w:keepNext w:val="0"/>
        <w:spacing w:before="240" w:after="0" w:line="260" w:lineRule="atLeast"/>
        <w:ind w:left="0" w:right="0" w:firstLine="0"/>
        <w:jc w:val="both"/>
      </w:pPr>
      <w:bookmarkStart w:id="79" w:name="Bookmark_para_30"/>
      <w:bookmarkEnd w:id="79"/>
      <w:r>
        <w:rPr>
          <w:rFonts w:ascii="arial" w:eastAsia="arial" w:hAnsi="arial" w:cs="arial"/>
          <w:b w:val="0"/>
          <w:i w:val="0"/>
          <w:strike w:val="0"/>
          <w:noProof w:val="0"/>
          <w:color w:val="000000"/>
          <w:position w:val="0"/>
          <w:sz w:val="20"/>
          <w:u w:val="none"/>
          <w:vertAlign w:val="baseline"/>
        </w:rPr>
        <w:t xml:space="preserve">Here, the court's exclusion of the evidence about Cataño's death did not violate Kaminski's right to present a defense. </w:t>
      </w:r>
      <w:bookmarkStart w:id="80" w:name="Bookmark_I680925D28T4510030000400"/>
      <w:bookmarkEnd w:id="80"/>
      <w:r>
        <w:rPr>
          <w:rFonts w:ascii="arial" w:eastAsia="arial" w:hAnsi="arial" w:cs="arial"/>
          <w:b w:val="0"/>
          <w:i w:val="0"/>
          <w:strike w:val="0"/>
          <w:noProof w:val="0"/>
          <w:color w:val="000000"/>
          <w:position w:val="0"/>
          <w:sz w:val="20"/>
          <w:u w:val="none"/>
          <w:vertAlign w:val="baseline"/>
        </w:rPr>
        <w:t xml:space="preserve">Kaminski testified about the threats he received and his fear for his and his family's safety leading up to and during his crimes, explaining he did not act under his own free will in crossing the border with the drugs. He was not completely precluded from presenting a duress defense. </w:t>
      </w:r>
      <w:bookmarkStart w:id="81" w:name="Bookmark_I680925D2D6N1S0020000400"/>
      <w:bookmarkEnd w:id="81"/>
      <w:r>
        <w:rPr>
          <w:rFonts w:ascii="arial" w:eastAsia="arial" w:hAnsi="arial" w:cs="arial"/>
          <w:b w:val="0"/>
          <w:i w:val="0"/>
          <w:strike w:val="0"/>
          <w:noProof w:val="0"/>
          <w:color w:val="000000"/>
          <w:position w:val="0"/>
          <w:sz w:val="20"/>
          <w:u w:val="none"/>
          <w:vertAlign w:val="baseline"/>
        </w:rPr>
        <w:t xml:space="preserve">(Accord, </w:t>
      </w:r>
      <w:bookmarkStart w:id="82" w:name="Bookmark_I680925D28T4510020000400"/>
      <w:bookmarkEnd w:id="82"/>
      <w:r>
        <w:rPr>
          <w:rFonts w:ascii="arial" w:eastAsia="arial" w:hAnsi="arial" w:cs="arial"/>
          <w:b w:val="0"/>
          <w:i/>
          <w:strike w:val="0"/>
          <w:noProof w:val="0"/>
          <w:color w:val="000000"/>
          <w:position w:val="0"/>
          <w:sz w:val="20"/>
          <w:u w:val="none"/>
          <w:vertAlign w:val="baseline"/>
        </w:rPr>
        <w:t>People v. Yor Xiong, supra</w:t>
      </w:r>
      <w:r>
        <w:rPr>
          <w:rFonts w:ascii="arial" w:eastAsia="arial" w:hAnsi="arial" w:cs="arial"/>
          <w:b w:val="0"/>
          <w:i w:val="0"/>
          <w:strike w:val="0"/>
          <w:noProof w:val="0"/>
          <w:color w:val="000000"/>
          <w:position w:val="0"/>
          <w:sz w:val="20"/>
          <w:u w:val="none"/>
          <w:vertAlign w:val="baseline"/>
        </w:rPr>
        <w:t xml:space="preserve">, 54 Cal.App.5th at p. 1073 [Applying </w:t>
      </w:r>
      <w:bookmarkStart w:id="83" w:name="Bookmark_I680925D2D6N1S0020000400_2"/>
      <w:bookmarkEnd w:id="83"/>
      <w:bookmarkStart w:id="84" w:name="Bookmark_I680925D28T4510030000400_2"/>
      <w:bookmarkEnd w:id="84"/>
      <w:bookmarkStart w:id="85" w:name="Bookmark_I680925D28T4510040000400"/>
      <w:bookmarkEnd w:id="85"/>
      <w:hyperlink r:id="rId24" w:history="1">
        <w:r>
          <w:rPr>
            <w:rFonts w:ascii="arial" w:eastAsia="arial" w:hAnsi="arial" w:cs="arial"/>
            <w:b w:val="0"/>
            <w:i/>
            <w:strike w:val="0"/>
            <w:noProof w:val="0"/>
            <w:color w:val="0077CC"/>
            <w:position w:val="0"/>
            <w:sz w:val="20"/>
            <w:u w:val="single"/>
            <w:vertAlign w:val="baseline"/>
          </w:rPr>
          <w:t>Watson</w:t>
        </w:r>
      </w:hyperlink>
      <w:r>
        <w:rPr>
          <w:rFonts w:ascii="arial" w:eastAsia="arial" w:hAnsi="arial" w:cs="arial"/>
          <w:b w:val="0"/>
          <w:i w:val="0"/>
          <w:strike w:val="0"/>
          <w:noProof w:val="0"/>
          <w:color w:val="000000"/>
          <w:position w:val="0"/>
          <w:sz w:val="20"/>
          <w:u w:val="none"/>
          <w:vertAlign w:val="baseline"/>
        </w:rPr>
        <w:t xml:space="preserve"> standard where defendant was allowed to mount a defense challenging the reliability of his confession despite exclusion of some evidence on the point: "While defendant was improperly precluded from testifying concerning his understanding of whether a person could say no to officers in the refugee camp or deny allegations made by them, there was ample evidence admitted on his contention that he falsely confessed because he was afraid of the detectives and essentially felt he had to tell them what they wanted to hear to end the interrogation uninjured"].) Accordingly, we examine prejudice under the standard of state law error under </w:t>
      </w:r>
      <w:bookmarkStart w:id="86" w:name="Bookmark_I680925D2D6N1S0020000400_3"/>
      <w:bookmarkEnd w:id="86"/>
      <w:bookmarkStart w:id="87" w:name="Bookmark_I680925D2D6N1S0010000400"/>
      <w:bookmarkEnd w:id="87"/>
      <w:hyperlink r:id="rId24" w:history="1">
        <w:r>
          <w:rPr>
            <w:rFonts w:ascii="arial" w:eastAsia="arial" w:hAnsi="arial" w:cs="arial"/>
            <w:b w:val="0"/>
            <w:i/>
            <w:strike w:val="0"/>
            <w:noProof w:val="0"/>
            <w:color w:val="0077CC"/>
            <w:position w:val="0"/>
            <w:sz w:val="20"/>
            <w:u w:val="single"/>
            <w:vertAlign w:val="baseline"/>
          </w:rPr>
          <w:t>Watson</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88" w:name="Bookmark_para_31"/>
      <w:bookmarkEnd w:id="88"/>
      <w:bookmarkStart w:id="89" w:name="Bookmark_I680925D2D6N1S0040000400"/>
      <w:bookmarkEnd w:id="89"/>
      <w:bookmarkStart w:id="90" w:name="Bookmark_I680925D28T4560010000400"/>
      <w:bookmarkEnd w:id="90"/>
      <w:r>
        <w:rPr>
          <w:rFonts w:ascii="arial" w:eastAsia="arial" w:hAnsi="arial" w:cs="arial"/>
          <w:b w:val="0"/>
          <w:i w:val="0"/>
          <w:strike w:val="0"/>
          <w:noProof w:val="0"/>
          <w:color w:val="000000"/>
          <w:position w:val="0"/>
          <w:sz w:val="20"/>
          <w:u w:val="none"/>
          <w:vertAlign w:val="baseline"/>
        </w:rPr>
        <w:t xml:space="preserve">Under the </w:t>
      </w:r>
      <w:bookmarkStart w:id="91" w:name="Bookmark_I680925D2D6N1S0030000400"/>
      <w:bookmarkEnd w:id="91"/>
      <w:hyperlink r:id="rId24" w:history="1">
        <w:r>
          <w:rPr>
            <w:rFonts w:ascii="arial" w:eastAsia="arial" w:hAnsi="arial" w:cs="arial"/>
            <w:b w:val="0"/>
            <w:i/>
            <w:strike w:val="0"/>
            <w:noProof w:val="0"/>
            <w:color w:val="0077CC"/>
            <w:position w:val="0"/>
            <w:sz w:val="20"/>
            <w:u w:val="single"/>
            <w:vertAlign w:val="baseline"/>
          </w:rPr>
          <w:t>Watson</w:t>
        </w:r>
      </w:hyperlink>
      <w:bookmarkStart w:id="92" w:name="Bookmark_I680925D28T4560030000400"/>
      <w:bookmarkEnd w:id="92"/>
      <w:r>
        <w:rPr>
          <w:rFonts w:ascii="arial" w:eastAsia="arial" w:hAnsi="arial" w:cs="arial"/>
          <w:b w:val="0"/>
          <w:i w:val="0"/>
          <w:strike w:val="0"/>
          <w:noProof w:val="0"/>
          <w:color w:val="000000"/>
          <w:position w:val="0"/>
          <w:sz w:val="20"/>
          <w:u w:val="none"/>
          <w:vertAlign w:val="baseline"/>
        </w:rPr>
        <w:t xml:space="preserve"> standard, we "must reverse if 'it is reasonably probable that a result more favorable</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to the appealing party would have been reached in the absence of the error.' [Citation.] '"'. . . [A] "probability" in this context does not mean more likely than not, but merely a reasonable chance, more than an abstract possibility.'"'" (</w:t>
      </w:r>
      <w:bookmarkStart w:id="93" w:name="Bookmark_I680925D2D6N1S0050000400"/>
      <w:bookmarkEnd w:id="93"/>
      <w:hyperlink r:id="rId26" w:history="1">
        <w:r>
          <w:rPr>
            <w:rFonts w:ascii="arial" w:eastAsia="arial" w:hAnsi="arial" w:cs="arial"/>
            <w:b w:val="0"/>
            <w:i/>
            <w:strike w:val="0"/>
            <w:noProof w:val="0"/>
            <w:color w:val="0077CC"/>
            <w:position w:val="0"/>
            <w:sz w:val="20"/>
            <w:u w:val="single"/>
            <w:vertAlign w:val="baseline"/>
          </w:rPr>
          <w:t>People v. Hendrix</w:t>
        </w:r>
      </w:hyperlink>
      <w:hyperlink r:id="rId26" w:history="1">
        <w:r>
          <w:rPr>
            <w:rFonts w:ascii="arial" w:eastAsia="arial" w:hAnsi="arial" w:cs="arial"/>
            <w:b w:val="0"/>
            <w:i/>
            <w:strike w:val="0"/>
            <w:noProof w:val="0"/>
            <w:color w:val="0077CC"/>
            <w:position w:val="0"/>
            <w:sz w:val="20"/>
            <w:u w:val="single"/>
            <w:vertAlign w:val="baseline"/>
          </w:rPr>
          <w:t xml:space="preserve"> (2022) 13 Cal.5th 933, 944, 297 Cal. Rptr. 3d 278, 515 P.3d 22</w:t>
        </w:r>
      </w:hyperlink>
      <w:r>
        <w:rPr>
          <w:rFonts w:ascii="arial" w:eastAsia="arial" w:hAnsi="arial" w:cs="arial"/>
          <w:b w:val="0"/>
          <w:i w:val="0"/>
          <w:strike w:val="0"/>
          <w:noProof w:val="0"/>
          <w:color w:val="000000"/>
          <w:position w:val="0"/>
          <w:sz w:val="20"/>
          <w:u w:val="none"/>
          <w:vertAlign w:val="baseline"/>
        </w:rPr>
        <w:t xml:space="preserve">.) </w:t>
      </w:r>
      <w:bookmarkStart w:id="94" w:name="Bookmark_I680925D28T4560030000400_2"/>
      <w:bookmarkEnd w:id="94"/>
      <w:bookmarkStart w:id="95" w:name="Bookmark_I680925D28T4560050000400"/>
      <w:bookmarkEnd w:id="95"/>
      <w:r>
        <w:rPr>
          <w:rFonts w:ascii="arial" w:eastAsia="arial" w:hAnsi="arial" w:cs="arial"/>
          <w:b w:val="0"/>
          <w:i w:val="0"/>
          <w:strike w:val="0"/>
          <w:noProof w:val="0"/>
          <w:color w:val="000000"/>
          <w:position w:val="0"/>
          <w:sz w:val="20"/>
          <w:u w:val="none"/>
          <w:vertAlign w:val="baseline"/>
        </w:rPr>
        <w:t xml:space="preserve">The </w:t>
      </w:r>
      <w:bookmarkStart w:id="96" w:name="Bookmark_I680925D28T4560050000400_2"/>
      <w:bookmarkEnd w:id="96"/>
      <w:bookmarkStart w:id="97" w:name="Bookmark_I680925D28T4560030000400_3"/>
      <w:bookmarkEnd w:id="97"/>
      <w:bookmarkStart w:id="98" w:name="Bookmark_I680925D28T4560020000400"/>
      <w:bookmarkEnd w:id="98"/>
      <w:hyperlink r:id="rId24" w:history="1">
        <w:r>
          <w:rPr>
            <w:rFonts w:ascii="arial" w:eastAsia="arial" w:hAnsi="arial" w:cs="arial"/>
            <w:b w:val="0"/>
            <w:i/>
            <w:strike w:val="0"/>
            <w:noProof w:val="0"/>
            <w:color w:val="0077CC"/>
            <w:position w:val="0"/>
            <w:sz w:val="20"/>
            <w:u w:val="single"/>
            <w:vertAlign w:val="baseline"/>
          </w:rPr>
          <w:t>Watson</w:t>
        </w:r>
      </w:hyperlink>
      <w:r>
        <w:rPr>
          <w:rFonts w:ascii="arial" w:eastAsia="arial" w:hAnsi="arial" w:cs="arial"/>
          <w:b w:val="0"/>
          <w:i w:val="0"/>
          <w:strike w:val="0"/>
          <w:noProof w:val="0"/>
          <w:color w:val="000000"/>
          <w:position w:val="0"/>
          <w:sz w:val="20"/>
          <w:u w:val="none"/>
          <w:vertAlign w:val="baseline"/>
        </w:rPr>
        <w:t xml:space="preserve"> standard of harmless error "'focuses not on what a reasonable jury </w:t>
      </w:r>
      <w:r>
        <w:rPr>
          <w:rFonts w:ascii="arial" w:eastAsia="arial" w:hAnsi="arial" w:cs="arial"/>
          <w:b w:val="0"/>
          <w:i/>
          <w:strike w:val="0"/>
          <w:noProof w:val="0"/>
          <w:color w:val="000000"/>
          <w:position w:val="0"/>
          <w:sz w:val="20"/>
          <w:u w:val="none"/>
          <w:vertAlign w:val="baseline"/>
        </w:rPr>
        <w:t>could</w:t>
      </w:r>
      <w:r>
        <w:rPr>
          <w:rFonts w:ascii="arial" w:eastAsia="arial" w:hAnsi="arial" w:cs="arial"/>
          <w:b w:val="0"/>
          <w:i w:val="0"/>
          <w:strike w:val="0"/>
          <w:noProof w:val="0"/>
          <w:color w:val="000000"/>
          <w:position w:val="0"/>
          <w:sz w:val="20"/>
          <w:u w:val="none"/>
          <w:vertAlign w:val="baseline"/>
        </w:rPr>
        <w:t xml:space="preserve"> do, but what such a jury is </w:t>
      </w:r>
      <w:r>
        <w:rPr>
          <w:rFonts w:ascii="arial" w:eastAsia="arial" w:hAnsi="arial" w:cs="arial"/>
          <w:b w:val="0"/>
          <w:i/>
          <w:strike w:val="0"/>
          <w:noProof w:val="0"/>
          <w:color w:val="000000"/>
          <w:position w:val="0"/>
          <w:sz w:val="20"/>
          <w:u w:val="none"/>
          <w:vertAlign w:val="baseline"/>
        </w:rPr>
        <w:t>likely</w:t>
      </w:r>
      <w:r>
        <w:rPr>
          <w:rFonts w:ascii="arial" w:eastAsia="arial" w:hAnsi="arial" w:cs="arial"/>
          <w:b w:val="0"/>
          <w:i w:val="0"/>
          <w:strike w:val="0"/>
          <w:noProof w:val="0"/>
          <w:color w:val="000000"/>
          <w:position w:val="0"/>
          <w:sz w:val="20"/>
          <w:u w:val="none"/>
          <w:vertAlign w:val="baseline"/>
        </w:rPr>
        <w:t xml:space="preserve"> to have done in the absence of the error under consideration. </w:t>
      </w:r>
      <w:bookmarkStart w:id="99" w:name="Bookmark_I680925F2SF7RB0010000400"/>
      <w:bookmarkEnd w:id="99"/>
      <w:r>
        <w:rPr>
          <w:rFonts w:ascii="arial" w:eastAsia="arial" w:hAnsi="arial" w:cs="arial"/>
          <w:b w:val="0"/>
          <w:i w:val="0"/>
          <w:strike w:val="0"/>
          <w:noProof w:val="0"/>
          <w:color w:val="000000"/>
          <w:position w:val="0"/>
          <w:sz w:val="20"/>
          <w:u w:val="none"/>
          <w:vertAlign w:val="baseline"/>
        </w:rPr>
        <w:t xml:space="preserve">In making that evaluation, an appellate court may consider, among other things, whether the evidence supporting the existing judgment is so </w:t>
      </w:r>
      <w:r>
        <w:rPr>
          <w:rFonts w:ascii="arial" w:eastAsia="arial" w:hAnsi="arial" w:cs="arial"/>
          <w:b w:val="0"/>
          <w:i/>
          <w:strike w:val="0"/>
          <w:noProof w:val="0"/>
          <w:color w:val="000000"/>
          <w:position w:val="0"/>
          <w:sz w:val="20"/>
          <w:u w:val="none"/>
          <w:vertAlign w:val="baseline"/>
        </w:rPr>
        <w:t>relatively</w:t>
      </w:r>
      <w:r>
        <w:rPr>
          <w:rFonts w:ascii="arial" w:eastAsia="arial" w:hAnsi="arial" w:cs="arial"/>
          <w:b w:val="0"/>
          <w:i w:val="0"/>
          <w:strike w:val="0"/>
          <w:noProof w:val="0"/>
          <w:color w:val="000000"/>
          <w:position w:val="0"/>
          <w:sz w:val="20"/>
          <w:u w:val="none"/>
          <w:vertAlign w:val="baseline"/>
        </w:rPr>
        <w:t xml:space="preserve"> strong, and the evidence supporting a different outcome is so </w:t>
      </w:r>
      <w:r>
        <w:rPr>
          <w:rFonts w:ascii="arial" w:eastAsia="arial" w:hAnsi="arial" w:cs="arial"/>
          <w:b w:val="0"/>
          <w:i/>
          <w:strike w:val="0"/>
          <w:noProof w:val="0"/>
          <w:color w:val="000000"/>
          <w:position w:val="0"/>
          <w:sz w:val="20"/>
          <w:u w:val="none"/>
          <w:vertAlign w:val="baseline"/>
        </w:rPr>
        <w:t>comparatively</w:t>
      </w:r>
      <w:r>
        <w:rPr>
          <w:rFonts w:ascii="arial" w:eastAsia="arial" w:hAnsi="arial" w:cs="arial"/>
          <w:b w:val="0"/>
          <w:i w:val="0"/>
          <w:strike w:val="0"/>
          <w:noProof w:val="0"/>
          <w:color w:val="000000"/>
          <w:position w:val="0"/>
          <w:sz w:val="20"/>
          <w:u w:val="none"/>
          <w:vertAlign w:val="baseline"/>
        </w:rPr>
        <w:t xml:space="preserve"> weak, that there is no reasonable probability the error of which the defendant complains affected the result.'" (</w:t>
      </w:r>
      <w:bookmarkStart w:id="100" w:name="Bookmark_I680925D28T4560040000400"/>
      <w:bookmarkEnd w:id="100"/>
      <w:hyperlink r:id="rId27" w:history="1">
        <w:r>
          <w:rPr>
            <w:rFonts w:ascii="arial" w:eastAsia="arial" w:hAnsi="arial" w:cs="arial"/>
            <w:b w:val="0"/>
            <w:i/>
            <w:strike w:val="0"/>
            <w:noProof w:val="0"/>
            <w:color w:val="0077CC"/>
            <w:position w:val="0"/>
            <w:sz w:val="20"/>
            <w:u w:val="single"/>
            <w:vertAlign w:val="baseline"/>
          </w:rPr>
          <w:t>People v. Beltran</w:t>
        </w:r>
      </w:hyperlink>
      <w:hyperlink r:id="rId27" w:history="1">
        <w:r>
          <w:rPr>
            <w:rFonts w:ascii="arial" w:eastAsia="arial" w:hAnsi="arial" w:cs="arial"/>
            <w:b w:val="0"/>
            <w:i/>
            <w:strike w:val="0"/>
            <w:noProof w:val="0"/>
            <w:color w:val="0077CC"/>
            <w:position w:val="0"/>
            <w:sz w:val="20"/>
            <w:u w:val="single"/>
            <w:vertAlign w:val="baseline"/>
          </w:rPr>
          <w:t xml:space="preserve"> (2013) 56 Cal.4th 935, 956, 157 Cal. Rptr. 3d 503, 301 P.3d 1120</w:t>
        </w:r>
      </w:hyperlink>
      <w:r>
        <w:rPr>
          <w:rFonts w:ascii="arial" w:eastAsia="arial" w:hAnsi="arial" w:cs="arial"/>
          <w:b w:val="0"/>
          <w:i w:val="0"/>
          <w:strike w:val="0"/>
          <w:noProof w:val="0"/>
          <w:color w:val="000000"/>
          <w:position w:val="0"/>
          <w:sz w:val="20"/>
          <w:u w:val="none"/>
          <w:vertAlign w:val="baseline"/>
        </w:rPr>
        <w:t xml:space="preserve">; </w:t>
      </w:r>
      <w:bookmarkStart w:id="101" w:name="Bookmark_I680925F2SF7R60010000400"/>
      <w:bookmarkEnd w:id="101"/>
      <w:hyperlink r:id="rId28" w:history="1">
        <w:r>
          <w:rPr>
            <w:rFonts w:ascii="arial" w:eastAsia="arial" w:hAnsi="arial" w:cs="arial"/>
            <w:b w:val="0"/>
            <w:i/>
            <w:strike w:val="0"/>
            <w:noProof w:val="0"/>
            <w:color w:val="0077CC"/>
            <w:position w:val="0"/>
            <w:sz w:val="20"/>
            <w:u w:val="single"/>
            <w:vertAlign w:val="baseline"/>
          </w:rPr>
          <w:t>People v. Quintanilla</w:t>
        </w:r>
      </w:hyperlink>
      <w:hyperlink r:id="rId28" w:history="1">
        <w:r>
          <w:rPr>
            <w:rFonts w:ascii="arial" w:eastAsia="arial" w:hAnsi="arial" w:cs="arial"/>
            <w:b w:val="0"/>
            <w:i/>
            <w:strike w:val="0"/>
            <w:noProof w:val="0"/>
            <w:color w:val="0077CC"/>
            <w:position w:val="0"/>
            <w:sz w:val="20"/>
            <w:u w:val="single"/>
            <w:vertAlign w:val="baseline"/>
          </w:rPr>
          <w:t xml:space="preserve"> (2020) 45 Cal.App.5th 1039, 1060, 259 Cal. Rptr. 3d 431</w:t>
        </w:r>
      </w:hyperlink>
      <w:r>
        <w:rPr>
          <w:rFonts w:ascii="arial" w:eastAsia="arial" w:hAnsi="arial" w:cs="arial"/>
          <w:b w:val="0"/>
          <w:i w:val="0"/>
          <w:strike w:val="0"/>
          <w:noProof w:val="0"/>
          <w:color w:val="000000"/>
          <w:position w:val="0"/>
          <w:sz w:val="20"/>
          <w:u w:val="none"/>
          <w:vertAlign w:val="baseline"/>
        </w:rPr>
        <w:t xml:space="preserve">; </w:t>
      </w:r>
      <w:bookmarkStart w:id="102" w:name="Bookmark_I680925F2SF7R60030000400"/>
      <w:bookmarkEnd w:id="102"/>
      <w:r>
        <w:rPr>
          <w:rFonts w:ascii="arial" w:eastAsia="arial" w:hAnsi="arial" w:cs="arial"/>
          <w:b w:val="0"/>
          <w:i/>
          <w:strike w:val="0"/>
          <w:noProof w:val="0"/>
          <w:color w:val="000000"/>
          <w:position w:val="0"/>
          <w:sz w:val="20"/>
          <w:u w:val="none"/>
          <w:vertAlign w:val="baseline"/>
        </w:rPr>
        <w:t>People v. Yor Xiong, supra</w:t>
      </w:r>
      <w:r>
        <w:rPr>
          <w:rFonts w:ascii="arial" w:eastAsia="arial" w:hAnsi="arial" w:cs="arial"/>
          <w:b w:val="0"/>
          <w:i w:val="0"/>
          <w:strike w:val="0"/>
          <w:noProof w:val="0"/>
          <w:color w:val="000000"/>
          <w:position w:val="0"/>
          <w:sz w:val="20"/>
          <w:u w:val="none"/>
          <w:vertAlign w:val="baseline"/>
        </w:rPr>
        <w:t xml:space="preserve">, 54 Cal.App.5th at p. 1074.) </w:t>
      </w:r>
      <w:bookmarkStart w:id="103" w:name="Bookmark_I680925F2SF7RB0010000400_2"/>
      <w:bookmarkEnd w:id="103"/>
      <w:r>
        <w:rPr>
          <w:rFonts w:ascii="arial" w:eastAsia="arial" w:hAnsi="arial" w:cs="arial"/>
          <w:b w:val="0"/>
          <w:i w:val="0"/>
          <w:strike w:val="0"/>
          <w:noProof w:val="0"/>
          <w:color w:val="000000"/>
          <w:position w:val="0"/>
          <w:sz w:val="20"/>
          <w:u w:val="none"/>
          <w:vertAlign w:val="baseline"/>
        </w:rPr>
        <w:t>In undertaking this analysis, we may consider the arguments of counsel. (</w:t>
      </w:r>
      <w:bookmarkStart w:id="104" w:name="Bookmark_I680925F2SF7R60050000400"/>
      <w:bookmarkEnd w:id="104"/>
      <w:r>
        <w:rPr>
          <w:rFonts w:ascii="arial" w:eastAsia="arial" w:hAnsi="arial" w:cs="arial"/>
          <w:b w:val="0"/>
          <w:i/>
          <w:strike w:val="0"/>
          <w:noProof w:val="0"/>
          <w:color w:val="000000"/>
          <w:position w:val="0"/>
          <w:sz w:val="20"/>
          <w:u w:val="none"/>
          <w:vertAlign w:val="baseline"/>
        </w:rPr>
        <w:t>Yor Xiong</w:t>
      </w:r>
      <w:r>
        <w:rPr>
          <w:rFonts w:ascii="arial" w:eastAsia="arial" w:hAnsi="arial" w:cs="arial"/>
          <w:b w:val="0"/>
          <w:i w:val="0"/>
          <w:strike w:val="0"/>
          <w:noProof w:val="0"/>
          <w:color w:val="000000"/>
          <w:position w:val="0"/>
          <w:sz w:val="20"/>
          <w:u w:val="none"/>
          <w:vertAlign w:val="baseline"/>
        </w:rPr>
        <w:t>, at p. 1074.)</w:t>
      </w:r>
    </w:p>
    <w:p>
      <w:pPr>
        <w:keepNext w:val="0"/>
        <w:spacing w:before="200" w:after="0" w:line="260" w:lineRule="atLeast"/>
        <w:ind w:left="0" w:right="0" w:firstLine="0"/>
        <w:jc w:val="both"/>
      </w:pPr>
      <w:bookmarkStart w:id="105" w:name="Bookmark_para_32"/>
      <w:bookmarkEnd w:id="105"/>
      <w:r>
        <w:rPr>
          <w:rFonts w:ascii="arial" w:eastAsia="arial" w:hAnsi="arial" w:cs="arial"/>
          <w:b w:val="0"/>
          <w:i w:val="0"/>
          <w:strike w:val="0"/>
          <w:noProof w:val="0"/>
          <w:color w:val="000000"/>
          <w:position w:val="0"/>
          <w:sz w:val="20"/>
          <w:u w:val="none"/>
          <w:vertAlign w:val="baseline"/>
        </w:rPr>
        <w:t>According to Kaminski, evidence of Cataño's death was "a critical factor" because "she was the link to the cartel and a constant threatening presence before, during and after the crime." He argues she and her armed men "were a looming immediate threat at all times" and thus "[h]er death and his knowledge of that alleviated that overwhelming stress and never-ending</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threat," which "would have been crucial for the jury in order for it to properly weigh his veracity and the reasonableness of his duress defense."</w:t>
      </w:r>
    </w:p>
    <w:p>
      <w:pPr>
        <w:keepNext w:val="0"/>
        <w:spacing w:before="200" w:after="0" w:line="260" w:lineRule="atLeast"/>
        <w:ind w:left="0" w:right="0" w:firstLine="0"/>
        <w:jc w:val="both"/>
      </w:pPr>
      <w:bookmarkStart w:id="106" w:name="Bookmark_para_33"/>
      <w:bookmarkEnd w:id="106"/>
      <w:bookmarkStart w:id="107" w:name="Bookmark_I680925F2SF7RB0030000400"/>
      <w:bookmarkEnd w:id="107"/>
      <w:r>
        <w:rPr>
          <w:rFonts w:ascii="arial" w:eastAsia="arial" w:hAnsi="arial" w:cs="arial"/>
          <w:b w:val="0"/>
          <w:i w:val="0"/>
          <w:strike w:val="0"/>
          <w:noProof w:val="0"/>
          <w:color w:val="000000"/>
          <w:position w:val="0"/>
          <w:sz w:val="20"/>
          <w:u w:val="none"/>
          <w:vertAlign w:val="baseline"/>
        </w:rPr>
        <w:t xml:space="preserve">We disagree evidence of Cataño's death was critical or pivotal to Kaminski's duress defense. </w:t>
      </w:r>
      <w:bookmarkStart w:id="108" w:name="Bookmark_I680925G2D6N270020000400"/>
      <w:bookmarkEnd w:id="108"/>
      <w:r>
        <w:rPr>
          <w:rFonts w:ascii="arial" w:eastAsia="arial" w:hAnsi="arial" w:cs="arial"/>
          <w:b w:val="0"/>
          <w:i w:val="0"/>
          <w:strike w:val="0"/>
          <w:noProof w:val="0"/>
          <w:color w:val="000000"/>
          <w:position w:val="0"/>
          <w:sz w:val="20"/>
          <w:u w:val="none"/>
          <w:vertAlign w:val="baseline"/>
        </w:rPr>
        <w:t>A successful duress defense turns on evidence of "the immediacy and imminency of the threatened action"; decisions upholding the defense "'represent[ ] the situation of a present and active aggressor threatening immediate danger; none depict a phantasmagoria of future harm.'" (</w:t>
      </w:r>
      <w:bookmarkStart w:id="109" w:name="Bookmark_I680925F2SF7RB0020000400"/>
      <w:bookmarkEnd w:id="109"/>
      <w:hyperlink r:id="rId29" w:history="1">
        <w:r>
          <w:rPr>
            <w:rFonts w:ascii="arial" w:eastAsia="arial" w:hAnsi="arial" w:cs="arial"/>
            <w:b w:val="0"/>
            <w:i/>
            <w:strike w:val="0"/>
            <w:noProof w:val="0"/>
            <w:color w:val="0077CC"/>
            <w:position w:val="0"/>
            <w:sz w:val="20"/>
            <w:u w:val="single"/>
            <w:vertAlign w:val="baseline"/>
          </w:rPr>
          <w:t>People v. Condley</w:t>
        </w:r>
      </w:hyperlink>
      <w:hyperlink r:id="rId29" w:history="1">
        <w:r>
          <w:rPr>
            <w:rFonts w:ascii="arial" w:eastAsia="arial" w:hAnsi="arial" w:cs="arial"/>
            <w:b w:val="0"/>
            <w:i/>
            <w:strike w:val="0"/>
            <w:noProof w:val="0"/>
            <w:color w:val="0077CC"/>
            <w:position w:val="0"/>
            <w:sz w:val="20"/>
            <w:u w:val="single"/>
            <w:vertAlign w:val="baseline"/>
          </w:rPr>
          <w:t xml:space="preserve"> (1977) 69 Cal.App.3d 999, 1011, 138 Cal. Rptr. 515</w:t>
        </w:r>
      </w:hyperlink>
      <w:r>
        <w:rPr>
          <w:rFonts w:ascii="arial" w:eastAsia="arial" w:hAnsi="arial" w:cs="arial"/>
          <w:b w:val="0"/>
          <w:i w:val="0"/>
          <w:strike w:val="0"/>
          <w:noProof w:val="0"/>
          <w:color w:val="000000"/>
          <w:position w:val="0"/>
          <w:sz w:val="20"/>
          <w:u w:val="none"/>
          <w:vertAlign w:val="baseline"/>
        </w:rPr>
        <w:t xml:space="preserve">, quoting </w:t>
      </w:r>
      <w:bookmarkStart w:id="110" w:name="Bookmark_I680925F2SF7RB0040000400"/>
      <w:bookmarkEnd w:id="110"/>
      <w:hyperlink r:id="rId30" w:history="1">
        <w:r>
          <w:rPr>
            <w:rFonts w:ascii="arial" w:eastAsia="arial" w:hAnsi="arial" w:cs="arial"/>
            <w:b w:val="0"/>
            <w:i/>
            <w:strike w:val="0"/>
            <w:noProof w:val="0"/>
            <w:color w:val="0077CC"/>
            <w:position w:val="0"/>
            <w:sz w:val="20"/>
            <w:u w:val="single"/>
            <w:vertAlign w:val="baseline"/>
          </w:rPr>
          <w:t>People v. Lo Cicero</w:t>
        </w:r>
      </w:hyperlink>
      <w:hyperlink r:id="rId30" w:history="1">
        <w:r>
          <w:rPr>
            <w:rFonts w:ascii="arial" w:eastAsia="arial" w:hAnsi="arial" w:cs="arial"/>
            <w:b w:val="0"/>
            <w:i/>
            <w:strike w:val="0"/>
            <w:noProof w:val="0"/>
            <w:color w:val="0077CC"/>
            <w:position w:val="0"/>
            <w:sz w:val="20"/>
            <w:u w:val="single"/>
            <w:vertAlign w:val="baseline"/>
          </w:rPr>
          <w:t xml:space="preserve"> (1969) 71 Cal.2d 1186, 1191, 80 Cal. Rptr. 913, 459 P.2d 241</w:t>
        </w:r>
      </w:hyperlink>
      <w:r>
        <w:rPr>
          <w:rFonts w:ascii="arial" w:eastAsia="arial" w:hAnsi="arial" w:cs="arial"/>
          <w:b w:val="0"/>
          <w:i w:val="0"/>
          <w:strike w:val="0"/>
          <w:noProof w:val="0"/>
          <w:color w:val="000000"/>
          <w:position w:val="0"/>
          <w:sz w:val="20"/>
          <w:u w:val="none"/>
          <w:vertAlign w:val="baseline"/>
        </w:rPr>
        <w:t xml:space="preserve">.) </w:t>
      </w:r>
      <w:bookmarkStart w:id="111" w:name="Bookmark_I680925G2D6N270040000400"/>
      <w:bookmarkEnd w:id="111"/>
      <w:r>
        <w:rPr>
          <w:rFonts w:ascii="arial" w:eastAsia="arial" w:hAnsi="arial" w:cs="arial"/>
          <w:b w:val="0"/>
          <w:i w:val="0"/>
          <w:strike w:val="0"/>
          <w:noProof w:val="0"/>
          <w:color w:val="000000"/>
          <w:position w:val="0"/>
          <w:sz w:val="20"/>
          <w:u w:val="none"/>
          <w:vertAlign w:val="baseline"/>
        </w:rPr>
        <w:t xml:space="preserve">A threat of death to be carried out at some undefined time will not diminish criminal culpability. </w:t>
      </w:r>
      <w:bookmarkStart w:id="112" w:name="Bookmark_I680925G2D6N270040000400_2"/>
      <w:bookmarkEnd w:id="112"/>
      <w:bookmarkStart w:id="113" w:name="Bookmark_I680925G2D6N270020000400_2"/>
      <w:bookmarkEnd w:id="113"/>
      <w:r>
        <w:rPr>
          <w:rFonts w:ascii="arial" w:eastAsia="arial" w:hAnsi="arial" w:cs="arial"/>
          <w:b w:val="0"/>
          <w:i w:val="0"/>
          <w:strike w:val="0"/>
          <w:noProof w:val="0"/>
          <w:color w:val="000000"/>
          <w:position w:val="0"/>
          <w:sz w:val="20"/>
          <w:u w:val="none"/>
          <w:vertAlign w:val="baseline"/>
        </w:rPr>
        <w:t>(</w:t>
      </w:r>
      <w:bookmarkStart w:id="114" w:name="Bookmark_I680925G2D6N270010000400"/>
      <w:bookmarkEnd w:id="114"/>
      <w:hyperlink r:id="rId31" w:history="1">
        <w:r>
          <w:rPr>
            <w:rFonts w:ascii="arial" w:eastAsia="arial" w:hAnsi="arial" w:cs="arial"/>
            <w:b w:val="0"/>
            <w:i/>
            <w:strike w:val="0"/>
            <w:noProof w:val="0"/>
            <w:color w:val="0077CC"/>
            <w:position w:val="0"/>
            <w:sz w:val="20"/>
            <w:u w:val="single"/>
            <w:vertAlign w:val="baseline"/>
          </w:rPr>
          <w:t>People v. Petznick</w:t>
        </w:r>
      </w:hyperlink>
      <w:hyperlink r:id="rId31" w:history="1">
        <w:r>
          <w:rPr>
            <w:rFonts w:ascii="arial" w:eastAsia="arial" w:hAnsi="arial" w:cs="arial"/>
            <w:b w:val="0"/>
            <w:i/>
            <w:strike w:val="0"/>
            <w:noProof w:val="0"/>
            <w:color w:val="0077CC"/>
            <w:position w:val="0"/>
            <w:sz w:val="20"/>
            <w:u w:val="single"/>
            <w:vertAlign w:val="baseline"/>
          </w:rPr>
          <w:t xml:space="preserve"> (2003) 114 Cal.App.4th 663, 676-677, 7 Cal. Rptr. 3d 726</w:t>
        </w:r>
      </w:hyperlink>
      <w:r>
        <w:rPr>
          <w:rFonts w:ascii="arial" w:eastAsia="arial" w:hAnsi="arial" w:cs="arial"/>
          <w:b w:val="0"/>
          <w:i w:val="0"/>
          <w:strike w:val="0"/>
          <w:noProof w:val="0"/>
          <w:color w:val="000000"/>
          <w:position w:val="0"/>
          <w:sz w:val="20"/>
          <w:u w:val="none"/>
          <w:vertAlign w:val="baseline"/>
        </w:rPr>
        <w:t>.) Given the immediacy requirement, courts have described a person committing a crime under duress as having "'only the choice of imminent death or executing the requested crime.'" (</w:t>
      </w:r>
      <w:bookmarkStart w:id="115" w:name="Bookmark_I680925G2D6N270030000400"/>
      <w:bookmarkEnd w:id="115"/>
      <w:hyperlink r:id="rId31" w:history="1">
        <w:r>
          <w:rPr>
            <w:rFonts w:ascii="arial" w:eastAsia="arial" w:hAnsi="arial" w:cs="arial"/>
            <w:b w:val="0"/>
            <w:i/>
            <w:strike w:val="0"/>
            <w:noProof w:val="0"/>
            <w:color w:val="0077CC"/>
            <w:position w:val="0"/>
            <w:sz w:val="20"/>
            <w:u w:val="single"/>
            <w:vertAlign w:val="baseline"/>
          </w:rPr>
          <w:t>Id.</w:t>
        </w:r>
      </w:hyperlink>
      <w:hyperlink r:id="rId31" w:history="1">
        <w:r>
          <w:rPr>
            <w:rFonts w:ascii="arial" w:eastAsia="arial" w:hAnsi="arial" w:cs="arial"/>
            <w:b w:val="0"/>
            <w:i/>
            <w:strike w:val="0"/>
            <w:noProof w:val="0"/>
            <w:color w:val="0077CC"/>
            <w:position w:val="0"/>
            <w:sz w:val="20"/>
            <w:u w:val="single"/>
            <w:vertAlign w:val="baseline"/>
          </w:rPr>
          <w:t xml:space="preserve"> at p. 676</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People v. Condley</w:t>
      </w:r>
      <w:r>
        <w:rPr>
          <w:rFonts w:ascii="arial" w:eastAsia="arial" w:hAnsi="arial" w:cs="arial"/>
          <w:b w:val="0"/>
          <w:i w:val="0"/>
          <w:strike w:val="0"/>
          <w:noProof w:val="0"/>
          <w:color w:val="000000"/>
          <w:position w:val="0"/>
          <w:sz w:val="20"/>
          <w:u w:val="none"/>
          <w:vertAlign w:val="baseline"/>
        </w:rPr>
        <w:t>, at p. 1012.) "The person being threatened has no time to formulate what is a reasonable and viable course of conduct nor to formulate criminal intent" and thus his "unlawful acts . . . are attributed to the coercing party who supplies the requisite mens rea and is liable for the crime." (</w:t>
      </w:r>
      <w:r>
        <w:rPr>
          <w:rFonts w:ascii="arial" w:eastAsia="arial" w:hAnsi="arial" w:cs="arial"/>
          <w:b w:val="0"/>
          <w:i/>
          <w:strike w:val="0"/>
          <w:noProof w:val="0"/>
          <w:color w:val="000000"/>
          <w:position w:val="0"/>
          <w:sz w:val="20"/>
          <w:u w:val="none"/>
          <w:vertAlign w:val="baseline"/>
        </w:rPr>
        <w:t>People v. Condley</w:t>
      </w:r>
      <w:r>
        <w:rPr>
          <w:rFonts w:ascii="arial" w:eastAsia="arial" w:hAnsi="arial" w:cs="arial"/>
          <w:b w:val="0"/>
          <w:i w:val="0"/>
          <w:strike w:val="0"/>
          <w:noProof w:val="0"/>
          <w:color w:val="000000"/>
          <w:position w:val="0"/>
          <w:sz w:val="20"/>
          <w:u w:val="none"/>
          <w:vertAlign w:val="baseline"/>
        </w:rPr>
        <w:t>, at p. 1012.)</w:t>
      </w:r>
    </w:p>
    <w:p>
      <w:pPr>
        <w:keepNext w:val="0"/>
        <w:spacing w:before="200" w:after="0" w:line="260" w:lineRule="atLeast"/>
        <w:ind w:left="0" w:right="0" w:firstLine="0"/>
        <w:jc w:val="both"/>
      </w:pPr>
      <w:bookmarkStart w:id="116" w:name="Bookmark_para_34"/>
      <w:bookmarkEnd w:id="116"/>
      <w:r>
        <w:rPr>
          <w:rFonts w:ascii="arial" w:eastAsia="arial" w:hAnsi="arial" w:cs="arial"/>
          <w:b w:val="0"/>
          <w:i w:val="0"/>
          <w:strike w:val="0"/>
          <w:noProof w:val="0"/>
          <w:color w:val="000000"/>
          <w:position w:val="0"/>
          <w:sz w:val="20"/>
          <w:u w:val="none"/>
          <w:vertAlign w:val="baseline"/>
        </w:rPr>
        <w:t>That Cataño had died weeks after Kaminski's arrest</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only tangentially bore on his fear for his and his family's life at the time he committed the offenses. </w:t>
      </w:r>
      <w:bookmarkStart w:id="117" w:name="Bookmark_I680925G2D6N2D0010000400"/>
      <w:bookmarkEnd w:id="117"/>
      <w:r>
        <w:rPr>
          <w:rFonts w:ascii="arial" w:eastAsia="arial" w:hAnsi="arial" w:cs="arial"/>
          <w:b w:val="0"/>
          <w:i w:val="0"/>
          <w:strike w:val="0"/>
          <w:noProof w:val="0"/>
          <w:color w:val="000000"/>
          <w:position w:val="0"/>
          <w:sz w:val="20"/>
          <w:u w:val="none"/>
          <w:vertAlign w:val="baseline"/>
        </w:rPr>
        <w:t>And the evidence that Cataño died after his arrest would not have added significantly to Kaminski's duress defense, because key to that defense was his earlier state of mind, that is, his feeling that because of her threats, his or his family's life would be in danger if he refused to commit the crimes. The jury rejected the defense, and we conclude it is not reasonably probable it would have reached a different conclusion even if it had heard evidence of Cataño's death. The jury likely viewed Kaminski's testimony about Cataño's statements as reflecting only a threat of harm to himself and his family members at some "undefined time" (</w:t>
      </w:r>
      <w:bookmarkStart w:id="118" w:name="Bookmark_I680925G2D6N270050000400"/>
      <w:bookmarkEnd w:id="118"/>
      <w:r>
        <w:rPr>
          <w:rFonts w:ascii="arial" w:eastAsia="arial" w:hAnsi="arial" w:cs="arial"/>
          <w:b w:val="0"/>
          <w:i/>
          <w:strike w:val="0"/>
          <w:noProof w:val="0"/>
          <w:color w:val="000000"/>
          <w:position w:val="0"/>
          <w:sz w:val="20"/>
          <w:u w:val="none"/>
          <w:vertAlign w:val="baseline"/>
        </w:rPr>
        <w:t>People v. Petznick, supra</w:t>
      </w:r>
      <w:r>
        <w:rPr>
          <w:rFonts w:ascii="arial" w:eastAsia="arial" w:hAnsi="arial" w:cs="arial"/>
          <w:b w:val="0"/>
          <w:i w:val="0"/>
          <w:strike w:val="0"/>
          <w:noProof w:val="0"/>
          <w:color w:val="000000"/>
          <w:position w:val="0"/>
          <w:sz w:val="20"/>
          <w:u w:val="none"/>
          <w:vertAlign w:val="baseline"/>
        </w:rPr>
        <w:t>, 114 Cal.App.4th at pp. 676-677) in the future. The jury likely concluded that there was no imminent threat to his life because when Kaminski crossed the border, he was unaccompanied by Cataño or her men. While in closing arguments the People placed significant focus on Kaminski's several "windows of opportunity" to seek help but failure to do so before and during his crime, that argument was directed at Kaminski's state of mind at the time of the crimes, and would not have been undermined</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by evidence of Cataño's death and its impact on Kaminski's state of mind after his arrest.</w:t>
      </w:r>
    </w:p>
    <w:p>
      <w:pPr>
        <w:keepNext w:val="0"/>
        <w:spacing w:before="200" w:after="0" w:line="260" w:lineRule="atLeast"/>
        <w:ind w:left="0" w:right="0" w:firstLine="0"/>
        <w:jc w:val="both"/>
      </w:pPr>
      <w:bookmarkStart w:id="119" w:name="Bookmark_para_35"/>
      <w:bookmarkEnd w:id="119"/>
      <w:r>
        <w:rPr>
          <w:rFonts w:ascii="arial" w:eastAsia="arial" w:hAnsi="arial" w:cs="arial"/>
          <w:b w:val="0"/>
          <w:i w:val="0"/>
          <w:strike w:val="0"/>
          <w:noProof w:val="0"/>
          <w:color w:val="000000"/>
          <w:position w:val="0"/>
          <w:sz w:val="20"/>
          <w:u w:val="none"/>
          <w:vertAlign w:val="baseline"/>
        </w:rPr>
        <w:t>We agree with the People that other evidence undercut Kaminski's claim that he could come forward to tell his story after Cataño's death. The People point out Kaminski returned to Mexico after he was released from custody to live with his family there, contradicting his claim that he was in fear of Cataño, her men, or the drug cartel assertedly behind her.</w:t>
      </w:r>
    </w:p>
    <w:p>
      <w:pPr>
        <w:keepNext w:val="0"/>
        <w:spacing w:before="200" w:after="0" w:line="260" w:lineRule="atLeast"/>
        <w:ind w:left="0" w:right="0" w:firstLine="0"/>
        <w:jc w:val="both"/>
      </w:pPr>
      <w:bookmarkStart w:id="120" w:name="Bookmark_para_36"/>
      <w:bookmarkEnd w:id="120"/>
      <w:r>
        <w:rPr>
          <w:rFonts w:ascii="arial" w:eastAsia="arial" w:hAnsi="arial" w:cs="arial"/>
          <w:b w:val="0"/>
          <w:i w:val="0"/>
          <w:strike w:val="0"/>
          <w:noProof w:val="0"/>
          <w:color w:val="000000"/>
          <w:position w:val="0"/>
          <w:sz w:val="20"/>
          <w:u w:val="none"/>
          <w:vertAlign w:val="baseline"/>
        </w:rPr>
        <w:t>In short, we conclude it is not reasonably probable the jury would have given credit to Kaminski's duress defense and reached a different result had the trial court admitted the proffered evidence.</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DISPOSITION</w:t>
      </w:r>
    </w:p>
    <w:p>
      <w:pPr>
        <w:keepNext w:val="0"/>
        <w:spacing w:before="200" w:after="0" w:line="260" w:lineRule="atLeast"/>
        <w:ind w:left="0" w:right="0" w:firstLine="0"/>
        <w:jc w:val="both"/>
      </w:pPr>
      <w:bookmarkStart w:id="121" w:name="Bookmark_para_37"/>
      <w:bookmarkEnd w:id="121"/>
      <w:r>
        <w:rPr>
          <w:rFonts w:ascii="arial" w:eastAsia="arial" w:hAnsi="arial" w:cs="arial"/>
          <w:b w:val="0"/>
          <w:i w:val="0"/>
          <w:strike w:val="0"/>
          <w:noProof w:val="0"/>
          <w:color w:val="000000"/>
          <w:position w:val="0"/>
          <w:sz w:val="20"/>
          <w:u w:val="none"/>
          <w:vertAlign w:val="baseline"/>
        </w:rPr>
        <w:t>The judgment is affirmed.</w:t>
      </w:r>
    </w:p>
    <w:p>
      <w:pPr>
        <w:keepNext w:val="0"/>
        <w:spacing w:before="200" w:after="0" w:line="260" w:lineRule="atLeast"/>
        <w:ind w:left="0" w:right="0" w:firstLine="0"/>
        <w:jc w:val="both"/>
      </w:pPr>
      <w:bookmarkStart w:id="122" w:name="Bookmark_para_38"/>
      <w:bookmarkEnd w:id="122"/>
      <w:r>
        <w:rPr>
          <w:rFonts w:ascii="arial" w:eastAsia="arial" w:hAnsi="arial" w:cs="arial"/>
          <w:b w:val="0"/>
          <w:i w:val="0"/>
          <w:strike w:val="0"/>
          <w:noProof w:val="0"/>
          <w:color w:val="000000"/>
          <w:position w:val="0"/>
          <w:sz w:val="20"/>
          <w:u w:val="none"/>
          <w:vertAlign w:val="baseline"/>
        </w:rPr>
        <w:t>O'ROURKE, J.</w:t>
      </w:r>
    </w:p>
    <w:p>
      <w:pPr>
        <w:keepNext w:val="0"/>
        <w:spacing w:before="200" w:after="0" w:line="260" w:lineRule="atLeast"/>
        <w:ind w:left="0" w:right="0" w:firstLine="0"/>
        <w:jc w:val="both"/>
      </w:pPr>
      <w:bookmarkStart w:id="123" w:name="Bookmark_para_39"/>
      <w:bookmarkEnd w:id="123"/>
      <w:r>
        <w:rPr>
          <w:rFonts w:ascii="arial" w:eastAsia="arial" w:hAnsi="arial" w:cs="arial"/>
          <w:b w:val="0"/>
          <w:i w:val="0"/>
          <w:strike w:val="0"/>
          <w:noProof w:val="0"/>
          <w:color w:val="000000"/>
          <w:position w:val="0"/>
          <w:sz w:val="20"/>
          <w:u w:val="none"/>
          <w:vertAlign w:val="baseline"/>
        </w:rPr>
        <w:t>WE CONCUR:</w:t>
      </w:r>
    </w:p>
    <w:p>
      <w:pPr>
        <w:keepNext w:val="0"/>
        <w:spacing w:before="200" w:after="0" w:line="260" w:lineRule="atLeast"/>
        <w:ind w:left="0" w:right="0" w:firstLine="0"/>
        <w:jc w:val="both"/>
      </w:pPr>
      <w:bookmarkStart w:id="124" w:name="Bookmark_para_40"/>
      <w:bookmarkEnd w:id="124"/>
      <w:r>
        <w:rPr>
          <w:rFonts w:ascii="arial" w:eastAsia="arial" w:hAnsi="arial" w:cs="arial"/>
          <w:b w:val="0"/>
          <w:i w:val="0"/>
          <w:strike w:val="0"/>
          <w:noProof w:val="0"/>
          <w:color w:val="000000"/>
          <w:position w:val="0"/>
          <w:sz w:val="20"/>
          <w:u w:val="none"/>
          <w:vertAlign w:val="baseline"/>
        </w:rPr>
        <w:t>McCONNELL, P. J.</w:t>
      </w:r>
    </w:p>
    <w:p>
      <w:pPr>
        <w:keepNext w:val="0"/>
        <w:spacing w:before="200" w:after="0" w:line="260" w:lineRule="atLeast"/>
        <w:ind w:left="0" w:right="0" w:firstLine="0"/>
        <w:jc w:val="both"/>
      </w:pPr>
      <w:bookmarkStart w:id="125" w:name="Bookmark_para_41"/>
      <w:bookmarkEnd w:id="125"/>
      <w:r>
        <w:rPr>
          <w:rFonts w:ascii="arial" w:eastAsia="arial" w:hAnsi="arial" w:cs="arial"/>
          <w:b w:val="0"/>
          <w:i w:val="0"/>
          <w:strike w:val="0"/>
          <w:noProof w:val="0"/>
          <w:color w:val="000000"/>
          <w:position w:val="0"/>
          <w:sz w:val="20"/>
          <w:u w:val="none"/>
          <w:vertAlign w:val="baseline"/>
        </w:rPr>
        <w:t>BUCHANAN, J.</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hyperlink r:id="rId1" w:history="1">
        <w:r>
          <w:rPr>
            <w:rFonts w:ascii="arial" w:eastAsia="arial" w:hAnsi="arial" w:cs="arial"/>
            <w:b w:val="0"/>
            <w:i w:val="0"/>
            <w:strike w:val="0"/>
            <w:color w:val="0077CC"/>
            <w:sz w:val="18"/>
            <w:u w:val="single"/>
            <w:vertAlign w:val="superscript"/>
          </w:rPr>
          <w:t>1 </w:t>
        </w:r>
      </w:hyperlink>
      <w:bookmarkStart w:id="16" w:name="Bookmark_fnpara_1"/>
      <w:bookmarkEnd w:id="16"/>
      <w:hyperlink r:id="rId1" w:history="1">
        <w:r>
          <w:rPr>
            <w:rFonts w:ascii="arial" w:eastAsia="arial" w:hAnsi="arial" w:cs="arial"/>
            <w:b w:val="0"/>
            <w:i w:val="0"/>
            <w:strike w:val="0"/>
            <w:color w:val="0077CC"/>
            <w:sz w:val="18"/>
            <w:u w:val="single"/>
            <w:vertAlign w:val="baseline"/>
          </w:rPr>
          <w:t>Undesignated statutory references are to the Evidence Code.</w:t>
        </w:r>
      </w:hyperlink>
    </w:p>
  </w:footnote>
  <w:footnote w:id="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54" w:name="Bookmark_fnpara_2"/>
      <w:bookmarkEnd w:id="54"/>
      <w:bookmarkStart w:id="55" w:name="Bookmark_I680925B2SF7P90030000400"/>
      <w:bookmarkEnd w:id="55"/>
      <w:hyperlink r:id="rId2" w:history="1">
        <w:r>
          <w:rPr>
            <w:rFonts w:ascii="arial" w:eastAsia="arial" w:hAnsi="arial" w:cs="arial"/>
            <w:b w:val="0"/>
            <w:i/>
            <w:strike w:val="0"/>
            <w:noProof w:val="0"/>
            <w:color w:val="0077CC"/>
            <w:position w:val="0"/>
            <w:sz w:val="18"/>
            <w:u w:val="single"/>
            <w:vertAlign w:val="baseline"/>
          </w:rPr>
          <w:t>Penal Code section 26</w:t>
        </w:r>
      </w:hyperlink>
      <w:r>
        <w:rPr>
          <w:rFonts w:ascii="arial" w:eastAsia="arial" w:hAnsi="arial" w:cs="arial"/>
          <w:b w:val="0"/>
          <w:i w:val="0"/>
          <w:strike w:val="0"/>
          <w:noProof w:val="0"/>
          <w:color w:val="000000"/>
          <w:position w:val="0"/>
          <w:sz w:val="18"/>
          <w:u w:val="none"/>
          <w:vertAlign w:val="baseline"/>
        </w:rPr>
        <w:t xml:space="preserve"> provides in part that persons are not capable of committing a crime (unless the crime is punishable with death) if they "committed the act or made the omission charged under threats or menaces sufficient to show that they had reasonable cause to and did believe their lives would be endangered if they refused." Where a defendant proves such circumstances, "</w:t>
      </w:r>
      <w:hyperlink r:id="rId2" w:history="1">
        <w:r>
          <w:rPr>
            <w:rFonts w:ascii="arial" w:eastAsia="arial" w:hAnsi="arial" w:cs="arial"/>
            <w:b w:val="0"/>
            <w:i/>
            <w:strike w:val="0"/>
            <w:noProof w:val="0"/>
            <w:color w:val="0077CC"/>
            <w:position w:val="0"/>
            <w:sz w:val="18"/>
            <w:u w:val="single"/>
            <w:vertAlign w:val="baseline"/>
          </w:rPr>
          <w:t>section 26</w:t>
        </w:r>
      </w:hyperlink>
      <w:r>
        <w:rPr>
          <w:rFonts w:ascii="arial" w:eastAsia="arial" w:hAnsi="arial" w:cs="arial"/>
          <w:b w:val="0"/>
          <w:i w:val="0"/>
          <w:strike w:val="0"/>
          <w:noProof w:val="0"/>
          <w:color w:val="000000"/>
          <w:position w:val="0"/>
          <w:sz w:val="18"/>
          <w:u w:val="none"/>
          <w:vertAlign w:val="baseline"/>
        </w:rPr>
        <w:t xml:space="preserve"> declares duress to be a perfect defense against criminal charges . . . ." (</w:t>
      </w:r>
      <w:bookmarkStart w:id="56" w:name="Bookmark_I680925B2SF7P90020000400"/>
      <w:bookmarkEnd w:id="56"/>
      <w:hyperlink r:id="rId3" w:history="1">
        <w:r>
          <w:rPr>
            <w:rFonts w:ascii="arial" w:eastAsia="arial" w:hAnsi="arial" w:cs="arial"/>
            <w:b w:val="0"/>
            <w:i/>
            <w:strike w:val="0"/>
            <w:noProof w:val="0"/>
            <w:color w:val="0077CC"/>
            <w:position w:val="0"/>
            <w:sz w:val="18"/>
            <w:u w:val="single"/>
            <w:vertAlign w:val="baseline"/>
          </w:rPr>
          <w:t>People v. Vieira</w:t>
        </w:r>
      </w:hyperlink>
      <w:hyperlink r:id="rId3" w:history="1">
        <w:r>
          <w:rPr>
            <w:rFonts w:ascii="arial" w:eastAsia="arial" w:hAnsi="arial" w:cs="arial"/>
            <w:b w:val="0"/>
            <w:i/>
            <w:strike w:val="0"/>
            <w:noProof w:val="0"/>
            <w:color w:val="0077CC"/>
            <w:position w:val="0"/>
            <w:sz w:val="18"/>
            <w:u w:val="single"/>
            <w:vertAlign w:val="baseline"/>
          </w:rPr>
          <w:t xml:space="preserve"> (2005) 35 Cal.4th 264, 289-290, 25 Cal. Rptr. 3d 337, 106 P.3d 990</w:t>
        </w:r>
      </w:hyperlink>
      <w:r>
        <w:rPr>
          <w:rFonts w:ascii="arial" w:eastAsia="arial" w:hAnsi="arial" w:cs="arial"/>
          <w:b w:val="0"/>
          <w:i w:val="0"/>
          <w:strike w:val="0"/>
          <w:noProof w:val="0"/>
          <w:color w:val="000000"/>
          <w:position w:val="0"/>
          <w:sz w:val="18"/>
          <w:u w:val="none"/>
          <w:vertAlign w:val="baseline"/>
        </w:rPr>
        <w:t>.)</w:t>
      </w:r>
    </w:p>
    <w:p>
      <w:pPr>
        <w:keepNext w:val="0"/>
        <w:spacing w:before="200" w:after="0" w:line="240" w:lineRule="atLeast"/>
        <w:ind w:left="0" w:right="0" w:firstLine="0"/>
        <w:jc w:val="both"/>
      </w:pPr>
      <w:bookmarkStart w:id="57" w:name="Bookmark_fnpara_3"/>
      <w:bookmarkEnd w:id="57"/>
      <w:bookmarkStart w:id="58" w:name="Bookmark_I680925B2SF7P90030000400_2"/>
      <w:bookmarkEnd w:id="58"/>
      <w:r>
        <w:rPr>
          <w:rFonts w:ascii="arial" w:eastAsia="arial" w:hAnsi="arial" w:cs="arial"/>
          <w:b w:val="0"/>
          <w:i w:val="0"/>
          <w:strike w:val="0"/>
          <w:noProof w:val="0"/>
          <w:color w:val="000000"/>
          <w:position w:val="0"/>
          <w:sz w:val="18"/>
          <w:u w:val="none"/>
          <w:vertAlign w:val="baseline"/>
        </w:rPr>
        <w:t>The court instructed the jury with CALCRIM No. 3402 as follows: "The defendant is not guilty of possession of a controlled substance for sale as charged in count 1, and importation of a controlled substance as charged in count 2, and the lesser included offenses of both counts 1 and 2 if he acted under duress. [¶] The defendant acted under duress if, because of threat or menace, he believed that his or someone else's life would be in immediate danger if he refused a demand or request to commit the crime. The demand or request may have been express or implied. [¶] The defendant's belief that his or someone else's life was in immediate danger must have been reasonable. When deciding whether the defendant's belief was reasonable, consider all the circumstances as they were known to and appear[ed] to the defendant and consider what a reasonable person in the same position as the defendant would have believed. [¶] A threat of future harm is not sufficient. The danger to life must have been immediate. The People must prove beyond a reasonable doubt that the defendant did not act under duress. If the People have not met this burden, you must find the defendant not guilty of possession of controlled substance [</w:t>
      </w:r>
      <w:r>
        <w:rPr>
          <w:rFonts w:ascii="arial" w:eastAsia="arial" w:hAnsi="arial" w:cs="arial"/>
          <w:b w:val="0"/>
          <w:i/>
          <w:strike w:val="0"/>
          <w:noProof w:val="0"/>
          <w:color w:val="000000"/>
          <w:position w:val="0"/>
          <w:sz w:val="18"/>
          <w:u w:val="none"/>
          <w:vertAlign w:val="baseline"/>
        </w:rPr>
        <w:t>sic</w:t>
      </w:r>
      <w:r>
        <w:rPr>
          <w:rFonts w:ascii="arial" w:eastAsia="arial" w:hAnsi="arial" w:cs="arial"/>
          <w:b w:val="0"/>
          <w:i w:val="0"/>
          <w:strike w:val="0"/>
          <w:noProof w:val="0"/>
          <w:color w:val="000000"/>
          <w:position w:val="0"/>
          <w:sz w:val="18"/>
          <w:u w:val="none"/>
          <w:vertAlign w:val="baseline"/>
        </w:rPr>
        <w:t>] for sale as charged in count 1, and importation of a controlled substance as charged in count 2, and the lesser included offenses of both counts 1 and 2."</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People v. Kaminski, 2023 Cal. App. Unpub. LEXIS 2041</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statutes-legislation&amp;id=urn:contentItem:6D1T-NVP3-RS1H-K1P2-00009-00&amp;context=1519360" TargetMode="External" /><Relationship Id="rId11" Type="http://schemas.openxmlformats.org/officeDocument/2006/relationships/hyperlink" Target="https://advance.lexis.com/api/document?collection=cases&amp;id=urn:contentItem:68HR-JHH3-CGX8-008M-00000-00&amp;context=1519360" TargetMode="External" /><Relationship Id="rId12" Type="http://schemas.openxmlformats.org/officeDocument/2006/relationships/hyperlink" Target="https://advance.lexis.com/api/document?collection=statutes-legislation&amp;id=urn:contentItem:5J6R-GVR1-66B9-8533-00000-00&amp;context=1519360" TargetMode="External" /><Relationship Id="rId13" Type="http://schemas.openxmlformats.org/officeDocument/2006/relationships/hyperlink" Target="https://advance.lexis.com/api/document?collection=statutes-legislation&amp;id=urn:contentItem:5J6R-GVR1-66B9-8537-00000-00&amp;context=1519360" TargetMode="External" /><Relationship Id="rId14" Type="http://schemas.openxmlformats.org/officeDocument/2006/relationships/hyperlink" Target="https://advance.lexis.com/api/document?collection=statutes-legislation&amp;id=urn:contentItem:6D1T-NVP3-RRV9-94W5-00009-00&amp;context=1519360" TargetMode="External" /><Relationship Id="rId15" Type="http://schemas.openxmlformats.org/officeDocument/2006/relationships/hyperlink" Target="https://advance.lexis.com/api/document?collection=statutes-legislation&amp;id=urn:contentItem:5JXB-KD41-66B9-80WK-00000-00&amp;context=1519360" TargetMode="External" /><Relationship Id="rId16" Type="http://schemas.openxmlformats.org/officeDocument/2006/relationships/hyperlink" Target="https://advance.lexis.com/api/document?collection=statutes-legislation&amp;id=urn:contentItem:5J6R-FB01-66B9-80GT-00000-00&amp;context=1519360" TargetMode="External" /><Relationship Id="rId17" Type="http://schemas.openxmlformats.org/officeDocument/2006/relationships/hyperlink" Target="https://advance.lexis.com/api/document?collection=cases&amp;id=urn:contentItem:64FR-NH51-JJ1H-X07R-00000-00&amp;context=1519360" TargetMode="External" /><Relationship Id="rId18" Type="http://schemas.openxmlformats.org/officeDocument/2006/relationships/hyperlink" Target="https://advance.lexis.com/api/document?collection=cases&amp;id=urn:contentItem:65GR-PH31-F361-M2M2-00000-00&amp;context=1519360" TargetMode="External" /><Relationship Id="rId19" Type="http://schemas.openxmlformats.org/officeDocument/2006/relationships/hyperlink" Target="https://advance.lexis.com/api/document?collection=cases&amp;id=urn:contentItem:66YX-2XT1-JBT7-X446-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5WN6-J1W1-FBFS-S0S0-00000-00&amp;context=1519360" TargetMode="External" /><Relationship Id="rId21" Type="http://schemas.openxmlformats.org/officeDocument/2006/relationships/hyperlink" Target="https://advance.lexis.com/api/document?collection=cases&amp;id=urn:contentItem:3S4X-G060-003B-S062-00000-00&amp;context=1519360" TargetMode="External" /><Relationship Id="rId22" Type="http://schemas.openxmlformats.org/officeDocument/2006/relationships/hyperlink" Target="https://advance.lexis.com/api/document?collection=cases&amp;id=urn:contentItem:47BX-RS30-0039-43NR-00000-00&amp;context=1519360" TargetMode="External" /><Relationship Id="rId23" Type="http://schemas.openxmlformats.org/officeDocument/2006/relationships/hyperlink" Target="https://advance.lexis.com/api/document?collection=cases&amp;id=urn:contentItem:488Y-66V0-0039-4493-00000-00&amp;context=1519360" TargetMode="External" /><Relationship Id="rId24" Type="http://schemas.openxmlformats.org/officeDocument/2006/relationships/hyperlink" Target="https://advance.lexis.com/api/document?collection=cases&amp;id=urn:contentItem:3RRK-P4V0-003C-H3PH-00000-00&amp;context=1519360" TargetMode="External" /><Relationship Id="rId25" Type="http://schemas.openxmlformats.org/officeDocument/2006/relationships/hyperlink" Target="https://advance.lexis.com/api/document?collection=cases&amp;id=urn:contentItem:60X1-6BP1-JXG3-X1N4-00000-00&amp;context=1519360" TargetMode="External" /><Relationship Id="rId26" Type="http://schemas.openxmlformats.org/officeDocument/2006/relationships/hyperlink" Target="https://advance.lexis.com/api/document?collection=cases&amp;id=urn:contentItem:6670-XYS1-JTGH-B455-00000-00&amp;context=1519360" TargetMode="External" /><Relationship Id="rId27" Type="http://schemas.openxmlformats.org/officeDocument/2006/relationships/hyperlink" Target="https://advance.lexis.com/api/document?collection=cases&amp;id=urn:contentItem:58JW-Y5B1-F04B-P05R-00000-00&amp;context=1519360" TargetMode="External" /><Relationship Id="rId28" Type="http://schemas.openxmlformats.org/officeDocument/2006/relationships/hyperlink" Target="https://advance.lexis.com/api/document?collection=cases&amp;id=urn:contentItem:5YBJ-41D1-JBM1-M0YG-00000-00&amp;context=1519360" TargetMode="External" /><Relationship Id="rId29" Type="http://schemas.openxmlformats.org/officeDocument/2006/relationships/hyperlink" Target="https://advance.lexis.com/api/document?collection=cases&amp;id=urn:contentItem:3S11-TPR0-003C-R3PS-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3RRK-K1C0-003C-H155-00000-00&amp;context=1519360" TargetMode="External" /><Relationship Id="rId31" Type="http://schemas.openxmlformats.org/officeDocument/2006/relationships/hyperlink" Target="https://advance.lexis.com/api/document?collection=cases&amp;id=urn:contentItem:4B85-MPX0-0039-41Y5-00000-00&amp;context=1519360" TargetMode="External" /><Relationship Id="rId32" Type="http://schemas.openxmlformats.org/officeDocument/2006/relationships/theme" Target="theme/theme1.xml" /><Relationship Id="rId33" Type="http://schemas.openxmlformats.org/officeDocument/2006/relationships/styles" Target="style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7YH-KCJ1-FD4T-B3MT-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statutes-legislation&amp;id=urn:contentItem:5J6R-FB01-66B9-80GT-00000-00&amp;context=1519360" TargetMode="External" /><Relationship Id="rId2" Type="http://schemas.openxmlformats.org/officeDocument/2006/relationships/hyperlink" Target="https://advance.lexis.com/api/document?collection=statutes-legislation&amp;id=urn:contentItem:5JFB-0P11-DYB7-W2FP-00000-00&amp;context=1519360" TargetMode="External" /><Relationship Id="rId3" Type="http://schemas.openxmlformats.org/officeDocument/2006/relationships/hyperlink" Target="https://advance.lexis.com/api/document?collection=cases&amp;id=urn:contentItem:4FN6-TKP0-0039-41VT-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People v. Kaminski, 2023 Cal. App. Unpub. LEXIS 2041</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38</vt:lpwstr>
  </property>
  <property fmtid="{D5CDD505-2E9C-101B-9397-08002B2CF9AE}" pid="3" name="LADocCount">
    <vt:lpwstr>1</vt:lpwstr>
  </property>
  <property fmtid="{D5CDD505-2E9C-101B-9397-08002B2CF9AE}" pid="4" name="LADocumentID:38">
    <vt:lpwstr>Doc::urn:hlct:5|contextualFeaturePermID::1519360</vt:lpwstr>
  </property>
  <property fmtid="{D5CDD505-2E9C-101B-9397-08002B2CF9AE}" pid="5" name="UserPermID">
    <vt:lpwstr>urn:user:PA186186283</vt:lpwstr>
  </property>
</Properties>
</file>