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Lopez-Garcia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1996,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95-20137</w:t>
      </w:r>
    </w:p>
    <w:p>
      <w:pPr>
        <w:keepNext w:val="0"/>
        <w:spacing w:after="0" w:line="240" w:lineRule="atLeast"/>
        <w:ind w:right="0"/>
        <w:jc w:val="both"/>
      </w:pPr>
      <w:bookmarkStart w:id="0" w:name="Bookmark_6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1996 U.S. App. LEXIS 45015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ARTURO LOPEZ-GARCIA; SANTIAGO SANCHEZ-CRUZ, PRIMITIVO MILLAN-MILLAN, also known as Amulfo Gonzalez-Gonzalez; BERNARDINO DURAN, also known as El Gordo; and MARCO ANTONIO GARCIA-RODRIGUEZ, also known as Benito Torres, Defendants-Appellants.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RULES OF THE FIFTH CIRCUIT COURT OF APPEALS MAY LIMIT CITATION TO UNPUBLISHED OPINIONS. PLEASE REFER TO THE RULES OF THE UNITED STATES COURT OF APPEALS FOR THIS CIRCUIT.</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Appeals from the United States District Court for the Southern District of Texas. (CR-H-94-0214).</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Lopez-Garcia, 105 F.3d 651, 1996 U.S. App. LEXIS 36236 (5th Cir. Tex., 1996)</w:t>
        </w:r>
      </w:hyperlink>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aliens, trailer, sentencing, guidelines, conspiracy, convict, illegal alien, Border, checkpoint, departure, smuggling, Patrol, criminal history, harboring, upward, Hotel, river, telephone, arrested, argues, depart</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REYNALDO G. GARZA, JONES, and DeMOSS, Circuit Judges.</w:t>
      </w:r>
    </w:p>
    <w:p>
      <w:pPr>
        <w:keepNext/>
        <w:spacing w:before="240" w:after="0" w:line="340" w:lineRule="atLeast"/>
        <w:ind w:left="0" w:right="0" w:firstLine="0"/>
        <w:jc w:val="left"/>
      </w:pPr>
      <w:bookmarkStart w:id="10" w:name="Opinion"/>
      <w:bookmarkEnd w:id="1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PER CURIAM:</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The appellants, Arturo Lopez-Garcia ("Lopez-Garcia"), Santiago Sanchez-Cruz ("Sanchez-Cruz"), Primitivo Millan-Millan ("Millan-Millan"), Bernardino Duran ("Duran"), and Marco Antonio Garcia-Rodriguez ("Garcia-Rodriguez" ) , were convicted by a jury on charges of conspiracy and harboring illegal aliens.</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All of them challenge the sufficiency of the evidence the jury used to convict them and two challenge the district court's application of the sentencing guidelines to them. Finding no error, we affirm the defendants' convictions and sentences in full.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The primary evidence relied on by the government at trial consisted of the testimony of five Honduran nationals-Deyvysismai Herrera ("Deyvy"), Lucia Corea, Norma Lilly Mendez-Berrios, Jose Antonio Saldivar-Henriquez, 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Jose Enrique Fernandez-Oviedo—each of whom was smuggled into the United States and concealed there by the defendants. Their testimony was partially substantiated by the testimony of their relatives and of the investigating agents of the INS. The evidence revealed that the aliens made contact with Alfredo ("Franklin") Gonzales in Honduras, where they paid him or were to pay him $2000 per person to smuggle them into the United States. They left Honduras on July 30, 1994, traveling by bus through Mexico. Two weeks later they arrived in Matamoros where they were housed at the Hotel Alameda. Early the next morning, August 12, they were transported to a point on the Mexican side of the Rio Grande, waded across the river with the aid of guides, and illegally entered the United States near Brownsville. Some of the aliens were apprehended by Border Patrol agents immediately after crossing the river, while others were able to avoid capture by running from the agents.</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Those that eluded capture met up with Duran and Lopez-Garcia, who arrived in vehicles to transport them out of the Brownsville area. The vehicles proceeded north on U.S. Route 77, stopping at a rest area just south of the Border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Patrol'a checkpoint at Sarita. The aliens were instructed to exit the van and follow their assigned guide around the checkpoint. Border Patrol agents descended on the group and apprehended, among others, Franklin Gonzales and Wilfredo Herrera ("Herrera"), the father of Deyvy Herrera. The rest of the group managed to circumvent the checkpoint and proceeded to Houston and then to Cypress, Texas where they stayed in a trailer owned by Millan-Millan's wife, Edith Millan-Rivas.</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Meanwhile, the Border Patrol immediately returned Gonzales to Mexico. Herrera was released from custody pending a deportation hearing and managed to telephone Gonzales at the Hotel Alameda in Matamoros to ask him to return his daughter to him. Gonzales disclaimed any knowledge of Deyvy's whereabouts but took down a telephone number and address where Herrera could be reached. Gonzales managed to reenter this country and join the others in Cypress where Deyvy was being held. On August 19, Herrera telephoned Deyvy's mother, Maria Betancourt, an illegal alien residing in Los Angeles. She had received a collect phone call on the 17th from Deyvy and Garcia-Rodriguez, in which the latter asked her whether she had made arrangements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pay Gonzales for Deyvy's release. She replied that she had not. Two days later she received three collect calls from Gonzales advising her that the failure to wire $2000 to the name of Edith Millan could compromise Deyvy's safety. Herrera forwarded all of this information to agents of the INS. Betancourt then communicated with the INS agents, telling them that Gonzales had given her a deadline of the morning of August 20 to make the payment.</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By this time INS agents had located the trailer in Cypress and began to stake out the area. On August 19, the agents stopped a van driven by Millan-Millan, accompanied by Millan-Rivas. Millan-Millan identified himself to the agents as Arnulfo Gonzales, an illegal alien from Mexico. Millan-Rivas confirmed this, saying her husband Primitivo was in Mexico at the time. Upon the agents' request, she consented to them searching the trailer, saying there were only two or three persons inside. The agents discovered twenty-five people inside, fifteen of whom were illegal aliens. Thirteen of the aliens were Honduran nationals and two were of Mexican nationality. The agents also found firearms and ammunition, telephone receipts from the Hotel Alameda, a</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Western Union "Preferred Customer" card in Millan-Rivas' name, and lists of names and telephone numbers, including that of one of the aliens discovered in the trailer. The occupants of the trailer were then taken into custody.</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A grand jury indictment charged the defendants with conspiracy and harboring illegal aliens. They were tried by a jury and convicted of these offenses. They now appeal.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20" w:name="Bookmark_para_10"/>
      <w:bookmarkEnd w:id="20"/>
      <w:bookmarkStart w:id="21" w:name="Bookmark_I5F7J75S2HM6D90020000400"/>
      <w:bookmarkEnd w:id="21"/>
      <w:r>
        <w:rPr>
          <w:rFonts w:ascii="arial" w:eastAsia="arial" w:hAnsi="arial" w:cs="arial"/>
          <w:b w:val="0"/>
          <w:i w:val="0"/>
          <w:strike w:val="0"/>
          <w:noProof w:val="0"/>
          <w:color w:val="000000"/>
          <w:position w:val="0"/>
          <w:sz w:val="20"/>
          <w:u w:val="none"/>
          <w:vertAlign w:val="baseline"/>
        </w:rPr>
        <w:t xml:space="preserve">The appellants challenge the sufficiency of the evidence used to convict them. They properly moved for acquittal at the conclusion of the government's case and again at the conclusion of their own case. Having preserved this error for appeal, we review under the test given us by the Supreme Court: viewing the evidence in the light most favorable to the verdict, could any rational jury have found the essential elements of the crimes beyond a reasonable doubt. </w:t>
      </w:r>
      <w:bookmarkStart w:id="22" w:name="Bookmark_I5F7J75S2HM6D90010000400"/>
      <w:bookmarkEnd w:id="22"/>
      <w:hyperlink r:id="rId11" w:history="1">
        <w:r>
          <w:rPr>
            <w:rFonts w:ascii="arial" w:eastAsia="arial" w:hAnsi="arial" w:cs="arial"/>
            <w:b w:val="0"/>
            <w:i/>
            <w:strike w:val="0"/>
            <w:noProof w:val="0"/>
            <w:color w:val="0077CC"/>
            <w:position w:val="0"/>
            <w:sz w:val="20"/>
            <w:u w:val="single"/>
            <w:vertAlign w:val="baseline"/>
          </w:rPr>
          <w:t>Jackson v. Virginia</w:t>
        </w:r>
      </w:hyperlink>
      <w:hyperlink r:id="rId11" w:history="1">
        <w:r>
          <w:rPr>
            <w:rFonts w:ascii="arial" w:eastAsia="arial" w:hAnsi="arial" w:cs="arial"/>
            <w:b w:val="0"/>
            <w:i/>
            <w:strike w:val="0"/>
            <w:noProof w:val="0"/>
            <w:color w:val="0077CC"/>
            <w:position w:val="0"/>
            <w:sz w:val="20"/>
            <w:u w:val="single"/>
            <w:vertAlign w:val="baseline"/>
          </w:rPr>
          <w:t>, 443 U.S. 307, 319, 99 S. Ct. 2781, 61 L. Ed. 2d 560 (1979)</w:t>
        </w:r>
      </w:hyperlink>
      <w:r>
        <w:rPr>
          <w:rFonts w:ascii="arial" w:eastAsia="arial" w:hAnsi="arial" w:cs="arial"/>
          <w:b w:val="0"/>
          <w:i w:val="0"/>
          <w:strike w:val="0"/>
          <w:noProof w:val="0"/>
          <w:color w:val="000000"/>
          <w:position w:val="0"/>
          <w:sz w:val="20"/>
          <w:u w:val="none"/>
          <w:vertAlign w:val="baseline"/>
        </w:rPr>
        <w:t>. We do not weigh the evidence and do not evaluate the credibility of any witness; that is the function of the jury. We must presume that the jury resolved any conflicts in the evidence in a light which supports its verdict. After reviewing the record, we find there is sufficient evidence to support the jury's verdict in this case.</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Each was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convicted of violating two provisions of federal law: conspiracy to violate federal law, a violation of </w:t>
      </w:r>
      <w:hyperlink r:id="rId12"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and harboring illegal aliens, a violation of </w:t>
      </w:r>
      <w:hyperlink r:id="rId13" w:history="1">
        <w:r>
          <w:rPr>
            <w:rFonts w:ascii="arial" w:eastAsia="arial" w:hAnsi="arial" w:cs="arial"/>
            <w:b w:val="0"/>
            <w:i/>
            <w:strike w:val="0"/>
            <w:noProof w:val="0"/>
            <w:color w:val="0077CC"/>
            <w:position w:val="0"/>
            <w:sz w:val="20"/>
            <w:u w:val="single"/>
            <w:vertAlign w:val="baseline"/>
          </w:rPr>
          <w:t>8 U.S.C. § 1324 (a) (1) (C)</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To convict of conspiracy, the government was required to prove an agreement existed among the defendants to commit a crime against the United States and an overt act by any of them in furtherance of that agreement. </w:t>
      </w:r>
      <w:bookmarkStart w:id="25" w:name="Bookmark_I34V719GG75000G4WGV001S4"/>
      <w:bookmarkEnd w:id="25"/>
      <w:bookmarkStart w:id="26" w:name="Bookmark_I5F7J75S2HM6D90040000400"/>
      <w:bookmarkEnd w:id="26"/>
      <w:r>
        <w:rPr>
          <w:rFonts w:ascii="arial" w:eastAsia="arial" w:hAnsi="arial" w:cs="arial"/>
          <w:b w:val="0"/>
          <w:i w:val="0"/>
          <w:strike w:val="0"/>
          <w:noProof w:val="0"/>
          <w:color w:val="000000"/>
          <w:position w:val="0"/>
          <w:sz w:val="20"/>
          <w:u w:val="none"/>
          <w:vertAlign w:val="baseline"/>
        </w:rPr>
        <w:t xml:space="preserve">It must be shown that each defendant was aware of the conspiracy and voluntarily became a part of it. Knowledge and involvement may be inferred from the circumstances and assent may be inferred from performing acts that further the purpose of the conspiracy. </w:t>
      </w:r>
      <w:bookmarkStart w:id="27" w:name="Bookmark_I5F7J75S2N1R870010000400"/>
      <w:bookmarkEnd w:id="27"/>
      <w:r>
        <w:rPr>
          <w:rFonts w:ascii="arial" w:eastAsia="arial" w:hAnsi="arial" w:cs="arial"/>
          <w:b w:val="0"/>
          <w:i w:val="0"/>
          <w:strike w:val="0"/>
          <w:noProof w:val="0"/>
          <w:color w:val="000000"/>
          <w:position w:val="0"/>
          <w:sz w:val="20"/>
          <w:u w:val="none"/>
          <w:vertAlign w:val="baseline"/>
        </w:rPr>
        <w:t xml:space="preserve">To convict of harboring illegal aliens, the government was required to prove the aliens referenced in the indictment illegally entered or remained in the United States, the defendants concealed or harbored them while here, and the defendants either knew or acted in reckless disregard of the fact that the aliens were here illegally. </w:t>
      </w:r>
      <w:bookmarkStart w:id="28" w:name="Bookmark_I5F7J75S2N1R870030000400"/>
      <w:bookmarkEnd w:id="28"/>
      <w:r>
        <w:rPr>
          <w:rFonts w:ascii="arial" w:eastAsia="arial" w:hAnsi="arial" w:cs="arial"/>
          <w:b w:val="0"/>
          <w:i/>
          <w:strike w:val="0"/>
          <w:noProof w:val="0"/>
          <w:color w:val="000000"/>
          <w:position w:val="0"/>
          <w:sz w:val="20"/>
          <w:u w:val="none"/>
          <w:vertAlign w:val="baseline"/>
        </w:rPr>
        <w:t xml:space="preserve">See </w:t>
      </w:r>
      <w:bookmarkStart w:id="29" w:name="Bookmark_I5F7J75S2HM6D90030000400"/>
      <w:bookmarkEnd w:id="29"/>
      <w:hyperlink r:id="rId14" w:history="1">
        <w:r>
          <w:rPr>
            <w:rFonts w:ascii="arial" w:eastAsia="arial" w:hAnsi="arial" w:cs="arial"/>
            <w:b w:val="0"/>
            <w:i/>
            <w:strike w:val="0"/>
            <w:noProof w:val="0"/>
            <w:color w:val="0077CC"/>
            <w:position w:val="0"/>
            <w:sz w:val="20"/>
            <w:u w:val="single"/>
            <w:vertAlign w:val="baseline"/>
          </w:rPr>
          <w:t>United States v. Esparza</w:t>
        </w:r>
      </w:hyperlink>
      <w:hyperlink r:id="rId14" w:history="1">
        <w:r>
          <w:rPr>
            <w:rFonts w:ascii="arial" w:eastAsia="arial" w:hAnsi="arial" w:cs="arial"/>
            <w:b w:val="0"/>
            <w:i/>
            <w:strike w:val="0"/>
            <w:noProof w:val="0"/>
            <w:color w:val="0077CC"/>
            <w:position w:val="0"/>
            <w:sz w:val="20"/>
            <w:u w:val="single"/>
            <w:vertAlign w:val="baseline"/>
          </w:rPr>
          <w:t>, 882 F.2d 143, 145-46 (5th Cir.)</w:t>
        </w:r>
      </w:hyperlink>
      <w:r>
        <w:rPr>
          <w:rFonts w:ascii="arial" w:eastAsia="arial" w:hAnsi="arial" w:cs="arial"/>
          <w:b w:val="0"/>
          <w:i w:val="0"/>
          <w:strike w:val="0"/>
          <w:noProof w:val="0"/>
          <w:color w:val="000000"/>
          <w:position w:val="0"/>
          <w:sz w:val="20"/>
          <w:u w:val="none"/>
          <w:vertAlign w:val="baseline"/>
        </w:rPr>
        <w:t xml:space="preserve"> </w:t>
      </w:r>
      <w:bookmarkStart w:id="30" w:name="Bookmark_I5F7J75S2N1R870030000400_2"/>
      <w:bookmarkEnd w:id="30"/>
      <w:bookmarkStart w:id="31" w:name="Bookmark_I5F7J75S2N1R870010000400_2"/>
      <w:bookmarkEnd w:id="31"/>
      <w:r>
        <w:rPr>
          <w:rFonts w:ascii="arial" w:eastAsia="arial" w:hAnsi="arial" w:cs="arial"/>
          <w:b w:val="0"/>
          <w:i w:val="0"/>
          <w:strike w:val="0"/>
          <w:noProof w:val="0"/>
          <w:color w:val="000000"/>
          <w:position w:val="0"/>
          <w:sz w:val="20"/>
          <w:u w:val="none"/>
          <w:vertAlign w:val="baseline"/>
        </w:rPr>
        <w:t xml:space="preserve">(analyzing </w:t>
      </w:r>
      <w:hyperlink r:id="rId13"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32" w:name="Bookmark_I5F7J75S2HM6D90050000400"/>
      <w:bookmarkEnd w:id="32"/>
      <w:r>
        <w:rPr>
          <w:rFonts w:ascii="arial" w:eastAsia="arial" w:hAnsi="arial" w:cs="arial"/>
          <w:b w:val="0"/>
          <w:i/>
          <w:strike w:val="0"/>
          <w:noProof w:val="0"/>
          <w:color w:val="000000"/>
          <w:position w:val="0"/>
          <w:sz w:val="20"/>
          <w:u w:val="none"/>
          <w:vertAlign w:val="baseline"/>
        </w:rPr>
        <w:t>493 U.S. 969, 110 S. Ct. 418, 107 L. Ed. 2d 382 (1989)</w:t>
      </w:r>
      <w:r>
        <w:rPr>
          <w:rFonts w:ascii="arial" w:eastAsia="arial" w:hAnsi="arial" w:cs="arial"/>
          <w:b w:val="0"/>
          <w:i w:val="0"/>
          <w:strike w:val="0"/>
          <w:noProof w:val="0"/>
          <w:color w:val="000000"/>
          <w:position w:val="0"/>
          <w:sz w:val="20"/>
          <w:u w:val="none"/>
          <w:vertAlign w:val="baseline"/>
        </w:rPr>
        <w:t xml:space="preserve">. Because the court instructed the jury under </w:t>
      </w:r>
      <w:bookmarkStart w:id="33" w:name="Bookmark_I5F7J75S2N1R870020000400"/>
      <w:bookmarkEnd w:id="33"/>
      <w:hyperlink r:id="rId15" w:history="1">
        <w:r>
          <w:rPr>
            <w:rFonts w:ascii="arial" w:eastAsia="arial" w:hAnsi="arial" w:cs="arial"/>
            <w:b w:val="0"/>
            <w:i/>
            <w:strike w:val="0"/>
            <w:noProof w:val="0"/>
            <w:color w:val="0077CC"/>
            <w:position w:val="0"/>
            <w:sz w:val="20"/>
            <w:u w:val="single"/>
            <w:vertAlign w:val="baseline"/>
          </w:rPr>
          <w:t>Pinkerton v. United States</w:t>
        </w:r>
      </w:hyperlink>
      <w:hyperlink r:id="rId15" w:history="1">
        <w:r>
          <w:rPr>
            <w:rFonts w:ascii="arial" w:eastAsia="arial" w:hAnsi="arial" w:cs="arial"/>
            <w:b w:val="0"/>
            <w:i/>
            <w:strike w:val="0"/>
            <w:noProof w:val="0"/>
            <w:color w:val="0077CC"/>
            <w:position w:val="0"/>
            <w:sz w:val="20"/>
            <w:u w:val="single"/>
            <w:vertAlign w:val="baseline"/>
          </w:rPr>
          <w:t>, 328 U.S. 640, 66 S. Ct. 1180, 90 L. Ed. 1489 (1946)</w:t>
        </w:r>
      </w:hyperlink>
      <w:r>
        <w:rPr>
          <w:rFonts w:ascii="arial" w:eastAsia="arial" w:hAnsi="arial" w:cs="arial"/>
          <w:b w:val="0"/>
          <w:i w:val="0"/>
          <w:strike w:val="0"/>
          <w:noProof w:val="0"/>
          <w:color w:val="000000"/>
          <w:position w:val="0"/>
          <w:sz w:val="20"/>
          <w:u w:val="none"/>
          <w:vertAlign w:val="baseline"/>
        </w:rPr>
        <w:t>, each member of the conspiracy was also liable for the substantive offenses committed by the other members of the conspiracy that were in furtherance of the conspiracy.</w:t>
      </w:r>
      <w:r>
        <w:rPr>
          <w:rFonts w:ascii="arial" w:eastAsia="arial" w:hAnsi="arial" w:cs="arial"/>
          <w:b/>
          <w:i w:val="0"/>
          <w:strike w:val="0"/>
          <w:noProof w:val="0"/>
          <w:color w:val="000000"/>
          <w:position w:val="0"/>
          <w:sz w:val="20"/>
          <w:u w:val="none"/>
          <w:vertAlign w:val="baseline"/>
        </w:rPr>
        <w:t> [*7] </w:t>
      </w:r>
    </w:p>
    <w:p>
      <w:pPr>
        <w:keepNext w:val="0"/>
        <w:spacing w:before="200" w:after="0" w:line="260" w:lineRule="atLeast"/>
        <w:ind w:left="0" w:right="0" w:firstLine="0"/>
        <w:jc w:val="both"/>
      </w:pPr>
      <w:bookmarkStart w:id="34" w:name="Bookmark_para_12"/>
      <w:bookmarkEnd w:id="34"/>
      <w:r>
        <w:rPr>
          <w:rFonts w:ascii="arial" w:eastAsia="arial" w:hAnsi="arial" w:cs="arial"/>
          <w:b w:val="0"/>
          <w:i w:val="0"/>
          <w:strike w:val="0"/>
          <w:noProof w:val="0"/>
          <w:color w:val="000000"/>
          <w:position w:val="0"/>
          <w:sz w:val="20"/>
          <w:u w:val="none"/>
          <w:vertAlign w:val="baseline"/>
        </w:rPr>
        <w:t>We first entertain Millan-Millan's claim and find it wanting. While the other defendants were described by the Hondurans as "guides," he was identified as the "coyote," border slang describing an alien smuggler. Testimony also established he was the intended recipient of monies given to Gonzales in payment of the venture. Further, the aliens were told that, if detained by Mexican authorities, they were to say they were "Primitive's people" thereby ensuring the authorities' cooperation. He was observed at the hotel in Matamoros refusing to accept another alien on the trip for failing to pay the required fee. He was identified as being at the trailer in Cypress where he warned the aliens to keep quiet and dialed a phone number for one alien seeking to obtain money for her release. He was the source of the cash his wife used to purchase the trailer and was in the process of collecting more cash from the operation when he and his wife were detained by the INS. His trailer contained, in addition to the aliens, a wide variety of other evidence of the conspiracy. Millan-Millan's conviction is supported by sufficient evidence.</w:t>
      </w:r>
    </w:p>
    <w:p>
      <w:pPr>
        <w:keepNext w:val="0"/>
        <w:spacing w:before="200" w:after="0" w:line="260" w:lineRule="atLeast"/>
        <w:ind w:left="0" w:right="0" w:firstLine="0"/>
        <w:jc w:val="both"/>
      </w:pPr>
      <w:bookmarkStart w:id="35" w:name="Bookmark_para_13"/>
      <w:bookmarkEnd w:id="35"/>
      <w:r>
        <w:rPr>
          <w:rFonts w:ascii="arial" w:eastAsia="arial" w:hAnsi="arial" w:cs="arial"/>
          <w:b w:val="0"/>
          <w:i w:val="0"/>
          <w:strike w:val="0"/>
          <w:noProof w:val="0"/>
          <w:color w:val="000000"/>
          <w:position w:val="0"/>
          <w:sz w:val="20"/>
          <w:u w:val="none"/>
          <w:vertAlign w:val="baseline"/>
        </w:rPr>
        <w:t>Likewise, the record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evidence supports the convictions of the other defendants. Garcia-Rodriguez told Mendez-Berrios she could join the others, shared a room with her, Millan-Millan, Sanchez-Cruz, and Gonzales at the Alameda, and was overheard saying that he was teaching Sanchez-Cruz the ropes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He was also identified as the driver of one of the vehicles used to transport the aliens from the hotel to the Rio Grande and as one who helped some of the aliens successfully ford the river. Duran also transported aliens to the river crossing. He then met the aliens on the other side, drove them to the drop off point on the south side of the checkpoint, and then picked them up on the north side and drove them to Cypress. He was observed at the trailer on the day the INS arrived. He was also in possession of the "polios list," which listed the aliens' names and the amounts collected and owing on their accounts. Lopez-Garcia assisted the aliens in crossing the river and in circumventing the Border patrol checkpoint, told the aliens at the checkpoint not to worry because he had received instructions from Millan-Millan and knew what to so, and was overheard describing himself as a member of Millan-Millan's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organization. Sanchez-Cruz was identified as one of the "guides" helping the aliens to cross the river and to avoid the Border Patrol checkpoint and was identified at the hotel in Matamoros and at the trailer. The fact that some of the witnesses stated Sanchez-Cruz was not at these places or was not doing the things other witnesses said he was doing does not greatly concern us; because the jury found him guilty we must presume it resolved this conflict in favor of the government. In sum, we find the convictions are supported by sufficient evidence.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40" w:after="0" w:line="260" w:lineRule="atLeast"/>
        <w:ind w:left="0" w:right="0" w:firstLine="0"/>
        <w:jc w:val="both"/>
      </w:pPr>
      <w:bookmarkStart w:id="36" w:name="Bookmark_para_14"/>
      <w:bookmarkEnd w:id="36"/>
      <w:bookmarkStart w:id="37" w:name="Bookmark_I5F7J75S2N1R870050000400"/>
      <w:bookmarkEnd w:id="37"/>
      <w:r>
        <w:rPr>
          <w:rFonts w:ascii="arial" w:eastAsia="arial" w:hAnsi="arial" w:cs="arial"/>
          <w:b w:val="0"/>
          <w:i w:val="0"/>
          <w:strike w:val="0"/>
          <w:noProof w:val="0"/>
          <w:color w:val="000000"/>
          <w:position w:val="0"/>
          <w:sz w:val="20"/>
          <w:u w:val="none"/>
          <w:vertAlign w:val="baseline"/>
        </w:rPr>
        <w:t xml:space="preserve">Two of the defendants, Sanchez-Cruz and Millan-Millan, challenge the district court's application of the sentencing guidelines. The Supreme Court recently clarified our review of sentencing decisions. </w:t>
      </w:r>
      <w:bookmarkStart w:id="38" w:name="Bookmark_I5F7J75S2HM6DB0020000400"/>
      <w:bookmarkEnd w:id="38"/>
      <w:bookmarkStart w:id="39" w:name="Bookmark_I5F7J75S2N1R870040000400"/>
      <w:bookmarkEnd w:id="39"/>
      <w:hyperlink r:id="rId16" w:history="1">
        <w:r>
          <w:rPr>
            <w:rFonts w:ascii="arial" w:eastAsia="arial" w:hAnsi="arial" w:cs="arial"/>
            <w:b w:val="0"/>
            <w:i/>
            <w:strike w:val="0"/>
            <w:noProof w:val="0"/>
            <w:color w:val="0077CC"/>
            <w:position w:val="0"/>
            <w:sz w:val="20"/>
            <w:u w:val="single"/>
            <w:vertAlign w:val="baseline"/>
          </w:rPr>
          <w:t>Koon v. United States</w:t>
        </w:r>
      </w:hyperlink>
      <w:hyperlink r:id="rId16" w:history="1">
        <w:r>
          <w:rPr>
            <w:rFonts w:ascii="arial" w:eastAsia="arial" w:hAnsi="arial" w:cs="arial"/>
            <w:b w:val="0"/>
            <w:i/>
            <w:strike w:val="0"/>
            <w:noProof w:val="0"/>
            <w:color w:val="0077CC"/>
            <w:position w:val="0"/>
            <w:sz w:val="20"/>
            <w:u w:val="single"/>
            <w:vertAlign w:val="baseline"/>
          </w:rPr>
          <w:t>, 518 U.S. 81, 116 S. Ct. 2035, 135 L. Ed. 2d 392 (1996)</w:t>
        </w:r>
      </w:hyperlink>
      <w:r>
        <w:rPr>
          <w:rFonts w:ascii="arial" w:eastAsia="arial" w:hAnsi="arial" w:cs="arial"/>
          <w:b w:val="0"/>
          <w:i w:val="0"/>
          <w:strike w:val="0"/>
          <w:noProof w:val="0"/>
          <w:color w:val="000000"/>
          <w:position w:val="0"/>
          <w:sz w:val="20"/>
          <w:u w:val="none"/>
          <w:vertAlign w:val="baseline"/>
        </w:rPr>
        <w:t xml:space="preserve">. </w:t>
      </w:r>
      <w:bookmarkStart w:id="40" w:name="Bookmark_I5F7J75S2HM6DB0020000400_2"/>
      <w:bookmarkEnd w:id="40"/>
      <w:r>
        <w:rPr>
          <w:rFonts w:ascii="arial" w:eastAsia="arial" w:hAnsi="arial" w:cs="arial"/>
          <w:b w:val="0"/>
          <w:i w:val="0"/>
          <w:strike w:val="0"/>
          <w:noProof w:val="0"/>
          <w:color w:val="000000"/>
          <w:position w:val="0"/>
          <w:sz w:val="20"/>
          <w:u w:val="none"/>
          <w:vertAlign w:val="baseline"/>
        </w:rPr>
        <w:t xml:space="preserve">Our review is limited to determining whether the court's action constitutes an abuse of discretion. </w:t>
      </w:r>
      <w:bookmarkStart w:id="41" w:name="Bookmark_I5F7J75S2HM6DB0040000400"/>
      <w:bookmarkEnd w:id="41"/>
      <w:bookmarkStart w:id="42" w:name="Bookmark_I5F7J75S2HM6DB0010000400"/>
      <w:bookmarkEnd w:id="42"/>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at 2045-48</w:t>
        </w:r>
      </w:hyperlink>
      <w:r>
        <w:rPr>
          <w:rFonts w:ascii="arial" w:eastAsia="arial" w:hAnsi="arial" w:cs="arial"/>
          <w:b w:val="0"/>
          <w:i w:val="0"/>
          <w:strike w:val="0"/>
          <w:noProof w:val="0"/>
          <w:color w:val="000000"/>
          <w:position w:val="0"/>
          <w:sz w:val="20"/>
          <w:u w:val="none"/>
          <w:vertAlign w:val="baseline"/>
        </w:rPr>
        <w:t xml:space="preserve">. </w:t>
      </w:r>
      <w:bookmarkStart w:id="43" w:name="Bookmark_I5F7J75S2HM6DB0040000400_2"/>
      <w:bookmarkEnd w:id="43"/>
      <w:bookmarkStart w:id="44" w:name="Bookmark_I34V719GRWF000G4WGV0050J"/>
      <w:bookmarkEnd w:id="44"/>
      <w:bookmarkStart w:id="45" w:name="Bookmark_I5F7J75S2N1R880010000400"/>
      <w:bookmarkEnd w:id="45"/>
      <w:r>
        <w:rPr>
          <w:rFonts w:ascii="arial" w:eastAsia="arial" w:hAnsi="arial" w:cs="arial"/>
          <w:b w:val="0"/>
          <w:i w:val="0"/>
          <w:strike w:val="0"/>
          <w:noProof w:val="0"/>
          <w:color w:val="000000"/>
          <w:position w:val="0"/>
          <w:sz w:val="20"/>
          <w:u w:val="none"/>
          <w:vertAlign w:val="baseline"/>
        </w:rPr>
        <w:t xml:space="preserve">If the court made an error of law in its interpretation of what the guidelines require, our review becomes de novo because a legal error constitutes a per se abuse of discretion. </w:t>
      </w:r>
      <w:bookmarkStart w:id="46" w:name="Bookmark_I5F7J75S2HM6DB0030000400"/>
      <w:bookmarkEnd w:id="46"/>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at 2047</w:t>
        </w:r>
      </w:hyperlink>
      <w:r>
        <w:rPr>
          <w:rFonts w:ascii="arial" w:eastAsia="arial" w:hAnsi="arial" w:cs="arial"/>
          <w:b w:val="0"/>
          <w:i w:val="0"/>
          <w:strike w:val="0"/>
          <w:noProof w:val="0"/>
          <w:color w:val="000000"/>
          <w:position w:val="0"/>
          <w:sz w:val="20"/>
          <w:u w:val="none"/>
          <w:vertAlign w:val="baseline"/>
        </w:rPr>
        <w:t xml:space="preserve">. </w:t>
      </w:r>
      <w:bookmarkStart w:id="47" w:name="Bookmark_I5F7J75S2N1R880010000400_2"/>
      <w:bookmarkEnd w:id="47"/>
      <w:bookmarkStart w:id="48" w:name="Bookmark_I5F7J75S2N1R880030000400"/>
      <w:bookmarkEnd w:id="48"/>
      <w:r>
        <w:rPr>
          <w:rFonts w:ascii="arial" w:eastAsia="arial" w:hAnsi="arial" w:cs="arial"/>
          <w:b w:val="0"/>
          <w:i w:val="0"/>
          <w:strike w:val="0"/>
          <w:noProof w:val="0"/>
          <w:color w:val="000000"/>
          <w:position w:val="0"/>
          <w:sz w:val="20"/>
          <w:u w:val="none"/>
          <w:vertAlign w:val="baseline"/>
        </w:rPr>
        <w:t>The abuse of discretion standard gives the greatest deference where the district court has correctly interpreted the relevant provisions and the defendant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is challenging its application of the guidelines to the circumstances of the case before it. </w:t>
      </w:r>
      <w:bookmarkStart w:id="49" w:name="Bookmark_I5F7J75S2HM6DB0050000400"/>
      <w:bookmarkEnd w:id="49"/>
      <w:hyperlink r:id="rId17" w:history="1">
        <w:r>
          <w:rPr>
            <w:rFonts w:ascii="arial" w:eastAsia="arial" w:hAnsi="arial" w:cs="arial"/>
            <w:b w:val="0"/>
            <w:i/>
            <w:strike w:val="0"/>
            <w:noProof w:val="0"/>
            <w:color w:val="0077CC"/>
            <w:position w:val="0"/>
            <w:sz w:val="20"/>
            <w:u w:val="single"/>
            <w:vertAlign w:val="baseline"/>
          </w:rPr>
          <w:t>United States v. Kuban</w:t>
        </w:r>
      </w:hyperlink>
      <w:hyperlink r:id="rId17" w:history="1">
        <w:r>
          <w:rPr>
            <w:rFonts w:ascii="arial" w:eastAsia="arial" w:hAnsi="arial" w:cs="arial"/>
            <w:b w:val="0"/>
            <w:i/>
            <w:strike w:val="0"/>
            <w:noProof w:val="0"/>
            <w:color w:val="0077CC"/>
            <w:position w:val="0"/>
            <w:sz w:val="20"/>
            <w:u w:val="single"/>
            <w:vertAlign w:val="baseline"/>
          </w:rPr>
          <w:t>, 94 F.3d 971, 973-74 (5th Cir. 1996)</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Koon</w:t>
      </w:r>
      <w:r>
        <w:rPr>
          <w:rFonts w:ascii="arial" w:eastAsia="arial" w:hAnsi="arial" w:cs="arial"/>
          <w:b w:val="0"/>
          <w:i w:val="0"/>
          <w:strike w:val="0"/>
          <w:noProof w:val="0"/>
          <w:color w:val="000000"/>
          <w:position w:val="0"/>
          <w:sz w:val="20"/>
          <w:u w:val="none"/>
          <w:vertAlign w:val="baseline"/>
        </w:rPr>
        <w:t xml:space="preserve">). </w:t>
      </w:r>
      <w:bookmarkStart w:id="50" w:name="Bookmark_I5F7J75S2N1R880030000400_2"/>
      <w:bookmarkEnd w:id="50"/>
      <w:r>
        <w:rPr>
          <w:rFonts w:ascii="arial" w:eastAsia="arial" w:hAnsi="arial" w:cs="arial"/>
          <w:b w:val="0"/>
          <w:i w:val="0"/>
          <w:strike w:val="0"/>
          <w:noProof w:val="0"/>
          <w:color w:val="000000"/>
          <w:position w:val="0"/>
          <w:sz w:val="20"/>
          <w:u w:val="none"/>
          <w:vertAlign w:val="baseline"/>
        </w:rPr>
        <w:t xml:space="preserve">Our review is even more deferential in this case, however, because neither defendant objected to these issues below thereby forfeiting them. We are left to determine only whether the errors alleged amount to reversible plain error. </w:t>
      </w:r>
      <w:r>
        <w:rPr>
          <w:rFonts w:ascii="arial" w:eastAsia="arial" w:hAnsi="arial" w:cs="arial"/>
          <w:b w:val="0"/>
          <w:i/>
          <w:strike w:val="0"/>
          <w:noProof w:val="0"/>
          <w:color w:val="000000"/>
          <w:position w:val="0"/>
          <w:sz w:val="20"/>
          <w:u w:val="none"/>
          <w:vertAlign w:val="baseline"/>
        </w:rPr>
        <w:t xml:space="preserve">See </w:t>
      </w:r>
      <w:bookmarkStart w:id="51" w:name="Bookmark_I5F7J75S2N1R880020000400"/>
      <w:bookmarkEnd w:id="51"/>
      <w:hyperlink r:id="rId18" w:history="1">
        <w:r>
          <w:rPr>
            <w:rFonts w:ascii="arial" w:eastAsia="arial" w:hAnsi="arial" w:cs="arial"/>
            <w:b w:val="0"/>
            <w:i/>
            <w:strike w:val="0"/>
            <w:noProof w:val="0"/>
            <w:color w:val="0077CC"/>
            <w:position w:val="0"/>
            <w:sz w:val="20"/>
            <w:u w:val="single"/>
            <w:vertAlign w:val="baseline"/>
          </w:rPr>
          <w:t>United States v. Olano</w:t>
        </w:r>
      </w:hyperlink>
      <w:hyperlink r:id="rId18" w:history="1">
        <w:r>
          <w:rPr>
            <w:rFonts w:ascii="arial" w:eastAsia="arial" w:hAnsi="arial" w:cs="arial"/>
            <w:b w:val="0"/>
            <w:i/>
            <w:strike w:val="0"/>
            <w:noProof w:val="0"/>
            <w:color w:val="0077CC"/>
            <w:position w:val="0"/>
            <w:sz w:val="20"/>
            <w:u w:val="single"/>
            <w:vertAlign w:val="baseline"/>
          </w:rPr>
          <w:t>, 507 U.S. 725, 113 S. Ct. 1770, 123 L. Ed. 2d 508 (1993)</w:t>
        </w:r>
      </w:hyperlink>
      <w:r>
        <w:rPr>
          <w:rFonts w:ascii="arial" w:eastAsia="arial" w:hAnsi="arial" w:cs="arial"/>
          <w:b w:val="0"/>
          <w:i w:val="0"/>
          <w:strike w:val="0"/>
          <w:noProof w:val="0"/>
          <w:color w:val="000000"/>
          <w:position w:val="0"/>
          <w:sz w:val="20"/>
          <w:u w:val="none"/>
          <w:vertAlign w:val="baseline"/>
        </w:rPr>
        <w:t xml:space="preserve"> (interpreting </w:t>
      </w:r>
      <w:hyperlink r:id="rId19" w:history="1">
        <w:r>
          <w:rPr>
            <w:rFonts w:ascii="arial" w:eastAsia="arial" w:hAnsi="arial" w:cs="arial"/>
            <w:b w:val="0"/>
            <w:i/>
            <w:strike w:val="0"/>
            <w:noProof w:val="0"/>
            <w:color w:val="0077CC"/>
            <w:position w:val="0"/>
            <w:sz w:val="20"/>
            <w:u w:val="single"/>
            <w:vertAlign w:val="baseline"/>
          </w:rPr>
          <w:t>Fed. R. Crim. P. 52(b)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para_15"/>
      <w:bookmarkEnd w:id="52"/>
      <w:r>
        <w:rPr>
          <w:rFonts w:ascii="arial" w:eastAsia="arial" w:hAnsi="arial" w:cs="arial"/>
          <w:b w:val="0"/>
          <w:i w:val="0"/>
          <w:strike w:val="0"/>
          <w:noProof w:val="0"/>
          <w:color w:val="000000"/>
          <w:position w:val="0"/>
          <w:sz w:val="20"/>
          <w:u w:val="none"/>
          <w:vertAlign w:val="baseline"/>
        </w:rPr>
        <w:t xml:space="preserve">Sanchez-Cruz argues the court erred in denying him a two-level downward adjustment for his minor role in the offense. If the district court finds that a defendant was a "minor participant" in the offense, it must reduce the offense level by two. </w:t>
      </w:r>
      <w:hyperlink r:id="rId20" w:history="1">
        <w:r>
          <w:rPr>
            <w:rFonts w:ascii="arial" w:eastAsia="arial" w:hAnsi="arial" w:cs="arial"/>
            <w:b w:val="0"/>
            <w:i/>
            <w:strike w:val="0"/>
            <w:noProof w:val="0"/>
            <w:color w:val="0077CC"/>
            <w:position w:val="0"/>
            <w:sz w:val="20"/>
            <w:u w:val="single"/>
            <w:vertAlign w:val="baseline"/>
          </w:rPr>
          <w:t>U.S.S.G. § 3B1.2(b)</w:t>
        </w:r>
      </w:hyperlink>
      <w:r>
        <w:rPr>
          <w:rFonts w:ascii="arial" w:eastAsia="arial" w:hAnsi="arial" w:cs="arial"/>
          <w:b w:val="0"/>
          <w:i w:val="0"/>
          <w:strike w:val="0"/>
          <w:noProof w:val="0"/>
          <w:color w:val="000000"/>
          <w:position w:val="0"/>
          <w:sz w:val="20"/>
          <w:u w:val="none"/>
          <w:vertAlign w:val="baseline"/>
        </w:rPr>
        <w:t xml:space="preserve">. The application notes to this section state that a "minor participant" indicates one "who is less culpable than most other participants, but whose role could not be described's minimal." </w:t>
      </w:r>
      <w:hyperlink r:id="rId20" w:history="1">
        <w:r>
          <w:rPr>
            <w:rFonts w:ascii="arial" w:eastAsia="arial" w:hAnsi="arial" w:cs="arial"/>
            <w:b w:val="0"/>
            <w:i/>
            <w:strike w:val="0"/>
            <w:noProof w:val="0"/>
            <w:color w:val="0077CC"/>
            <w:position w:val="0"/>
            <w:sz w:val="20"/>
            <w:u w:val="single"/>
            <w:vertAlign w:val="baseline"/>
          </w:rPr>
          <w:t>U.S.S.G. § 3B1.2(b)</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app. note 3</w:t>
        </w:r>
      </w:hyperlink>
      <w:r>
        <w:rPr>
          <w:rFonts w:ascii="arial" w:eastAsia="arial" w:hAnsi="arial" w:cs="arial"/>
          <w:b w:val="0"/>
          <w:i w:val="0"/>
          <w:strike w:val="0"/>
          <w:noProof w:val="0"/>
          <w:color w:val="000000"/>
          <w:position w:val="0"/>
          <w:sz w:val="20"/>
          <w:u w:val="none"/>
          <w:vertAlign w:val="baseline"/>
        </w:rPr>
        <w:t>. Whether Sanchez-Cruz meets this definition is a question of fact reviewed for clear error. Testimony established that he served as a "guide" to the aliens and that he guarded and fed them. We do not think this finding was clearly erroneous, let alone plain error.</w:t>
      </w:r>
    </w:p>
    <w:p>
      <w:pPr>
        <w:keepNext w:val="0"/>
        <w:spacing w:before="240" w:after="0" w:line="260" w:lineRule="atLeast"/>
        <w:ind w:left="0" w:right="0" w:firstLine="0"/>
        <w:jc w:val="both"/>
      </w:pPr>
      <w:bookmarkStart w:id="53" w:name="Bookmark_para_16"/>
      <w:bookmarkEnd w:id="53"/>
      <w:r>
        <w:rPr>
          <w:rFonts w:ascii="arial" w:eastAsia="arial" w:hAnsi="arial" w:cs="arial"/>
          <w:b w:val="0"/>
          <w:i w:val="0"/>
          <w:strike w:val="0"/>
          <w:noProof w:val="0"/>
          <w:color w:val="000000"/>
          <w:position w:val="0"/>
          <w:sz w:val="20"/>
          <w:u w:val="none"/>
          <w:vertAlign w:val="baseline"/>
        </w:rPr>
        <w:t xml:space="preserve">Millan-Millan raises two arguments with respect to his sentencing. </w:t>
      </w:r>
      <w:bookmarkStart w:id="54" w:name="Bookmark_I34V719H961000G4WGV0050N"/>
      <w:bookmarkEnd w:id="54"/>
      <w:bookmarkStart w:id="55" w:name="Bookmark_I5F7J75S2N1R880050000400"/>
      <w:bookmarkEnd w:id="55"/>
      <w:r>
        <w:rPr>
          <w:rFonts w:ascii="arial" w:eastAsia="arial" w:hAnsi="arial" w:cs="arial"/>
          <w:b w:val="0"/>
          <w:i w:val="0"/>
          <w:strike w:val="0"/>
          <w:noProof w:val="0"/>
          <w:color w:val="000000"/>
          <w:position w:val="0"/>
          <w:sz w:val="20"/>
          <w:u w:val="none"/>
          <w:vertAlign w:val="baseline"/>
        </w:rPr>
        <w:t>First, he argues the district court erred in giving him a four-level increase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for having an aggravated managerial role in the offense. The factors relevant to determining whether a defendant was an organizer, leader, manager or supervisor include the following: 1) the exercise of decision-making authority; 2) the nature of the participation in the commission of the offense; 3) the recruitment of accomplices; 4) the claimed right to a larger share of the fruits of the crime; 5) the degree of participation in planning or organizing the offense; 6) the nature and scope of the illegal activity; and 7) the degree of control and authority exercised over others. </w:t>
      </w:r>
      <w:bookmarkStart w:id="56" w:name="Bookmark_I5F7J75S2N1R890020000400"/>
      <w:bookmarkEnd w:id="56"/>
      <w:bookmarkStart w:id="57" w:name="Bookmark_I5F7J75S2N1R880040000400"/>
      <w:bookmarkEnd w:id="57"/>
      <w:hyperlink r:id="rId21" w:history="1">
        <w:r>
          <w:rPr>
            <w:rFonts w:ascii="arial" w:eastAsia="arial" w:hAnsi="arial" w:cs="arial"/>
            <w:b w:val="0"/>
            <w:i/>
            <w:strike w:val="0"/>
            <w:noProof w:val="0"/>
            <w:color w:val="0077CC"/>
            <w:position w:val="0"/>
            <w:sz w:val="20"/>
            <w:u w:val="single"/>
            <w:vertAlign w:val="baseline"/>
          </w:rPr>
          <w:t>United States v. Barreto</w:t>
        </w:r>
      </w:hyperlink>
      <w:hyperlink r:id="rId21" w:history="1">
        <w:r>
          <w:rPr>
            <w:rFonts w:ascii="arial" w:eastAsia="arial" w:hAnsi="arial" w:cs="arial"/>
            <w:b w:val="0"/>
            <w:i/>
            <w:strike w:val="0"/>
            <w:noProof w:val="0"/>
            <w:color w:val="0077CC"/>
            <w:position w:val="0"/>
            <w:sz w:val="20"/>
            <w:u w:val="single"/>
            <w:vertAlign w:val="baseline"/>
          </w:rPr>
          <w:t>, 871 F.2d 511, 512 (5th Cir. 1989)</w:t>
        </w:r>
      </w:hyperlink>
      <w:r>
        <w:rPr>
          <w:rFonts w:ascii="arial" w:eastAsia="arial" w:hAnsi="arial" w:cs="arial"/>
          <w:b w:val="0"/>
          <w:i w:val="0"/>
          <w:strike w:val="0"/>
          <w:noProof w:val="0"/>
          <w:color w:val="000000"/>
          <w:position w:val="0"/>
          <w:sz w:val="20"/>
          <w:u w:val="none"/>
          <w:vertAlign w:val="baseline"/>
        </w:rPr>
        <w:t xml:space="preserve"> (citing the commentary to </w:t>
      </w:r>
      <w:hyperlink r:id="rId22" w:history="1">
        <w:r>
          <w:rPr>
            <w:rFonts w:ascii="arial" w:eastAsia="arial" w:hAnsi="arial" w:cs="arial"/>
            <w:b w:val="0"/>
            <w:i/>
            <w:strike w:val="0"/>
            <w:noProof w:val="0"/>
            <w:color w:val="0077CC"/>
            <w:position w:val="0"/>
            <w:sz w:val="20"/>
            <w:u w:val="single"/>
            <w:vertAlign w:val="baseline"/>
          </w:rPr>
          <w:t>U.S.S.G. § 3B1.1</w:t>
        </w:r>
      </w:hyperlink>
      <w:r>
        <w:rPr>
          <w:rFonts w:ascii="arial" w:eastAsia="arial" w:hAnsi="arial" w:cs="arial"/>
          <w:b w:val="0"/>
          <w:i w:val="0"/>
          <w:strike w:val="0"/>
          <w:noProof w:val="0"/>
          <w:color w:val="000000"/>
          <w:position w:val="0"/>
          <w:sz w:val="20"/>
          <w:u w:val="none"/>
          <w:vertAlign w:val="baseline"/>
        </w:rPr>
        <w:t xml:space="preserve">). </w:t>
      </w:r>
      <w:bookmarkStart w:id="58" w:name="Bookmark_I5F7J75S2N1R890020000400_2"/>
      <w:bookmarkEnd w:id="58"/>
      <w:r>
        <w:rPr>
          <w:rFonts w:ascii="arial" w:eastAsia="arial" w:hAnsi="arial" w:cs="arial"/>
          <w:b w:val="0"/>
          <w:i w:val="0"/>
          <w:strike w:val="0"/>
          <w:noProof w:val="0"/>
          <w:color w:val="000000"/>
          <w:position w:val="0"/>
          <w:sz w:val="20"/>
          <w:u w:val="none"/>
          <w:vertAlign w:val="baseline"/>
        </w:rPr>
        <w:t xml:space="preserve">We have held that the supervision of just one other participant suffices for a finding that a defendant is subject to this sentence enhancement. </w:t>
      </w:r>
      <w:r>
        <w:rPr>
          <w:rFonts w:ascii="arial" w:eastAsia="arial" w:hAnsi="arial" w:cs="arial"/>
          <w:b w:val="0"/>
          <w:i/>
          <w:strike w:val="0"/>
          <w:noProof w:val="0"/>
          <w:color w:val="000000"/>
          <w:position w:val="0"/>
          <w:sz w:val="20"/>
          <w:u w:val="none"/>
          <w:vertAlign w:val="baseline"/>
        </w:rPr>
        <w:t xml:space="preserve">E.g., </w:t>
      </w:r>
      <w:bookmarkStart w:id="59" w:name="Bookmark_I5F7J75S2N1R890010000400"/>
      <w:bookmarkEnd w:id="59"/>
      <w:hyperlink r:id="rId23" w:history="1">
        <w:r>
          <w:rPr>
            <w:rFonts w:ascii="arial" w:eastAsia="arial" w:hAnsi="arial" w:cs="arial"/>
            <w:b w:val="0"/>
            <w:i/>
            <w:strike w:val="0"/>
            <w:noProof w:val="0"/>
            <w:color w:val="0077CC"/>
            <w:position w:val="0"/>
            <w:sz w:val="20"/>
            <w:u w:val="single"/>
            <w:vertAlign w:val="baseline"/>
          </w:rPr>
          <w:t>United States v. Ronning</w:t>
        </w:r>
      </w:hyperlink>
      <w:hyperlink r:id="rId23" w:history="1">
        <w:r>
          <w:rPr>
            <w:rFonts w:ascii="arial" w:eastAsia="arial" w:hAnsi="arial" w:cs="arial"/>
            <w:b w:val="0"/>
            <w:i/>
            <w:strike w:val="0"/>
            <w:noProof w:val="0"/>
            <w:color w:val="0077CC"/>
            <w:position w:val="0"/>
            <w:sz w:val="20"/>
            <w:u w:val="single"/>
            <w:vertAlign w:val="baseline"/>
          </w:rPr>
          <w:t>, 47 F.3d 710, 712 (5th Cir. 1995)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17"/>
      <w:bookmarkEnd w:id="60"/>
      <w:r>
        <w:rPr>
          <w:rFonts w:ascii="arial" w:eastAsia="arial" w:hAnsi="arial" w:cs="arial"/>
          <w:b w:val="0"/>
          <w:i w:val="0"/>
          <w:strike w:val="0"/>
          <w:noProof w:val="0"/>
          <w:color w:val="000000"/>
          <w:position w:val="0"/>
          <w:sz w:val="20"/>
          <w:u w:val="none"/>
          <w:vertAlign w:val="baseline"/>
        </w:rPr>
        <w:t>Millan-Millan points to evidence that no one stated that they worked for him, that others collected the money, and that evidence of his control over Gonzales and his wife is ambiguous. In support of the departure, the government points to other evidence showing that the aliens were told to tell Mexican authorities they were "Primitivo's people." Other evidence showed that he supervised the activities of his wife, Gonzales, Garcia-Rodriguez,</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Lopez-Garcia and that he supplied his wife with the money to buy the trailer in Cypress. We cannot say that the district court's finding that he was a leader was error.</w:t>
      </w:r>
    </w:p>
    <w:p>
      <w:pPr>
        <w:keepNext w:val="0"/>
        <w:spacing w:before="200" w:after="0" w:line="260" w:lineRule="atLeast"/>
        <w:ind w:left="0" w:right="0" w:firstLine="0"/>
        <w:jc w:val="both"/>
      </w:pPr>
      <w:bookmarkStart w:id="61" w:name="Bookmark_para_18"/>
      <w:bookmarkEnd w:id="61"/>
      <w:r>
        <w:rPr>
          <w:rFonts w:ascii="arial" w:eastAsia="arial" w:hAnsi="arial" w:cs="arial"/>
          <w:b w:val="0"/>
          <w:i w:val="0"/>
          <w:strike w:val="0"/>
          <w:noProof w:val="0"/>
          <w:color w:val="000000"/>
          <w:position w:val="0"/>
          <w:sz w:val="20"/>
          <w:u w:val="none"/>
          <w:vertAlign w:val="baseline"/>
        </w:rPr>
        <w:t>Millan-Millan next argues that the district court improperly considered factors in an upward departure that are not contemplated by the offense and criminal history categories of the guidelines. The Presentence Investigation Report scored him at an offense level 17, criminal history category III, carrying a punishment range of 30 to 37 months. The court departed upward by two offense levels and one criminal history category, leaving a punishment range of 46 to 57 months:</w:t>
      </w:r>
    </w:p>
    <w:p>
      <w:pPr>
        <w:keepNext w:val="0"/>
        <w:spacing w:after="0" w:line="260" w:lineRule="atLeast"/>
        <w:ind w:left="400" w:right="0" w:firstLine="0"/>
        <w:jc w:val="both"/>
      </w:pPr>
      <w:bookmarkStart w:id="62" w:name="Bookmark_para_19"/>
      <w:bookmarkEnd w:id="62"/>
      <w:r>
        <w:rPr>
          <w:rFonts w:ascii="arial" w:eastAsia="arial" w:hAnsi="arial" w:cs="arial"/>
          <w:b w:val="0"/>
          <w:i w:val="0"/>
          <w:strike w:val="0"/>
          <w:noProof w:val="0"/>
          <w:color w:val="000000"/>
          <w:position w:val="0"/>
          <w:sz w:val="20"/>
          <w:u w:val="none"/>
          <w:vertAlign w:val="baseline"/>
        </w:rPr>
        <w:t>I am going to depart upward in this case for the reasons stated in Paragraph 79 of the presentence report, and additionally because the testimony at trial, as reflected in Paragraph 15 of the presentence report, reflects that the defendant lied as to his true identity when he was arrested. Although the probation officer did not recommend that his Total Offense Level be increased for obstruction of justice, that is, nevertheless, a factor I may consider.</w:t>
      </w:r>
    </w:p>
    <w:p>
      <w:pPr>
        <w:keepNext w:val="0"/>
        <w:spacing w:before="200" w:after="0" w:line="260" w:lineRule="atLeast"/>
        <w:ind w:left="400" w:right="0" w:firstLine="0"/>
        <w:jc w:val="both"/>
      </w:pPr>
      <w:bookmarkStart w:id="63" w:name="Bookmark_para_20"/>
      <w:bookmarkEnd w:id="63"/>
      <w:r>
        <w:rPr>
          <w:rFonts w:ascii="arial" w:eastAsia="arial" w:hAnsi="arial" w:cs="arial"/>
          <w:b w:val="0"/>
          <w:i w:val="0"/>
          <w:strike w:val="0"/>
          <w:noProof w:val="0"/>
          <w:color w:val="000000"/>
          <w:position w:val="0"/>
          <w:sz w:val="20"/>
          <w:u w:val="none"/>
          <w:vertAlign w:val="baseline"/>
        </w:rPr>
        <w:t>Using the analysis requested by the 5th Circuit in United States versus Lambert, I conclude that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fact that the defendant lied as to his identity at the time of his arrest and the fact that he has prior uncharged crimes for the same violation, and the fact that he shot his wife during one of the episodes of smuggling aliens justify [this] increase . . . .</w:t>
      </w:r>
    </w:p>
    <w:p>
      <w:pPr>
        <w:keepNext w:val="0"/>
        <w:spacing w:after="0" w:line="260" w:lineRule="atLeast"/>
        <w:ind w:left="400" w:right="0" w:firstLine="0"/>
        <w:jc w:val="both"/>
      </w:pPr>
      <w:bookmarkStart w:id="64" w:name="Bookmark_para_21"/>
      <w:bookmarkEnd w:id="64"/>
      <w:r>
        <w:rPr>
          <w:rFonts w:ascii="arial" w:eastAsia="arial" w:hAnsi="arial" w:cs="arial"/>
          <w:b w:val="0"/>
          <w:i w:val="0"/>
          <w:strike w:val="0"/>
          <w:noProof w:val="0"/>
          <w:color w:val="000000"/>
          <w:position w:val="0"/>
          <w:sz w:val="20"/>
          <w:u w:val="none"/>
          <w:vertAlign w:val="baseline"/>
        </w:rPr>
        <w:t>I conclude this defendant is violent, is unredemptive, and is basically a professional criminal who needs to removed from society for as long as possible.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 Vol. 15, pp. 4-5. The court later amended this statement:</w:t>
      </w:r>
    </w:p>
    <w:p>
      <w:pPr>
        <w:keepNext w:val="0"/>
        <w:spacing w:after="0" w:line="260" w:lineRule="atLeast"/>
        <w:ind w:left="400" w:right="0" w:firstLine="0"/>
        <w:jc w:val="both"/>
      </w:pPr>
      <w:bookmarkStart w:id="65" w:name="Bookmark_para_22"/>
      <w:bookmarkEnd w:id="65"/>
      <w:r>
        <w:rPr>
          <w:rFonts w:ascii="arial" w:eastAsia="arial" w:hAnsi="arial" w:cs="arial"/>
          <w:b w:val="0"/>
          <w:i w:val="0"/>
          <w:strike w:val="0"/>
          <w:noProof w:val="0"/>
          <w:color w:val="000000"/>
          <w:position w:val="0"/>
          <w:sz w:val="20"/>
          <w:u w:val="none"/>
          <w:vertAlign w:val="baseline"/>
        </w:rPr>
        <w:t>I omitted to state that Paragraph 79 of the PSI also reflects that a firearm was seized from the defendant's residence. That is an additional reason that I have departed upward. It again shows a likelihood that the defendant will commit further crimes in the future and that his Criminal History Category of 3 does not reflect either the seriousness of his past conduct or the likelihood of future criminal conduct.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 Vol. 15, p. 8. The court sentenced Millan-Millan to 57 months, the top of this increased range.</w:t>
      </w:r>
    </w:p>
    <w:p>
      <w:pPr>
        <w:keepNext w:val="0"/>
        <w:spacing w:before="200" w:after="0" w:line="260" w:lineRule="atLeast"/>
        <w:ind w:left="0" w:right="0" w:firstLine="0"/>
        <w:jc w:val="both"/>
      </w:pPr>
      <w:bookmarkStart w:id="66" w:name="Bookmark_para_23"/>
      <w:bookmarkEnd w:id="66"/>
      <w:r>
        <w:rPr>
          <w:rFonts w:ascii="arial" w:eastAsia="arial" w:hAnsi="arial" w:cs="arial"/>
          <w:b w:val="0"/>
          <w:i w:val="0"/>
          <w:strike w:val="0"/>
          <w:noProof w:val="0"/>
          <w:color w:val="000000"/>
          <w:position w:val="0"/>
          <w:sz w:val="20"/>
          <w:u w:val="none"/>
          <w:vertAlign w:val="baseline"/>
        </w:rPr>
        <w:t>On appeal he contends this departure was unreasonable because it was based on insufficient facts to support proof of his gun possession, obstruction of justice, and the disparity in his sentence and the sentences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imposed against the other appellants. He argues that the basis for the obstruction departure was cured by his truthful representations to the magistrate judge. He complains that the court relied on misconduct that did not result in a conviction and that there was no "direct evidence" that the shooting of his wife occurred during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venture.</w:t>
      </w:r>
    </w:p>
    <w:p>
      <w:pPr>
        <w:keepNext w:val="0"/>
        <w:spacing w:before="240" w:after="0" w:line="260" w:lineRule="atLeast"/>
        <w:ind w:left="0" w:right="0" w:firstLine="0"/>
        <w:jc w:val="both"/>
      </w:pPr>
      <w:bookmarkStart w:id="67" w:name="Bookmark_para_24"/>
      <w:bookmarkEnd w:id="67"/>
      <w:bookmarkStart w:id="68" w:name="Bookmark_I5F7J75S2N1R890040000400"/>
      <w:bookmarkEnd w:id="68"/>
      <w:r>
        <w:rPr>
          <w:rFonts w:ascii="arial" w:eastAsia="arial" w:hAnsi="arial" w:cs="arial"/>
          <w:b w:val="0"/>
          <w:i w:val="0"/>
          <w:strike w:val="0"/>
          <w:noProof w:val="0"/>
          <w:color w:val="000000"/>
          <w:position w:val="0"/>
          <w:sz w:val="20"/>
          <w:u w:val="none"/>
          <w:vertAlign w:val="baseline"/>
        </w:rPr>
        <w:t xml:space="preserve">A court is permitted to depart from the prescribed guideline ranges if it "finds that there exists an aggravating or mitigating circumstance of a kind, or to a degree, not adequately taken into consideration by the Sentencing Commission in formulating the guidelines that should result in a sentence different from that described." </w:t>
      </w:r>
      <w:hyperlink r:id="rId24" w:history="1">
        <w:r>
          <w:rPr>
            <w:rFonts w:ascii="arial" w:eastAsia="arial" w:hAnsi="arial" w:cs="arial"/>
            <w:b w:val="0"/>
            <w:i/>
            <w:strike w:val="0"/>
            <w:noProof w:val="0"/>
            <w:color w:val="0077CC"/>
            <w:position w:val="0"/>
            <w:sz w:val="20"/>
            <w:u w:val="single"/>
            <w:vertAlign w:val="baseline"/>
          </w:rPr>
          <w:t>18 U.S.C. § 3553(b)</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Section 4A1.3</w:t>
        </w:r>
      </w:hyperlink>
      <w:r>
        <w:rPr>
          <w:rFonts w:ascii="arial" w:eastAsia="arial" w:hAnsi="arial" w:cs="arial"/>
          <w:b w:val="0"/>
          <w:i w:val="0"/>
          <w:strike w:val="0"/>
          <w:noProof w:val="0"/>
          <w:color w:val="000000"/>
          <w:position w:val="0"/>
          <w:sz w:val="20"/>
          <w:u w:val="none"/>
          <w:vertAlign w:val="baseline"/>
        </w:rPr>
        <w:t xml:space="preserve"> provides that a court may consider a departure from the otherwise applicable guideline range if it finds that a defendant's criminal history category "does not adequately reflect the seriousness of the defendant's past criminal conduct or the likelihood that the defendant will commit other crimes." We have previously noted that this section's status as a "policy statement" rather than a "guideline" does not as a practical matter change the amount of respect it must be shown. </w:t>
      </w:r>
      <w:bookmarkStart w:id="69" w:name="Bookmark_I5F7J75S2N1R890030000400"/>
      <w:bookmarkEnd w:id="69"/>
      <w:hyperlink r:id="rId26" w:history="1">
        <w:r>
          <w:rPr>
            <w:rFonts w:ascii="arial" w:eastAsia="arial" w:hAnsi="arial" w:cs="arial"/>
            <w:b w:val="0"/>
            <w:i/>
            <w:strike w:val="0"/>
            <w:noProof w:val="0"/>
            <w:color w:val="0077CC"/>
            <w:position w:val="0"/>
            <w:sz w:val="20"/>
            <w:u w:val="single"/>
            <w:vertAlign w:val="baseline"/>
          </w:rPr>
          <w:t>United States v. Lambert</w:t>
        </w:r>
      </w:hyperlink>
      <w:hyperlink r:id="rId26" w:history="1">
        <w:r>
          <w:rPr>
            <w:rFonts w:ascii="arial" w:eastAsia="arial" w:hAnsi="arial" w:cs="arial"/>
            <w:b w:val="0"/>
            <w:i/>
            <w:strike w:val="0"/>
            <w:noProof w:val="0"/>
            <w:color w:val="0077CC"/>
            <w:position w:val="0"/>
            <w:sz w:val="20"/>
            <w:u w:val="single"/>
            <w:vertAlign w:val="baseline"/>
          </w:rPr>
          <w:t>, 984 F.2d 658, 662 (5th Cir. 1993)</w:t>
        </w:r>
      </w:hyperlink>
      <w:r>
        <w:rPr>
          <w:rFonts w:ascii="arial" w:eastAsia="arial" w:hAnsi="arial" w:cs="arial"/>
          <w:b w:val="0"/>
          <w:i w:val="0"/>
          <w:strike w:val="0"/>
          <w:noProof w:val="0"/>
          <w:color w:val="000000"/>
          <w:position w:val="0"/>
          <w:sz w:val="20"/>
          <w:u w:val="none"/>
          <w:vertAlign w:val="baseline"/>
        </w:rPr>
        <w:t xml:space="preserve"> (en banc) (discussing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effect of </w:t>
      </w:r>
      <w:bookmarkStart w:id="70" w:name="Bookmark_I5F7J75S2N1R890050000400"/>
      <w:bookmarkEnd w:id="70"/>
      <w:hyperlink r:id="rId27" w:history="1">
        <w:r>
          <w:rPr>
            <w:rFonts w:ascii="arial" w:eastAsia="arial" w:hAnsi="arial" w:cs="arial"/>
            <w:b w:val="0"/>
            <w:i/>
            <w:strike w:val="0"/>
            <w:noProof w:val="0"/>
            <w:color w:val="0077CC"/>
            <w:position w:val="0"/>
            <w:sz w:val="20"/>
            <w:u w:val="single"/>
            <w:vertAlign w:val="baseline"/>
          </w:rPr>
          <w:t>Williams v. United States</w:t>
        </w:r>
      </w:hyperlink>
      <w:hyperlink r:id="rId27" w:history="1">
        <w:r>
          <w:rPr>
            <w:rFonts w:ascii="arial" w:eastAsia="arial" w:hAnsi="arial" w:cs="arial"/>
            <w:b w:val="0"/>
            <w:i/>
            <w:strike w:val="0"/>
            <w:noProof w:val="0"/>
            <w:color w:val="0077CC"/>
            <w:position w:val="0"/>
            <w:sz w:val="20"/>
            <w:u w:val="single"/>
            <w:vertAlign w:val="baseline"/>
          </w:rPr>
          <w:t>, 503 U.S. 193, 112 S. Ct. 1112, 117 L. Ed. 2d 341 (1992))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25"/>
      <w:bookmarkEnd w:id="71"/>
      <w:r>
        <w:rPr>
          <w:rFonts w:ascii="arial" w:eastAsia="arial" w:hAnsi="arial" w:cs="arial"/>
          <w:b w:val="0"/>
          <w:i w:val="0"/>
          <w:strike w:val="0"/>
          <w:noProof w:val="0"/>
          <w:color w:val="000000"/>
          <w:position w:val="0"/>
          <w:sz w:val="20"/>
          <w:u w:val="none"/>
          <w:vertAlign w:val="baseline"/>
        </w:rPr>
        <w:t xml:space="preserve">Millan-Millan had been arrested by the Border Patrol on four previous occasions,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Freer, and Sarita, Texas, but each time the government declined to prosecute. The court relied upon these previous arrests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to support its decision to depart upwards with respect to his criminal history category. He argues that the guidelines do not permit prior arrests to be considered under </w:t>
      </w:r>
      <w:hyperlink r:id="rId25" w:history="1">
        <w:r>
          <w:rPr>
            <w:rFonts w:ascii="arial" w:eastAsia="arial" w:hAnsi="arial" w:cs="arial"/>
            <w:b w:val="0"/>
            <w:i/>
            <w:strike w:val="0"/>
            <w:noProof w:val="0"/>
            <w:color w:val="0077CC"/>
            <w:position w:val="0"/>
            <w:sz w:val="20"/>
            <w:u w:val="single"/>
            <w:vertAlign w:val="baseline"/>
          </w:rPr>
          <w:t>§ 4A1.3</w:t>
        </w:r>
      </w:hyperlink>
      <w:r>
        <w:rPr>
          <w:rFonts w:ascii="arial" w:eastAsia="arial" w:hAnsi="arial" w:cs="arial"/>
          <w:b w:val="0"/>
          <w:i w:val="0"/>
          <w:strike w:val="0"/>
          <w:noProof w:val="0"/>
          <w:color w:val="000000"/>
          <w:position w:val="0"/>
          <w:sz w:val="20"/>
          <w:u w:val="none"/>
          <w:vertAlign w:val="baseline"/>
        </w:rPr>
        <w:t xml:space="preserve">, because the section states the information must be "reliable." He fails to note, however, that the section also provides that "prior similar adult criminal conduct not resulting in a criminal conviction" satisfies the reliability requirement. </w:t>
      </w:r>
      <w:bookmarkStart w:id="72" w:name="Bookmark_I5F7J7622SF7K20030000400"/>
      <w:bookmarkEnd w:id="72"/>
      <w:hyperlink r:id="rId25" w:history="1">
        <w:r>
          <w:rPr>
            <w:rFonts w:ascii="arial" w:eastAsia="arial" w:hAnsi="arial" w:cs="arial"/>
            <w:b w:val="0"/>
            <w:i/>
            <w:strike w:val="0"/>
            <w:noProof w:val="0"/>
            <w:color w:val="0077CC"/>
            <w:position w:val="0"/>
            <w:sz w:val="20"/>
            <w:u w:val="single"/>
            <w:vertAlign w:val="baseline"/>
          </w:rPr>
          <w:t>U.S.S.G. § 4A1.3(a)(2)(E)</w:t>
        </w:r>
      </w:hyperlink>
      <w:r>
        <w:rPr>
          <w:rFonts w:ascii="arial" w:eastAsia="arial" w:hAnsi="arial" w:cs="arial"/>
          <w:b w:val="0"/>
          <w:i w:val="0"/>
          <w:strike w:val="0"/>
          <w:noProof w:val="0"/>
          <w:color w:val="000000"/>
          <w:position w:val="0"/>
          <w:sz w:val="20"/>
          <w:u w:val="none"/>
          <w:vertAlign w:val="baseline"/>
        </w:rPr>
        <w:t xml:space="preserve">. The court committed no error in basing its departure on this factor. </w:t>
      </w:r>
      <w:r>
        <w:rPr>
          <w:rFonts w:ascii="arial" w:eastAsia="arial" w:hAnsi="arial" w:cs="arial"/>
          <w:b w:val="0"/>
          <w:i/>
          <w:strike w:val="0"/>
          <w:noProof w:val="0"/>
          <w:color w:val="000000"/>
          <w:position w:val="0"/>
          <w:sz w:val="20"/>
          <w:u w:val="none"/>
          <w:vertAlign w:val="baseline"/>
        </w:rPr>
        <w:t xml:space="preserve">Accord </w:t>
      </w:r>
      <w:bookmarkStart w:id="73" w:name="Bookmark_I5F7J7622SF7K20020000400"/>
      <w:bookmarkEnd w:id="73"/>
      <w:hyperlink r:id="rId28" w:history="1">
        <w:r>
          <w:rPr>
            <w:rFonts w:ascii="arial" w:eastAsia="arial" w:hAnsi="arial" w:cs="arial"/>
            <w:b w:val="0"/>
            <w:i/>
            <w:strike w:val="0"/>
            <w:noProof w:val="0"/>
            <w:color w:val="0077CC"/>
            <w:position w:val="0"/>
            <w:sz w:val="20"/>
            <w:u w:val="single"/>
            <w:vertAlign w:val="baseline"/>
          </w:rPr>
          <w:t>United States v. Ashburn</w:t>
        </w:r>
      </w:hyperlink>
      <w:hyperlink r:id="rId28" w:history="1">
        <w:r>
          <w:rPr>
            <w:rFonts w:ascii="arial" w:eastAsia="arial" w:hAnsi="arial" w:cs="arial"/>
            <w:b w:val="0"/>
            <w:i/>
            <w:strike w:val="0"/>
            <w:noProof w:val="0"/>
            <w:color w:val="0077CC"/>
            <w:position w:val="0"/>
            <w:sz w:val="20"/>
            <w:u w:val="single"/>
            <w:vertAlign w:val="baseline"/>
          </w:rPr>
          <w:t>, 38 F.3d 803, 807-08 (5th Cir.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514 U.S. 1113, 115 S. Ct. 1969, 131 L. Ed. 2d 858 (1995)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 w:name="Bookmark_para_26"/>
      <w:bookmarkEnd w:id="74"/>
      <w:r>
        <w:rPr>
          <w:rFonts w:ascii="arial" w:eastAsia="arial" w:hAnsi="arial" w:cs="arial"/>
          <w:b w:val="0"/>
          <w:i w:val="0"/>
          <w:strike w:val="0"/>
          <w:noProof w:val="0"/>
          <w:color w:val="000000"/>
          <w:position w:val="0"/>
          <w:sz w:val="20"/>
          <w:u w:val="none"/>
          <w:vertAlign w:val="baseline"/>
        </w:rPr>
        <w:t xml:space="preserve">We next examine the issue of the gun and the shooting of his wife. </w:t>
      </w:r>
      <w:hyperlink r:id="rId29" w:history="1">
        <w:r>
          <w:rPr>
            <w:rFonts w:ascii="arial" w:eastAsia="arial" w:hAnsi="arial" w:cs="arial"/>
            <w:b w:val="0"/>
            <w:i/>
            <w:strike w:val="0"/>
            <w:noProof w:val="0"/>
            <w:color w:val="0077CC"/>
            <w:position w:val="0"/>
            <w:sz w:val="20"/>
            <w:u w:val="single"/>
            <w:vertAlign w:val="baseline"/>
          </w:rPr>
          <w:t>Section 2L1.1</w:t>
        </w:r>
      </w:hyperlink>
      <w:r>
        <w:rPr>
          <w:rFonts w:ascii="arial" w:eastAsia="arial" w:hAnsi="arial" w:cs="arial"/>
          <w:b w:val="0"/>
          <w:i w:val="0"/>
          <w:strike w:val="0"/>
          <w:noProof w:val="0"/>
          <w:color w:val="000000"/>
          <w:position w:val="0"/>
          <w:sz w:val="20"/>
          <w:u w:val="none"/>
          <w:vertAlign w:val="baseline"/>
        </w:rPr>
        <w:t xml:space="preserve"> applies to the substantive count of harboring an illegal alien. Application note 5 to this section states "[i]f the offense involved . . . possession of a dangerous weapon, . . . an upward departure may be warranted." The guidelines define "dangerous weapon" so as to include a firearm.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U.S.S.G. § 1B1.1 (note 1(d)</w:t>
        </w:r>
      </w:hyperlink>
      <w:r>
        <w:rPr>
          <w:rFonts w:ascii="arial" w:eastAsia="arial" w:hAnsi="arial" w:cs="arial"/>
          <w:b w:val="0"/>
          <w:i w:val="0"/>
          <w:strike w:val="0"/>
          <w:noProof w:val="0"/>
          <w:color w:val="000000"/>
          <w:position w:val="0"/>
          <w:sz w:val="20"/>
          <w:u w:val="none"/>
          <w:vertAlign w:val="baseline"/>
        </w:rPr>
        <w:t>). The gun and ammunition were found in a trailer which was purchased six weeks before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present aliens were smuggled. Two co-conspirators were apparently living in the trailer as were at least fifteen illegal aliens. The court's finding on this issue obviates Millan-Millan's protests, not made below, that the trailer was his home and the gun was for personal protection. These are trumped, regardless, by the court's finding that Millan-Millan was a violent individual, presumably based in part on his shooting his wife, and the fact that he was not entitled to possess a firearm because he was both a felon and on supervised release. We cannot say the district court's sentencing decision amounts to plain error.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00" w:after="0" w:line="260" w:lineRule="atLeast"/>
        <w:ind w:left="0" w:right="0" w:firstLine="0"/>
        <w:jc w:val="both"/>
      </w:pPr>
      <w:bookmarkStart w:id="75" w:name="Bookmark_para_27"/>
      <w:bookmarkEnd w:id="75"/>
      <w:r>
        <w:rPr>
          <w:rFonts w:ascii="arial" w:eastAsia="arial" w:hAnsi="arial" w:cs="arial"/>
          <w:b w:val="0"/>
          <w:i w:val="0"/>
          <w:strike w:val="0"/>
          <w:noProof w:val="0"/>
          <w:color w:val="000000"/>
          <w:position w:val="0"/>
          <w:sz w:val="20"/>
          <w:u w:val="none"/>
          <w:vertAlign w:val="baseline"/>
        </w:rPr>
        <w:t>For the foregoing reasons, the convictions and sentences are, in all respects, affirmed.</w:t>
      </w:r>
    </w:p>
    <w:p>
      <w:pPr>
        <w:keepNext w:val="0"/>
        <w:spacing w:before="200" w:after="0" w:line="260" w:lineRule="atLeast"/>
        <w:ind w:left="0" w:right="0" w:firstLine="0"/>
        <w:jc w:val="both"/>
      </w:pPr>
      <w:bookmarkStart w:id="76" w:name="Bookmark_para_28"/>
      <w:bookmarkEnd w:id="76"/>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2" w:name="Bookmark_fnpara_1"/>
      <w:bookmarkEnd w:id="12"/>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trike w:val="0"/>
          <w:noProof w:val="0"/>
          <w:color w:val="000000"/>
          <w:position w:val="0"/>
          <w:sz w:val="18"/>
          <w:u w:val="none"/>
          <w:vertAlign w:val="baseline"/>
        </w:rPr>
        <w:t>Local Rule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trike w:val="0"/>
          <w:noProof w:val="0"/>
          <w:color w:val="000000"/>
          <w:position w:val="0"/>
          <w:sz w:val="18"/>
          <w:u w:val="none"/>
          <w:vertAlign w:val="baseline"/>
        </w:rPr>
        <w:t>Local Rule 47.5.4</w:t>
      </w:r>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2"/>
      <w:bookmarkEnd w:id="14"/>
      <w:r>
        <w:rPr>
          <w:rFonts w:ascii="arial" w:eastAsia="arial" w:hAnsi="arial" w:cs="arial"/>
          <w:b w:val="0"/>
          <w:i w:val="0"/>
          <w:strike w:val="0"/>
          <w:noProof w:val="0"/>
          <w:color w:val="000000"/>
          <w:position w:val="0"/>
          <w:sz w:val="18"/>
          <w:u w:val="none"/>
          <w:vertAlign w:val="baseline"/>
        </w:rPr>
        <w:t>Three other individuals were also convicted at this trial but are not parties to this appeal.</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4" w:name="Bookmark_fnpara_3"/>
      <w:bookmarkEnd w:id="24"/>
      <w:r>
        <w:rPr>
          <w:rFonts w:ascii="arial" w:eastAsia="arial" w:hAnsi="arial" w:cs="arial"/>
          <w:b w:val="0"/>
          <w:i w:val="0"/>
          <w:strike w:val="0"/>
          <w:noProof w:val="0"/>
          <w:color w:val="000000"/>
          <w:position w:val="0"/>
          <w:sz w:val="18"/>
          <w:u w:val="none"/>
          <w:vertAlign w:val="baseline"/>
        </w:rPr>
        <w:t xml:space="preserve">This section of the code has been recodified at </w:t>
      </w:r>
      <w:hyperlink r:id="rId1" w:history="1">
        <w:r>
          <w:rPr>
            <w:rFonts w:ascii="arial" w:eastAsia="arial" w:hAnsi="arial" w:cs="arial"/>
            <w:b w:val="0"/>
            <w:i/>
            <w:strike w:val="0"/>
            <w:noProof w:val="0"/>
            <w:color w:val="0077CC"/>
            <w:position w:val="0"/>
            <w:sz w:val="18"/>
            <w:u w:val="single"/>
            <w:vertAlign w:val="baseline"/>
          </w:rPr>
          <w:t>§ 1324 (a) (1) (A) (iii)</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Lopez-Garcia, 1996 U.S. App. LEXIS 45015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S4W-YGH0-006F-M1SG-00000-00&amp;context=1519360" TargetMode="External" /><Relationship Id="rId11" Type="http://schemas.openxmlformats.org/officeDocument/2006/relationships/hyperlink" Target="https://advance.lexis.com/api/document?collection=cases&amp;id=urn:contentItem:3S4X-8100-003B-S11K-00000-00&amp;context=1519360" TargetMode="External" /><Relationship Id="rId12" Type="http://schemas.openxmlformats.org/officeDocument/2006/relationships/hyperlink" Target="https://advance.lexis.com/api/document?collection=statutes-legislation&amp;id=urn:contentItem:8SG9-5032-D6RV-H544-00000-00&amp;context=1519360" TargetMode="External" /><Relationship Id="rId13" Type="http://schemas.openxmlformats.org/officeDocument/2006/relationships/hyperlink" Target="https://advance.lexis.com/api/document?collection=statutes-legislation&amp;id=urn:contentItem:8S6M-T0S2-D6RV-H49T-00000-00&amp;context=1519360" TargetMode="External" /><Relationship Id="rId14" Type="http://schemas.openxmlformats.org/officeDocument/2006/relationships/hyperlink" Target="https://advance.lexis.com/api/document?collection=cases&amp;id=urn:contentItem:3S4X-9RK0-003B-530J-00000-00&amp;context=1519360" TargetMode="External" /><Relationship Id="rId15" Type="http://schemas.openxmlformats.org/officeDocument/2006/relationships/hyperlink" Target="https://advance.lexis.com/api/document?collection=cases&amp;id=urn:contentItem:3S4X-JX20-003B-S2B0-00000-00&amp;context=1519360" TargetMode="External" /><Relationship Id="rId16" Type="http://schemas.openxmlformats.org/officeDocument/2006/relationships/hyperlink" Target="https://advance.lexis.com/api/document?collection=cases&amp;id=urn:contentItem:3RS5-HR40-003B-R17D-00000-00&amp;context=1519360" TargetMode="External" /><Relationship Id="rId17" Type="http://schemas.openxmlformats.org/officeDocument/2006/relationships/hyperlink" Target="https://advance.lexis.com/api/document?collection=cases&amp;id=urn:contentItem:3RX2-7P40-006F-M4D9-00000-00&amp;context=1519360" TargetMode="External" /><Relationship Id="rId18" Type="http://schemas.openxmlformats.org/officeDocument/2006/relationships/hyperlink" Target="https://advance.lexis.com/api/document?collection=cases&amp;id=urn:contentItem:3S70-NFK0-003B-R51G-00000-00&amp;context=1519360" TargetMode="External" /><Relationship Id="rId19" Type="http://schemas.openxmlformats.org/officeDocument/2006/relationships/hyperlink" Target="https://advance.lexis.com/api/document?collection=statutes-legislation&amp;id=urn:contentItem:5GYC-2731-FG36-13Y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GR-CKX2-D6RV-H0S3-00000-00&amp;context=1519360" TargetMode="External" /><Relationship Id="rId21" Type="http://schemas.openxmlformats.org/officeDocument/2006/relationships/hyperlink" Target="https://advance.lexis.com/api/document?collection=cases&amp;id=urn:contentItem:3S4X-CCD0-003B-511J-00000-00&amp;context=1519360" TargetMode="External" /><Relationship Id="rId22" Type="http://schemas.openxmlformats.org/officeDocument/2006/relationships/hyperlink" Target="https://advance.lexis.com/api/document?collection=statutes-legislation&amp;id=urn:contentItem:6D28-6CY3-RVPC-N0SK-00000-00&amp;context=1519360" TargetMode="External" /><Relationship Id="rId23" Type="http://schemas.openxmlformats.org/officeDocument/2006/relationships/hyperlink" Target="https://advance.lexis.com/api/document?collection=cases&amp;id=urn:contentItem:3S4X-GJ80-001T-D38V-00000-00&amp;context=1519360" TargetMode="External" /><Relationship Id="rId24" Type="http://schemas.openxmlformats.org/officeDocument/2006/relationships/hyperlink" Target="https://advance.lexis.com/api/document?collection=statutes-legislation&amp;id=urn:contentItem:8TV4-SKM2-8T6X-72T1-00000-00&amp;context=1519360" TargetMode="External" /><Relationship Id="rId25" Type="http://schemas.openxmlformats.org/officeDocument/2006/relationships/hyperlink" Target="https://advance.lexis.com/api/document?collection=statutes-legislation&amp;id=urn:contentItem:69P3-D753-RRHG-W1S7-00000-00&amp;context=1519360" TargetMode="External" /><Relationship Id="rId26" Type="http://schemas.openxmlformats.org/officeDocument/2006/relationships/hyperlink" Target="https://advance.lexis.com/api/document?collection=cases&amp;id=urn:contentItem:3S4X-HRK0-003B-P313-00000-00&amp;context=1519360" TargetMode="External" /><Relationship Id="rId27" Type="http://schemas.openxmlformats.org/officeDocument/2006/relationships/hyperlink" Target="https://advance.lexis.com/api/document?collection=cases&amp;id=urn:contentItem:3S65-KJJ0-003B-R4X0-00000-00&amp;context=1519360" TargetMode="External" /><Relationship Id="rId28" Type="http://schemas.openxmlformats.org/officeDocument/2006/relationships/hyperlink" Target="https://advance.lexis.com/api/document?collection=cases&amp;id=urn:contentItem:3S4X-13Y0-003B-P119-00000-00&amp;context=1519360" TargetMode="External" /><Relationship Id="rId29" Type="http://schemas.openxmlformats.org/officeDocument/2006/relationships/hyperlink" Target="https://advance.lexis.com/api/document?collection=statutes-legislation&amp;id=urn:contentItem:8TWM-B3H2-8T6X-7295-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6D21-R113-RRK7-D3SP-00000-00&amp;context=1519360"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DPV-YP81-JCNH-X03J-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6M-T0S2-D6RV-H49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Lopez-Garcia, 1996 U.S. App. LEXIS 45015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63</vt:lpwstr>
  </property>
  <property fmtid="{D5CDD505-2E9C-101B-9397-08002B2CF9AE}" pid="3" name="LADocCount">
    <vt:lpwstr>1</vt:lpwstr>
  </property>
  <property fmtid="{D5CDD505-2E9C-101B-9397-08002B2CF9AE}" pid="4" name="LADocumentID:63">
    <vt:lpwstr>Doc::urn:hlct:5|contextualFeaturePermID::1519360</vt:lpwstr>
  </property>
  <property fmtid="{D5CDD505-2E9C-101B-9397-08002B2CF9AE}" pid="5" name="UserPermID">
    <vt:lpwstr>urn:user:PA186186298</vt:lpwstr>
  </property>
</Properties>
</file>