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Loredo-Torres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January 27, 2006,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04-40116 Conference Calendar </w:t>
      </w:r>
    </w:p>
    <w:p>
      <w:pPr>
        <w:keepNext w:val="0"/>
        <w:spacing w:after="0" w:line="240" w:lineRule="atLeast"/>
        <w:ind w:right="0"/>
        <w:jc w:val="both"/>
      </w:pPr>
      <w:bookmarkStart w:id="0" w:name="Bookmark_4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164 Fed. Appx. 523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2006 U.S. App. LEXIS 2189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ANTONIO LOREDO-TORRES, also known as Juan Vega Perez,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RULES OF THE FIFTH CIRCUIT COURT OF APPEALS MAY LIMIT CITATION TO UNPUBLISHED OPINIONS. PLEASE REFER TO THE RULES OF THE UNITED STATES COURT OF APPEALS FOR THIS CIRCUIT.  </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Loredo-Torres v. United States, 164 L. Ed. 2d 857, 2006 U.S. LEXIS 4296 (U.S., May 30, 2006)</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USDC No. 5:03-CR-1265-ALL.  </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Loredo-Torres, 110 Fed. Appx. 445, 2004 U.S. App. LEXIS 21894 (2004)</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5"/>
      <w:bookmarkEnd w:id="8"/>
      <w:r>
        <w:rPr>
          <w:rFonts w:ascii="arial" w:eastAsia="arial" w:hAnsi="arial" w:cs="arial"/>
          <w:b w:val="0"/>
          <w:i w:val="0"/>
          <w:strike w:val="0"/>
          <w:noProof w:val="0"/>
          <w:color w:val="000000"/>
          <w:position w:val="0"/>
          <w:sz w:val="20"/>
          <w:u w:val="none"/>
          <w:vertAlign w:val="baseline"/>
        </w:rPr>
        <w:t xml:space="preserve">JUDGMENT REINSTATED.  </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Guidelines, aliens, first time, enhancement, further consideration, prior conviction, plain error, extraordinary circumstances, illegal transportation, presentence report, writ petition, base offense, imprisonment, REINSTATED, affirmance, foreclosed, smuggling</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Remands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Remands</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When a case is remanded to an appellate court from the United States Supreme Court with specific instructions, the appellate court must confine its review to the limitations established by the United States Supreme Court's remand order. Except that which a court is mandated to review, its previous rulings are the law of the case and will not now be reconsidered. Absent exceptional circumstances, the mandate rule compels compliance on remand with the dictates of a superior court and forecloses relitigation of issues expressly or impliedly decided by the appellate court.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Jury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Jury Trial</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Pursuant to the United States Court of Appeals for the Fifth Circuit, in the absence of extraordinary circumstances, the court will not consider Booker-related arguments raised for the first time in a petition for a writ of certiorari.</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Right to Jury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General Overview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Right to Jury Trial</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When a defendant did not raise his Booker-related arguments in the district court, an appellate court reviews them for plain error.</w:t>
      </w:r>
    </w:p>
    <w:p>
      <w:pPr>
        <w:keepNext w:val="0"/>
        <w:spacing w:before="240" w:after="0" w:line="260" w:lineRule="atLeast"/>
        <w:ind w:left="0" w:right="0" w:firstLine="0"/>
        <w:jc w:val="left"/>
      </w:pPr>
      <w:bookmarkStart w:id="17" w:name="Counsel"/>
      <w:bookmarkEnd w:id="1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James Lee Turner, Assistant US Attorney, Tony Ray Roberts, US Attorney's Office, Southern District of Texas, Houston, TX.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ANTONIO LOREDO-TORRES, aka Juan Vega Perez, Defendant - Appellant: Timothy William Crooks, Assistant Federal Public Defender, Marjorie A Meyers, Federal Public Defender, Federal Public Defender's Office, Southern District of Texas, Houston, TX.  </w:t>
      </w:r>
    </w:p>
    <w:p>
      <w:pPr>
        <w:keepNext w:val="0"/>
        <w:spacing w:before="240" w:after="0" w:line="260" w:lineRule="atLeast"/>
        <w:ind w:left="0" w:right="0" w:firstLine="0"/>
        <w:jc w:val="left"/>
      </w:pPr>
      <w:bookmarkStart w:id="18" w:name="Judges"/>
      <w:bookmarkEnd w:id="1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JONES, Chief Judge, JOLLY and WIENER, Circuit Judges.  </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0" w:name="Bookmark_para_3"/>
      <w:bookmarkEnd w:id="20"/>
      <w:r>
        <w:rPr>
          <w:rFonts w:ascii="arial" w:eastAsia="arial" w:hAnsi="arial" w:cs="arial"/>
          <w:b/>
          <w:i w:val="0"/>
          <w:strike w:val="0"/>
          <w:noProof w:val="0"/>
          <w:color w:val="000000"/>
          <w:position w:val="0"/>
          <w:sz w:val="20"/>
          <w:u w:val="none"/>
          <w:vertAlign w:val="baseline"/>
        </w:rPr>
        <w:t> [*523] </w:t>
      </w:r>
      <w:r>
        <w:rPr>
          <w:rFonts w:ascii="arial" w:eastAsia="arial" w:hAnsi="arial" w:cs="arial"/>
          <w:b w:val="0"/>
          <w:i w:val="0"/>
          <w:strike w:val="0"/>
          <w:noProof w:val="0"/>
          <w:color w:val="000000"/>
          <w:position w:val="0"/>
          <w:sz w:val="20"/>
          <w:u w:val="none"/>
          <w:vertAlign w:val="baseline"/>
        </w:rPr>
        <w:t xml:space="preserve"> ON REMAND FROM THE SUPREME COURT OF THE UNITED STATES </w:t>
      </w:r>
    </w:p>
    <w:p>
      <w:pPr>
        <w:keepNext w:val="0"/>
        <w:spacing w:before="200" w:after="0" w:line="260" w:lineRule="atLeast"/>
        <w:ind w:left="0" w:right="0" w:firstLine="0"/>
        <w:jc w:val="both"/>
      </w:pPr>
      <w:bookmarkStart w:id="21" w:name="Bookmark_para_4"/>
      <w:bookmarkEnd w:id="21"/>
      <w:r>
        <w:rPr>
          <w:rFonts w:ascii="arial" w:eastAsia="arial" w:hAnsi="arial" w:cs="arial"/>
          <w:b w:val="0"/>
          <w:i w:val="0"/>
          <w:strike w:val="0"/>
          <w:noProof w:val="0"/>
          <w:color w:val="000000"/>
          <w:position w:val="0"/>
          <w:sz w:val="20"/>
          <w:u w:val="none"/>
          <w:vertAlign w:val="baseline"/>
        </w:rPr>
        <w:t xml:space="preserve">PER CURIAM: </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23" w:name="Bookmark_para_5"/>
      <w:bookmarkEnd w:id="23"/>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[*524] </w:t>
      </w:r>
      <w:r>
        <w:rPr>
          <w:rFonts w:ascii="arial" w:eastAsia="arial" w:hAnsi="arial" w:cs="arial"/>
          <w:b w:val="0"/>
          <w:i w:val="0"/>
          <w:strike w:val="0"/>
          <w:noProof w:val="0"/>
          <w:color w:val="000000"/>
          <w:position w:val="0"/>
          <w:sz w:val="20"/>
          <w:u w:val="none"/>
          <w:vertAlign w:val="baseline"/>
        </w:rPr>
        <w:t xml:space="preserve"> Antonio Loredo-Torres pleaded guilty to illegal entry in violation of </w:t>
      </w:r>
      <w:hyperlink r:id="rId16"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The presentence report calculated his base offense level as eight, pursuant to </w:t>
      </w:r>
      <w:hyperlink r:id="rId17" w:history="1">
        <w:r>
          <w:rPr>
            <w:rFonts w:ascii="arial" w:eastAsia="arial" w:hAnsi="arial" w:cs="arial"/>
            <w:b w:val="0"/>
            <w:i/>
            <w:strike w:val="0"/>
            <w:noProof w:val="0"/>
            <w:color w:val="0077CC"/>
            <w:position w:val="0"/>
            <w:sz w:val="20"/>
            <w:u w:val="single"/>
            <w:vertAlign w:val="baseline"/>
          </w:rPr>
          <w:t>U.S.S.G. § 2L1.2(a)</w:t>
        </w:r>
      </w:hyperlink>
      <w:r>
        <w:rPr>
          <w:rFonts w:ascii="arial" w:eastAsia="arial" w:hAnsi="arial" w:cs="arial"/>
          <w:b w:val="0"/>
          <w:i w:val="0"/>
          <w:strike w:val="0"/>
          <w:noProof w:val="0"/>
          <w:color w:val="000000"/>
          <w:position w:val="0"/>
          <w:sz w:val="20"/>
          <w:u w:val="none"/>
          <w:vertAlign w:val="baseline"/>
        </w:rPr>
        <w:t xml:space="preserve">. Sixteen levels were added, pursuant to </w:t>
      </w:r>
      <w:hyperlink r:id="rId17" w:history="1">
        <w:r>
          <w:rPr>
            <w:rFonts w:ascii="arial" w:eastAsia="arial" w:hAnsi="arial" w:cs="arial"/>
            <w:b w:val="0"/>
            <w:i/>
            <w:strike w:val="0"/>
            <w:noProof w:val="0"/>
            <w:color w:val="0077CC"/>
            <w:position w:val="0"/>
            <w:sz w:val="20"/>
            <w:u w:val="single"/>
            <w:vertAlign w:val="baseline"/>
          </w:rPr>
          <w:t>U.S.S.G. 2L1.2(b)(1)(A)(vii)</w:t>
        </w:r>
      </w:hyperlink>
      <w:r>
        <w:rPr>
          <w:rFonts w:ascii="arial" w:eastAsia="arial" w:hAnsi="arial" w:cs="arial"/>
          <w:b w:val="0"/>
          <w:i w:val="0"/>
          <w:strike w:val="0"/>
          <w:noProof w:val="0"/>
          <w:color w:val="000000"/>
          <w:position w:val="0"/>
          <w:sz w:val="20"/>
          <w:u w:val="none"/>
          <w:vertAlign w:val="baseline"/>
        </w:rPr>
        <w:t>, because of a prior conviction for aiding and abetting the illegal transportation of aliens. Loredo-Torres did not object to the enhancement. Loredo-Torres received a three-level reduction for acceptance of responsibility, resulting in a total offense level of 21, which resulted in a Guidelines imprisonment range of 57 to 71 months. Because the statutory maximum sentence was only two years, the district court sentenced Loredo-Torres to 24 months imprisonment.</w:t>
      </w:r>
    </w:p>
    <w:p>
      <w:pPr>
        <w:keepNext w:val="0"/>
        <w:spacing w:before="200" w:after="0" w:line="260" w:lineRule="atLeast"/>
        <w:ind w:left="0" w:right="0" w:firstLine="0"/>
        <w:jc w:val="both"/>
      </w:pPr>
      <w:bookmarkStart w:id="24" w:name="Bookmark_para_6"/>
      <w:bookmarkEnd w:id="24"/>
      <w:bookmarkStart w:id="25" w:name="Bookmark_I4J9PD9C0K1MNJ2TN0000400"/>
      <w:bookmarkEnd w:id="25"/>
      <w:r>
        <w:rPr>
          <w:rFonts w:ascii="arial" w:eastAsia="arial" w:hAnsi="arial" w:cs="arial"/>
          <w:b w:val="0"/>
          <w:i w:val="0"/>
          <w:strike w:val="0"/>
          <w:noProof w:val="0"/>
          <w:color w:val="000000"/>
          <w:position w:val="0"/>
          <w:sz w:val="20"/>
          <w:u w:val="none"/>
          <w:vertAlign w:val="baseline"/>
        </w:rPr>
        <w:t xml:space="preserve">On appeal, Loredo-Torres argued that the district court erred by relying on information contained in the presentence report to enhance his base offense level based on a determination that he had a prior conviction for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committed for profit. He also argued that the district court erred when it applied the enhancement because transportation of illegal aliens is not "</w:t>
      </w:r>
      <w:r>
        <w:rPr>
          <w:rFonts w:ascii="arial" w:eastAsia="arial" w:hAnsi="arial" w:cs="arial"/>
          <w:b/>
          <w:i/>
          <w:strike w:val="0"/>
          <w:noProof w:val="0"/>
          <w:color w:val="000000"/>
          <w:position w:val="0"/>
          <w:sz w:val="20"/>
          <w:u w:val="single"/>
          <w:vertAlign w:val="baseline"/>
        </w:rPr>
        <w:t>alien</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26" w:name="Bookmark_I4J9PD9C0K1MNJ2TT0000400"/>
      <w:bookmarkEnd w:id="26"/>
      <w:r>
        <w:rPr>
          <w:rFonts w:ascii="arial" w:eastAsia="arial" w:hAnsi="arial" w:cs="arial"/>
          <w:b w:val="0"/>
          <w:i w:val="0"/>
          <w:strike w:val="0"/>
          <w:noProof w:val="0"/>
          <w:color w:val="000000"/>
          <w:position w:val="0"/>
          <w:sz w:val="20"/>
          <w:u w:val="none"/>
          <w:vertAlign w:val="baseline"/>
        </w:rPr>
        <w:t xml:space="preserve">He conceded that those contentions were foreclosed by </w:t>
      </w:r>
      <w:bookmarkStart w:id="27" w:name="Bookmark_I4J9PD9C0K1MNJ2TM0000400"/>
      <w:bookmarkEnd w:id="27"/>
      <w:hyperlink r:id="rId18" w:history="1">
        <w:r>
          <w:rPr>
            <w:rFonts w:ascii="arial" w:eastAsia="arial" w:hAnsi="arial" w:cs="arial"/>
            <w:b w:val="0"/>
            <w:i/>
            <w:strike w:val="0"/>
            <w:noProof w:val="0"/>
            <w:color w:val="0077CC"/>
            <w:position w:val="0"/>
            <w:sz w:val="20"/>
            <w:u w:val="single"/>
            <w:vertAlign w:val="baseline"/>
          </w:rPr>
          <w:t>United States v. Sanchez-Garcia</w:t>
        </w:r>
      </w:hyperlink>
      <w:hyperlink r:id="rId18" w:history="1">
        <w:r>
          <w:rPr>
            <w:rFonts w:ascii="arial" w:eastAsia="arial" w:hAnsi="arial" w:cs="arial"/>
            <w:b w:val="0"/>
            <w:i/>
            <w:strike w:val="0"/>
            <w:noProof w:val="0"/>
            <w:color w:val="0077CC"/>
            <w:position w:val="0"/>
            <w:sz w:val="20"/>
            <w:u w:val="single"/>
            <w:vertAlign w:val="baseline"/>
          </w:rPr>
          <w:t>, 319 F.3d 677, 678 (5th Cir. 2003)</w:t>
        </w:r>
      </w:hyperlink>
      <w:r>
        <w:rPr>
          <w:rFonts w:ascii="arial" w:eastAsia="arial" w:hAnsi="arial" w:cs="arial"/>
          <w:b w:val="0"/>
          <w:i w:val="0"/>
          <w:strike w:val="0"/>
          <w:noProof w:val="0"/>
          <w:color w:val="000000"/>
          <w:position w:val="0"/>
          <w:sz w:val="20"/>
          <w:u w:val="none"/>
          <w:vertAlign w:val="baseline"/>
        </w:rPr>
        <w:t xml:space="preserve">, and </w:t>
      </w:r>
      <w:bookmarkStart w:id="28" w:name="Bookmark_I4J9PD9C0K1MNJ2TP0000400"/>
      <w:bookmarkEnd w:id="28"/>
      <w:hyperlink r:id="rId19" w:history="1">
        <w:r>
          <w:rPr>
            <w:rFonts w:ascii="arial" w:eastAsia="arial" w:hAnsi="arial" w:cs="arial"/>
            <w:b w:val="0"/>
            <w:i/>
            <w:strike w:val="0"/>
            <w:noProof w:val="0"/>
            <w:color w:val="0077CC"/>
            <w:position w:val="0"/>
            <w:sz w:val="20"/>
            <w:u w:val="single"/>
            <w:vertAlign w:val="baseline"/>
          </w:rPr>
          <w:t>United States v. Solis-Campozano</w:t>
        </w:r>
      </w:hyperlink>
      <w:hyperlink r:id="rId19" w:history="1">
        <w:r>
          <w:rPr>
            <w:rFonts w:ascii="arial" w:eastAsia="arial" w:hAnsi="arial" w:cs="arial"/>
            <w:b w:val="0"/>
            <w:i/>
            <w:strike w:val="0"/>
            <w:noProof w:val="0"/>
            <w:color w:val="0077CC"/>
            <w:position w:val="0"/>
            <w:sz w:val="20"/>
            <w:u w:val="single"/>
            <w:vertAlign w:val="baseline"/>
          </w:rPr>
          <w:t>, 312 F.3d 164, 167-68 (5th Cir. 2002)</w:t>
        </w:r>
      </w:hyperlink>
      <w:r>
        <w:rPr>
          <w:rFonts w:ascii="arial" w:eastAsia="arial" w:hAnsi="arial" w:cs="arial"/>
          <w:b w:val="0"/>
          <w:i w:val="0"/>
          <w:strike w:val="0"/>
          <w:noProof w:val="0"/>
          <w:color w:val="000000"/>
          <w:position w:val="0"/>
          <w:sz w:val="20"/>
          <w:u w:val="none"/>
          <w:vertAlign w:val="baseline"/>
        </w:rPr>
        <w:t xml:space="preserve">. </w:t>
      </w:r>
      <w:bookmarkStart w:id="29" w:name="Bookmark_I4J9PD9C0K1MNJ2TT0000400_2"/>
      <w:bookmarkEnd w:id="29"/>
      <w:bookmarkStart w:id="30" w:name="Bookmark_I4J9PD9C0K1MNJ2TW0000400"/>
      <w:bookmarkEnd w:id="30"/>
      <w:r>
        <w:rPr>
          <w:rFonts w:ascii="arial" w:eastAsia="arial" w:hAnsi="arial" w:cs="arial"/>
          <w:b w:val="0"/>
          <w:i w:val="0"/>
          <w:strike w:val="0"/>
          <w:noProof w:val="0"/>
          <w:color w:val="000000"/>
          <w:position w:val="0"/>
          <w:sz w:val="20"/>
          <w:u w:val="none"/>
          <w:vertAlign w:val="baseline"/>
        </w:rPr>
        <w:t xml:space="preserve">This court affirmed his sentence. </w:t>
      </w:r>
      <w:bookmarkStart w:id="31" w:name="Bookmark_I02WHRKVG1Y00079PX6000F0"/>
      <w:bookmarkEnd w:id="31"/>
      <w:bookmarkStart w:id="32" w:name="Bookmark_I4J9PD9C0K1MNJ2TY0000400"/>
      <w:bookmarkEnd w:id="32"/>
      <w:bookmarkStart w:id="33" w:name="Bookmark_I4J9PD9C0K1MNJ2TS0000400"/>
      <w:bookmarkEnd w:id="33"/>
      <w:hyperlink r:id="rId11" w:history="1">
        <w:r>
          <w:rPr>
            <w:rFonts w:ascii="arial" w:eastAsia="arial" w:hAnsi="arial" w:cs="arial"/>
            <w:b w:val="0"/>
            <w:i/>
            <w:strike w:val="0"/>
            <w:noProof w:val="0"/>
            <w:color w:val="0077CC"/>
            <w:position w:val="0"/>
            <w:sz w:val="20"/>
            <w:u w:val="single"/>
            <w:vertAlign w:val="baseline"/>
          </w:rPr>
          <w:t>United States v. Loredo-Torres</w:t>
        </w:r>
      </w:hyperlink>
      <w:hyperlink r:id="rId11" w:history="1">
        <w:r>
          <w:rPr>
            <w:rFonts w:ascii="arial" w:eastAsia="arial" w:hAnsi="arial" w:cs="arial"/>
            <w:b w:val="0"/>
            <w:i/>
            <w:strike w:val="0"/>
            <w:noProof w:val="0"/>
            <w:color w:val="0077CC"/>
            <w:position w:val="0"/>
            <w:sz w:val="20"/>
            <w:u w:val="single"/>
            <w:vertAlign w:val="baseline"/>
          </w:rPr>
          <w:t>, 110 Fed. Appx. 445 (5th Cir. 2004)</w:t>
        </w:r>
      </w:hyperlink>
      <w:r>
        <w:rPr>
          <w:rFonts w:ascii="arial" w:eastAsia="arial" w:hAnsi="arial" w:cs="arial"/>
          <w:b w:val="0"/>
          <w:i w:val="0"/>
          <w:strike w:val="0"/>
          <w:noProof w:val="0"/>
          <w:color w:val="000000"/>
          <w:position w:val="0"/>
          <w:sz w:val="20"/>
          <w:u w:val="none"/>
          <w:vertAlign w:val="baseline"/>
        </w:rPr>
        <w:t xml:space="preserve">. </w:t>
      </w:r>
      <w:bookmarkStart w:id="34" w:name="Bookmark_I4J9PD9C0K1MNJ2TY0000400_2"/>
      <w:bookmarkEnd w:id="34"/>
      <w:bookmarkStart w:id="35" w:name="Bookmark_I4J9PD9C0K1MNJ2TW0000400_2"/>
      <w:bookmarkEnd w:id="35"/>
      <w:r>
        <w:rPr>
          <w:rFonts w:ascii="arial" w:eastAsia="arial" w:hAnsi="arial" w:cs="arial"/>
          <w:b w:val="0"/>
          <w:i w:val="0"/>
          <w:strike w:val="0"/>
          <w:noProof w:val="0"/>
          <w:color w:val="000000"/>
          <w:position w:val="0"/>
          <w:sz w:val="20"/>
          <w:u w:val="none"/>
          <w:vertAlign w:val="baseline"/>
        </w:rPr>
        <w:t xml:space="preserve">The Supreme Court vacated and remanded for further consideration in the light of </w:t>
      </w:r>
      <w:bookmarkStart w:id="36" w:name="Bookmark_I4J9PD9C0K1MNJ2TV0000400"/>
      <w:bookmarkEnd w:id="36"/>
      <w:hyperlink r:id="rId20" w:history="1">
        <w:r>
          <w:rPr>
            <w:rFonts w:ascii="arial" w:eastAsia="arial" w:hAnsi="arial" w:cs="arial"/>
            <w:b w:val="0"/>
            <w:i/>
            <w:strike w:val="0"/>
            <w:noProof w:val="0"/>
            <w:color w:val="0077CC"/>
            <w:position w:val="0"/>
            <w:sz w:val="20"/>
            <w:u w:val="single"/>
            <w:vertAlign w:val="baseline"/>
          </w:rPr>
          <w:t>United States v. Booker</w:t>
        </w:r>
      </w:hyperlink>
      <w:hyperlink r:id="rId20"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w:t>
      </w:r>
      <w:bookmarkStart w:id="37" w:name="Bookmark_I4J9PD9C0K1MNJ2TX0000400"/>
      <w:bookmarkEnd w:id="37"/>
      <w:r>
        <w:rPr>
          <w:rFonts w:ascii="arial" w:eastAsia="arial" w:hAnsi="arial" w:cs="arial"/>
          <w:b w:val="0"/>
          <w:i/>
          <w:strike w:val="0"/>
          <w:noProof w:val="0"/>
          <w:color w:val="000000"/>
          <w:position w:val="0"/>
          <w:sz w:val="20"/>
          <w:u w:val="none"/>
          <w:vertAlign w:val="baseline"/>
        </w:rPr>
        <w:t>Loredo-Torres v. United States</w:t>
      </w:r>
      <w:r>
        <w:rPr>
          <w:rFonts w:ascii="arial" w:eastAsia="arial" w:hAnsi="arial" w:cs="arial"/>
          <w:b w:val="0"/>
          <w:i/>
          <w:strike w:val="0"/>
          <w:noProof w:val="0"/>
          <w:color w:val="000000"/>
          <w:position w:val="0"/>
          <w:sz w:val="20"/>
          <w:u w:val="none"/>
          <w:vertAlign w:val="baseline"/>
        </w:rPr>
        <w:t>, 543 U.S. 1182, 125 S. Ct. 1421, 161 L. Ed. 2d 181 (2005)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requested and received supplemental letter briefs addressing the impact of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7"/>
      <w:bookmarkEnd w:id="38"/>
      <w:bookmarkStart w:id="39" w:name="Bookmark_I4J9PD9C0K1MNJ2V10000400"/>
      <w:bookmarkEnd w:id="39"/>
      <w:r>
        <w:rPr>
          <w:rFonts w:ascii="arial" w:eastAsia="arial" w:hAnsi="arial" w:cs="arial"/>
          <w:b w:val="0"/>
          <w:i w:val="0"/>
          <w:strike w:val="0"/>
          <w:noProof w:val="0"/>
          <w:color w:val="000000"/>
          <w:position w:val="0"/>
          <w:sz w:val="20"/>
          <w:u w:val="none"/>
          <w:vertAlign w:val="baseline"/>
        </w:rPr>
        <w:t xml:space="preserve">In his supplemental brief, Loredo-Torres argues that we should pretermit the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issue and remand on the ground that the Supreme Court's decision in </w:t>
      </w:r>
      <w:bookmarkStart w:id="40" w:name="Bookmark_I4J9PD9C0K1MNJ2V00000400"/>
      <w:bookmarkEnd w:id="40"/>
      <w:hyperlink r:id="rId21" w:history="1">
        <w:r>
          <w:rPr>
            <w:rFonts w:ascii="arial" w:eastAsia="arial" w:hAnsi="arial" w:cs="arial"/>
            <w:b w:val="0"/>
            <w:i/>
            <w:strike w:val="0"/>
            <w:noProof w:val="0"/>
            <w:color w:val="0077CC"/>
            <w:position w:val="0"/>
            <w:sz w:val="20"/>
            <w:u w:val="single"/>
            <w:vertAlign w:val="baseline"/>
          </w:rPr>
          <w:t>Shepard v. United States</w:t>
        </w:r>
      </w:hyperlink>
      <w:hyperlink r:id="rId21" w:history="1">
        <w:r>
          <w:rPr>
            <w:rFonts w:ascii="arial" w:eastAsia="arial" w:hAnsi="arial" w:cs="arial"/>
            <w:b w:val="0"/>
            <w:i/>
            <w:strike w:val="0"/>
            <w:noProof w:val="0"/>
            <w:color w:val="0077CC"/>
            <w:position w:val="0"/>
            <w:sz w:val="20"/>
            <w:u w:val="single"/>
            <w:vertAlign w:val="baseline"/>
          </w:rPr>
          <w:t>, 544 U.S. 13, 125 S. Ct. 1254, 161 L. Ed. 2d 205 (2005)</w:t>
        </w:r>
      </w:hyperlink>
      <w:r>
        <w:rPr>
          <w:rFonts w:ascii="arial" w:eastAsia="arial" w:hAnsi="arial" w:cs="arial"/>
          <w:b w:val="0"/>
          <w:i w:val="0"/>
          <w:strike w:val="0"/>
          <w:noProof w:val="0"/>
          <w:color w:val="000000"/>
          <w:position w:val="0"/>
          <w:sz w:val="20"/>
          <w:u w:val="none"/>
          <w:vertAlign w:val="baseline"/>
        </w:rPr>
        <w:t xml:space="preserve">, establishes that the district court misapplied the Guidelines when it enhanced his sentence pursuant to </w:t>
      </w:r>
      <w:hyperlink r:id="rId17" w:history="1">
        <w:r>
          <w:rPr>
            <w:rFonts w:ascii="arial" w:eastAsia="arial" w:hAnsi="arial" w:cs="arial"/>
            <w:b w:val="0"/>
            <w:i/>
            <w:strike w:val="0"/>
            <w:noProof w:val="0"/>
            <w:color w:val="0077CC"/>
            <w:position w:val="0"/>
            <w:sz w:val="20"/>
            <w:u w:val="single"/>
            <w:vertAlign w:val="baseline"/>
          </w:rPr>
          <w:t>U.S.S.G. § 2L1.2(b)(1)(A)(vii)</w:t>
        </w:r>
      </w:hyperlink>
      <w:r>
        <w:rPr>
          <w:rFonts w:ascii="arial" w:eastAsia="arial" w:hAnsi="arial" w:cs="arial"/>
          <w:b w:val="0"/>
          <w:i w:val="0"/>
          <w:strike w:val="0"/>
          <w:noProof w:val="0"/>
          <w:color w:val="000000"/>
          <w:position w:val="0"/>
          <w:sz w:val="20"/>
          <w:u w:val="none"/>
          <w:vertAlign w:val="baseline"/>
        </w:rPr>
        <w:t xml:space="preserve"> based on his prior conviction for illegal transportation of aliens. The cases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cited by Loredo-Torres in support of this contention are distinguishable, because none of them were remanded by the Supreme Court for further consideration in the light of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w:t>
      </w:r>
      <w:bookmarkStart w:id="41" w:name="Bookmark_I4J9PD9C0K1MNJ2V30000400"/>
      <w:bookmarkEnd w:id="41"/>
      <w:r>
        <w:rPr>
          <w:rFonts w:ascii="arial" w:eastAsia="arial" w:hAnsi="arial" w:cs="arial"/>
          <w:b w:val="0"/>
          <w:i w:val="0"/>
          <w:strike w:val="0"/>
          <w:noProof w:val="0"/>
          <w:color w:val="000000"/>
          <w:position w:val="0"/>
          <w:sz w:val="20"/>
          <w:u w:val="none"/>
          <w:vertAlign w:val="baseline"/>
        </w:rPr>
        <w:t xml:space="preserve">The Supreme Court remanded Loredo-Torres's case for the specific purpose of further consideration in the light of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w:t>
      </w:r>
      <w:bookmarkStart w:id="42" w:name="Bookmark_I4J9PD9C0K1MNJ2V30000400_2"/>
      <w:bookmarkEnd w:id="42"/>
      <w:bookmarkStart w:id="43" w:name="Bookmark_LNHNREFclscc1"/>
      <w:bookmarkEnd w:id="43"/>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When a case is remanded to this court from the Supreme Court with specific instructions, this court must confine its review to the limitations established by the Supreme Court's remand order. </w:t>
      </w:r>
      <w:r>
        <w:rPr>
          <w:rFonts w:ascii="arial" w:eastAsia="arial" w:hAnsi="arial" w:cs="arial"/>
          <w:b w:val="0"/>
          <w:i/>
          <w:strike w:val="0"/>
          <w:noProof w:val="0"/>
          <w:color w:val="000000"/>
          <w:position w:val="0"/>
          <w:sz w:val="20"/>
          <w:u w:val="none"/>
          <w:vertAlign w:val="baseline"/>
        </w:rPr>
        <w:t xml:space="preserve">See </w:t>
      </w:r>
      <w:bookmarkStart w:id="44" w:name="Bookmark_I4J9PD9C0K1MNJ2V20000400"/>
      <w:bookmarkEnd w:id="44"/>
      <w:hyperlink r:id="rId24" w:history="1">
        <w:r>
          <w:rPr>
            <w:rFonts w:ascii="arial" w:eastAsia="arial" w:hAnsi="arial" w:cs="arial"/>
            <w:b w:val="0"/>
            <w:i/>
            <w:strike w:val="0"/>
            <w:noProof w:val="0"/>
            <w:color w:val="0077CC"/>
            <w:position w:val="0"/>
            <w:sz w:val="20"/>
            <w:u w:val="single"/>
            <w:vertAlign w:val="baseline"/>
          </w:rPr>
          <w:t>Gradsky v. United States</w:t>
        </w:r>
      </w:hyperlink>
      <w:hyperlink r:id="rId24" w:history="1">
        <w:r>
          <w:rPr>
            <w:rFonts w:ascii="arial" w:eastAsia="arial" w:hAnsi="arial" w:cs="arial"/>
            <w:b w:val="0"/>
            <w:i/>
            <w:strike w:val="0"/>
            <w:noProof w:val="0"/>
            <w:color w:val="0077CC"/>
            <w:position w:val="0"/>
            <w:sz w:val="20"/>
            <w:u w:val="single"/>
            <w:vertAlign w:val="baseline"/>
          </w:rPr>
          <w:t>, 376 F.2d 993, 996 (5th Cir. 1967)</w:t>
        </w:r>
      </w:hyperlink>
      <w:r>
        <w:rPr>
          <w:rFonts w:ascii="arial" w:eastAsia="arial" w:hAnsi="arial" w:cs="arial"/>
          <w:b w:val="0"/>
          <w:i w:val="0"/>
          <w:strike w:val="0"/>
          <w:noProof w:val="0"/>
          <w:color w:val="000000"/>
          <w:position w:val="0"/>
          <w:sz w:val="20"/>
          <w:u w:val="none"/>
          <w:vertAlign w:val="baseline"/>
        </w:rPr>
        <w:t xml:space="preserve"> ("Except that which we are mandated to review, our previous rulings are the law of the case and will not now be reconsidered."); </w:t>
      </w:r>
      <w:bookmarkStart w:id="45" w:name="Bookmark_I4J9PD9C0K1MNJ2V40000400"/>
      <w:bookmarkEnd w:id="45"/>
      <w:hyperlink r:id="rId25" w:history="1">
        <w:r>
          <w:rPr>
            <w:rFonts w:ascii="arial" w:eastAsia="arial" w:hAnsi="arial" w:cs="arial"/>
            <w:b w:val="0"/>
            <w:i/>
            <w:strike w:val="0"/>
            <w:noProof w:val="0"/>
            <w:color w:val="0077CC"/>
            <w:position w:val="0"/>
            <w:sz w:val="20"/>
            <w:u w:val="single"/>
            <w:vertAlign w:val="baseline"/>
          </w:rPr>
          <w:t>United States v. Lee II</w:t>
        </w:r>
      </w:hyperlink>
      <w:hyperlink r:id="rId25" w:history="1">
        <w:r>
          <w:rPr>
            <w:rFonts w:ascii="arial" w:eastAsia="arial" w:hAnsi="arial" w:cs="arial"/>
            <w:b w:val="0"/>
            <w:i/>
            <w:strike w:val="0"/>
            <w:noProof w:val="0"/>
            <w:color w:val="0077CC"/>
            <w:position w:val="0"/>
            <w:sz w:val="20"/>
            <w:u w:val="single"/>
            <w:vertAlign w:val="baseline"/>
          </w:rPr>
          <w:t>, 358 F.3d 315, 321 (5th Cir. 2004)</w:t>
        </w:r>
      </w:hyperlink>
      <w:r>
        <w:rPr>
          <w:rFonts w:ascii="arial" w:eastAsia="arial" w:hAnsi="arial" w:cs="arial"/>
          <w:b w:val="0"/>
          <w:i w:val="0"/>
          <w:strike w:val="0"/>
          <w:noProof w:val="0"/>
          <w:color w:val="000000"/>
          <w:position w:val="0"/>
          <w:sz w:val="20"/>
          <w:u w:val="none"/>
          <w:vertAlign w:val="baseline"/>
        </w:rPr>
        <w:t xml:space="preserve"> ("Absent exceptional circumstances, the mandate rule compels compliance on remand with the dictates of a superior court and forecloses relitigation of issues expressly or impliedly decided by the appellate court.").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Loredo-Torres's arguments regarding the misapplication of the guidelines </w:t>
      </w:r>
      <w:r>
        <w:rPr>
          <w:rFonts w:ascii="arial" w:eastAsia="arial" w:hAnsi="arial" w:cs="arial"/>
          <w:b/>
          <w:i w:val="0"/>
          <w:strike w:val="0"/>
          <w:noProof w:val="0"/>
          <w:color w:val="000000"/>
          <w:position w:val="0"/>
          <w:sz w:val="20"/>
          <w:u w:val="none"/>
          <w:vertAlign w:val="baseline"/>
        </w:rPr>
        <w:t> [*525] </w:t>
      </w:r>
      <w:r>
        <w:rPr>
          <w:rFonts w:ascii="arial" w:eastAsia="arial" w:hAnsi="arial" w:cs="arial"/>
          <w:b w:val="0"/>
          <w:i w:val="0"/>
          <w:strike w:val="0"/>
          <w:noProof w:val="0"/>
          <w:color w:val="000000"/>
          <w:position w:val="0"/>
          <w:sz w:val="20"/>
          <w:u w:val="none"/>
          <w:vertAlign w:val="baseline"/>
        </w:rPr>
        <w:t xml:space="preserve"> are beyond the scope of the Supreme Court's remand and we will not consider them.</w:t>
      </w:r>
    </w:p>
    <w:p>
      <w:pPr>
        <w:keepNext w:val="0"/>
        <w:spacing w:before="240" w:after="0" w:line="260" w:lineRule="atLeast"/>
        <w:ind w:left="0" w:right="0" w:firstLine="0"/>
        <w:jc w:val="both"/>
      </w:pPr>
      <w:bookmarkStart w:id="47" w:name="Bookmark_para_8"/>
      <w:bookmarkEnd w:id="47"/>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48" w:name="Bookmark_I4J9PD9C0K1MNJ2V90000400"/>
      <w:bookmarkEnd w:id="48"/>
      <w:r>
        <w:rPr>
          <w:rFonts w:ascii="arial" w:eastAsia="arial" w:hAnsi="arial" w:cs="arial"/>
          <w:b w:val="0"/>
          <w:i w:val="0"/>
          <w:strike w:val="0"/>
          <w:noProof w:val="0"/>
          <w:color w:val="000000"/>
          <w:position w:val="0"/>
          <w:sz w:val="20"/>
          <w:u w:val="none"/>
          <w:vertAlign w:val="baseline"/>
        </w:rPr>
        <w:t xml:space="preserve">Loredo-Torres also contends that there was error under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because he was sentenced under the assumption of a mandatory Guidelines system.</w:t>
      </w:r>
      <w:bookmarkStart w:id="49" w:name="Bookmark_I4J9PD9C0K1MNJ2V70000400"/>
      <w:bookmarkEnd w:id="49"/>
      <w:bookmarkStart w:id="50" w:name="Bookmark_I4J9PD9C0K1MNJ2V90000400_2"/>
      <w:bookmarkEnd w:id="5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He raised this issue for the first time in his petition for writ of certiorari. </w:t>
      </w:r>
      <w:bookmarkStart w:id="54" w:name="Bookmark_LNHNREFclscc2"/>
      <w:bookmarkEnd w:id="54"/>
      <w:hyperlink r:id="rId26"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This court recently held that, in the absence of extraordinary circumstances, the court will not consider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-related arguments raised for the first time in a petition for a writ of certiorari. </w:t>
      </w:r>
      <w:bookmarkStart w:id="55" w:name="Bookmark_I4J9PD9C0K1MNJ2V60000400"/>
      <w:bookmarkEnd w:id="55"/>
      <w:hyperlink r:id="rId27" w:history="1">
        <w:r>
          <w:rPr>
            <w:rFonts w:ascii="arial" w:eastAsia="arial" w:hAnsi="arial" w:cs="arial"/>
            <w:b w:val="0"/>
            <w:i/>
            <w:strike w:val="0"/>
            <w:noProof w:val="0"/>
            <w:color w:val="0077CC"/>
            <w:position w:val="0"/>
            <w:sz w:val="20"/>
            <w:u w:val="single"/>
            <w:vertAlign w:val="baseline"/>
          </w:rPr>
          <w:t>United States v. Taylor</w:t>
        </w:r>
      </w:hyperlink>
      <w:hyperlink r:id="rId27" w:history="1">
        <w:r>
          <w:rPr>
            <w:rFonts w:ascii="arial" w:eastAsia="arial" w:hAnsi="arial" w:cs="arial"/>
            <w:b w:val="0"/>
            <w:i/>
            <w:strike w:val="0"/>
            <w:noProof w:val="0"/>
            <w:color w:val="0077CC"/>
            <w:position w:val="0"/>
            <w:sz w:val="20"/>
            <w:u w:val="single"/>
            <w:vertAlign w:val="baseline"/>
          </w:rPr>
          <w:t>, 409 F.3d 675, 2005 WL 1155245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9"/>
      <w:bookmarkEnd w:id="56"/>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57" w:name="Bookmark_I4J9PD9C0K1MNJ2VF0000400"/>
      <w:bookmarkEnd w:id="57"/>
      <w:bookmarkStart w:id="58" w:name="Bookmark_LNHNREFclscc3"/>
      <w:bookmarkEnd w:id="58"/>
      <w:hyperlink r:id="rId2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Because Loredo-Torres did not raise his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-related arguments in the district court, we would have reviewed them for plain error had he raised them for the first time on direct appeal. </w:t>
      </w:r>
      <w:bookmarkStart w:id="59" w:name="Bookmark_I4J9PD9C0K1MNJ2VD0000400"/>
      <w:bookmarkEnd w:id="59"/>
      <w:hyperlink r:id="rId29" w:history="1">
        <w:r>
          <w:rPr>
            <w:rFonts w:ascii="arial" w:eastAsia="arial" w:hAnsi="arial" w:cs="arial"/>
            <w:b w:val="0"/>
            <w:i/>
            <w:strike w:val="0"/>
            <w:noProof w:val="0"/>
            <w:color w:val="0077CC"/>
            <w:position w:val="0"/>
            <w:sz w:val="20"/>
            <w:u w:val="single"/>
            <w:vertAlign w:val="baseline"/>
          </w:rPr>
          <w:t>United States v. Mares</w:t>
        </w:r>
      </w:hyperlink>
      <w:hyperlink r:id="rId29" w:history="1">
        <w:r>
          <w:rPr>
            <w:rFonts w:ascii="arial" w:eastAsia="arial" w:hAnsi="arial" w:cs="arial"/>
            <w:b w:val="0"/>
            <w:i/>
            <w:strike w:val="0"/>
            <w:noProof w:val="0"/>
            <w:color w:val="0077CC"/>
            <w:position w:val="0"/>
            <w:sz w:val="20"/>
            <w:u w:val="single"/>
            <w:vertAlign w:val="baseline"/>
          </w:rPr>
          <w:t>, 402 F.3d 511, 520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126 S. Ct. 43, 163 L. Ed. 2d 76 (2005)</w:t>
      </w:r>
      <w:r>
        <w:rPr>
          <w:rFonts w:ascii="arial" w:eastAsia="arial" w:hAnsi="arial" w:cs="arial"/>
          <w:b w:val="0"/>
          <w:i w:val="0"/>
          <w:strike w:val="0"/>
          <w:noProof w:val="0"/>
          <w:color w:val="000000"/>
          <w:position w:val="0"/>
          <w:sz w:val="20"/>
          <w:u w:val="none"/>
          <w:vertAlign w:val="baseline"/>
        </w:rPr>
        <w:t xml:space="preserve">. </w:t>
      </w:r>
      <w:bookmarkStart w:id="60" w:name="Bookmark_I02WHRKVRP700079PX6000F2"/>
      <w:bookmarkEnd w:id="60"/>
      <w:bookmarkStart w:id="61" w:name="Bookmark_I4J9PD9C0K1MNJ2VP0000400"/>
      <w:bookmarkEnd w:id="61"/>
      <w:r>
        <w:rPr>
          <w:rFonts w:ascii="arial" w:eastAsia="arial" w:hAnsi="arial" w:cs="arial"/>
          <w:b w:val="0"/>
          <w:i w:val="0"/>
          <w:strike w:val="0"/>
          <w:noProof w:val="0"/>
          <w:color w:val="000000"/>
          <w:position w:val="0"/>
          <w:sz w:val="20"/>
          <w:u w:val="none"/>
          <w:vertAlign w:val="baseline"/>
        </w:rPr>
        <w:t xml:space="preserve">There is no plain error because, as Loredo Torres concedes, there is no evidence in the record indicating that the district court would have imposed a lesser sentence under advisory sentencing guidelines. </w:t>
      </w:r>
      <w:bookmarkStart w:id="62" w:name="Bookmark_I4J9PD9C0K1MNJ2VP0000400_2"/>
      <w:bookmarkEnd w:id="62"/>
      <w:r>
        <w:rPr>
          <w:rFonts w:ascii="arial" w:eastAsia="arial" w:hAnsi="arial" w:cs="arial"/>
          <w:b w:val="0"/>
          <w:i w:val="0"/>
          <w:strike w:val="0"/>
          <w:noProof w:val="0"/>
          <w:color w:val="000000"/>
          <w:position w:val="0"/>
          <w:sz w:val="20"/>
          <w:u w:val="none"/>
          <w:vertAlign w:val="baseline"/>
        </w:rPr>
        <w:t xml:space="preserve">Because Loredo-Torres has not shown plain error, he cannot satisfy "the much more demanding standard for extraordinary circumstances, warranting review of an issue raised for the first time in a petition for certiorari". </w:t>
      </w:r>
      <w:bookmarkStart w:id="63" w:name="Bookmark_I4J9PD9C0K1MNJ2VG0000400"/>
      <w:bookmarkEnd w:id="63"/>
      <w:hyperlink r:id="rId27" w:history="1">
        <w:r>
          <w:rPr>
            <w:rFonts w:ascii="arial" w:eastAsia="arial" w:hAnsi="arial" w:cs="arial"/>
            <w:b w:val="0"/>
            <w:i/>
            <w:strike w:val="0"/>
            <w:noProof w:val="0"/>
            <w:color w:val="0077CC"/>
            <w:position w:val="0"/>
            <w:sz w:val="20"/>
            <w:u w:val="single"/>
            <w:vertAlign w:val="baseline"/>
          </w:rPr>
          <w:t>Taylor</w:t>
        </w:r>
      </w:hyperlink>
      <w:hyperlink r:id="rId27" w:history="1">
        <w:r>
          <w:rPr>
            <w:rFonts w:ascii="arial" w:eastAsia="arial" w:hAnsi="arial" w:cs="arial"/>
            <w:b w:val="0"/>
            <w:i/>
            <w:strike w:val="0"/>
            <w:noProof w:val="0"/>
            <w:color w:val="0077CC"/>
            <w:position w:val="0"/>
            <w:sz w:val="20"/>
            <w:u w:val="single"/>
            <w:vertAlign w:val="baseline"/>
          </w:rPr>
          <w:t>, 409 F.3d 675, 2005 WL 1155245, at *1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0"/>
      <w:bookmarkEnd w:id="64"/>
      <w:r>
        <w:rPr>
          <w:rFonts w:ascii="arial" w:eastAsia="arial" w:hAnsi="arial" w:cs="arial"/>
          <w:b w:val="0"/>
          <w:i w:val="0"/>
          <w:strike w:val="0"/>
          <w:noProof w:val="0"/>
          <w:color w:val="000000"/>
          <w:position w:val="0"/>
          <w:sz w:val="20"/>
          <w:u w:val="none"/>
          <w:vertAlign w:val="baseline"/>
        </w:rPr>
        <w:t xml:space="preserve">For the foregoing reasons, we conclude that nothing in the Supreme Court's </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xml:space="preserve"> decision requires us to change our prior affirmance in this case. We therefore reinstate our judgment affirming Loredo-Torres's conviction and sentence.</w:t>
      </w:r>
    </w:p>
    <w:p>
      <w:pPr>
        <w:keepNext w:val="0"/>
        <w:spacing w:before="200" w:after="0" w:line="260" w:lineRule="atLeast"/>
        <w:ind w:left="0" w:right="0" w:firstLine="0"/>
        <w:jc w:val="both"/>
      </w:pPr>
      <w:bookmarkStart w:id="65" w:name="Bookmark_para_11"/>
      <w:bookmarkEnd w:id="65"/>
      <w:r>
        <w:rPr>
          <w:rFonts w:ascii="arial" w:eastAsia="arial" w:hAnsi="arial" w:cs="arial"/>
          <w:b w:val="0"/>
          <w:i w:val="0"/>
          <w:strike w:val="0"/>
          <w:noProof w:val="0"/>
          <w:color w:val="000000"/>
          <w:position w:val="0"/>
          <w:sz w:val="20"/>
          <w:u w:val="none"/>
          <w:vertAlign w:val="baseline"/>
        </w:rPr>
        <w:t xml:space="preserve">JUDGMENT REINSTATED.  </w:t>
      </w:r>
    </w:p>
    <w:p/>
    <w:p>
      <w:pPr>
        <w:ind w:left="200"/>
      </w:pPr>
      <w:r>
        <w:br/>
      </w:r>
      <w:r>
        <w:pict>
          <v:line id="_x0000_s103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Pursuant to 5TH CIR. R. 47.5, the Court has determined that this opinion should not be published and is not precedent except under the limited circumstances set forth in 5TH CIR. R. 47.5.4.</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6" w:name="Bookmark_fnpara_2"/>
      <w:bookmarkEnd w:id="46"/>
      <w:r>
        <w:rPr>
          <w:rFonts w:ascii="arial" w:eastAsia="arial" w:hAnsi="arial" w:cs="arial"/>
          <w:b w:val="0"/>
          <w:i w:val="0"/>
          <w:strike w:val="0"/>
          <w:noProof w:val="0"/>
          <w:color w:val="000000"/>
          <w:position w:val="0"/>
          <w:sz w:val="18"/>
          <w:u w:val="none"/>
          <w:vertAlign w:val="baseline"/>
        </w:rPr>
        <w:t xml:space="preserve">The Government notes that Loredo-Torres referred to the "forthcoming Supreme Court decision in </w:t>
      </w:r>
      <w:r>
        <w:rPr>
          <w:rFonts w:ascii="arial" w:eastAsia="arial" w:hAnsi="arial" w:cs="arial"/>
          <w:b w:val="0"/>
          <w:i/>
          <w:strike w:val="0"/>
          <w:noProof w:val="0"/>
          <w:color w:val="000000"/>
          <w:position w:val="0"/>
          <w:sz w:val="18"/>
          <w:u w:val="none"/>
          <w:vertAlign w:val="baseline"/>
        </w:rPr>
        <w:t>Shepard</w:t>
      </w:r>
      <w:r>
        <w:rPr>
          <w:rFonts w:ascii="arial" w:eastAsia="arial" w:hAnsi="arial" w:cs="arial"/>
          <w:b w:val="0"/>
          <w:i w:val="0"/>
          <w:strike w:val="0"/>
          <w:noProof w:val="0"/>
          <w:color w:val="000000"/>
          <w:position w:val="0"/>
          <w:sz w:val="18"/>
          <w:u w:val="none"/>
          <w:vertAlign w:val="baseline"/>
        </w:rPr>
        <w:t xml:space="preserve">" in his petition for writ of certiorari. Because the Supreme Court's order in this case was issued on February 28, 2005, and the </w:t>
      </w:r>
      <w:r>
        <w:rPr>
          <w:rFonts w:ascii="arial" w:eastAsia="arial" w:hAnsi="arial" w:cs="arial"/>
          <w:b w:val="0"/>
          <w:i/>
          <w:strike w:val="0"/>
          <w:noProof w:val="0"/>
          <w:color w:val="000000"/>
          <w:position w:val="0"/>
          <w:sz w:val="18"/>
          <w:u w:val="none"/>
          <w:vertAlign w:val="baseline"/>
        </w:rPr>
        <w:t>Shepard</w:t>
      </w:r>
      <w:r>
        <w:rPr>
          <w:rFonts w:ascii="arial" w:eastAsia="arial" w:hAnsi="arial" w:cs="arial"/>
          <w:b w:val="0"/>
          <w:i w:val="0"/>
          <w:strike w:val="0"/>
          <w:noProof w:val="0"/>
          <w:color w:val="000000"/>
          <w:position w:val="0"/>
          <w:sz w:val="18"/>
          <w:u w:val="none"/>
          <w:vertAlign w:val="baseline"/>
        </w:rPr>
        <w:t xml:space="preserve"> decision was issued on March 7, the Government, maintains that the Court had to have been aware of the issue in </w:t>
      </w:r>
      <w:r>
        <w:rPr>
          <w:rFonts w:ascii="arial" w:eastAsia="arial" w:hAnsi="arial" w:cs="arial"/>
          <w:b w:val="0"/>
          <w:i/>
          <w:strike w:val="0"/>
          <w:noProof w:val="0"/>
          <w:color w:val="000000"/>
          <w:position w:val="0"/>
          <w:sz w:val="18"/>
          <w:u w:val="none"/>
          <w:vertAlign w:val="baseline"/>
        </w:rPr>
        <w:t>Shepard</w:t>
      </w:r>
      <w:r>
        <w:rPr>
          <w:rFonts w:ascii="arial" w:eastAsia="arial" w:hAnsi="arial" w:cs="arial"/>
          <w:b w:val="0"/>
          <w:i w:val="0"/>
          <w:strike w:val="0"/>
          <w:noProof w:val="0"/>
          <w:color w:val="000000"/>
          <w:position w:val="0"/>
          <w:sz w:val="18"/>
          <w:u w:val="none"/>
          <w:vertAlign w:val="baseline"/>
        </w:rPr>
        <w:t xml:space="preserve"> when it issued the mandate in this case.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1" w:name="Bookmark_fnpara_3"/>
      <w:bookmarkEnd w:id="51"/>
      <w:r>
        <w:rPr>
          <w:rFonts w:ascii="arial" w:eastAsia="arial" w:hAnsi="arial" w:cs="arial"/>
          <w:b w:val="0"/>
          <w:i w:val="0"/>
          <w:strike w:val="0"/>
          <w:noProof w:val="0"/>
          <w:color w:val="000000"/>
          <w:position w:val="0"/>
          <w:sz w:val="18"/>
          <w:u w:val="none"/>
          <w:vertAlign w:val="baseline"/>
        </w:rPr>
        <w:t xml:space="preserve">Loredo-Torres acknowledges that the following issues are foreclosed by our precedent, but raises them to preserve them for further Supreme Court review: (1) that </w:t>
      </w:r>
      <w:r>
        <w:rPr>
          <w:rFonts w:ascii="arial" w:eastAsia="arial" w:hAnsi="arial" w:cs="arial"/>
          <w:b w:val="0"/>
          <w:i/>
          <w:strike w:val="0"/>
          <w:noProof w:val="0"/>
          <w:color w:val="000000"/>
          <w:position w:val="0"/>
          <w:sz w:val="18"/>
          <w:u w:val="none"/>
          <w:vertAlign w:val="baseline"/>
        </w:rPr>
        <w:t>Booker</w:t>
      </w:r>
      <w:r>
        <w:rPr>
          <w:rFonts w:ascii="arial" w:eastAsia="arial" w:hAnsi="arial" w:cs="arial"/>
          <w:b w:val="0"/>
          <w:i w:val="0"/>
          <w:strike w:val="0"/>
          <w:noProof w:val="0"/>
          <w:color w:val="000000"/>
          <w:position w:val="0"/>
          <w:sz w:val="18"/>
          <w:u w:val="none"/>
          <w:vertAlign w:val="baseline"/>
        </w:rPr>
        <w:t xml:space="preserve"> error is structural, or at least presumptively prejudicial, thus obviating the need for a specific showing of prejudice; and (2) that this court's decision in </w:t>
      </w:r>
      <w:bookmarkStart w:id="52" w:name="Bookmark_I4J9PD9C0K1MNJ2V80000400"/>
      <w:bookmarkEnd w:id="52"/>
      <w:hyperlink r:id="rId1" w:history="1">
        <w:r>
          <w:rPr>
            <w:rFonts w:ascii="arial" w:eastAsia="arial" w:hAnsi="arial" w:cs="arial"/>
            <w:b w:val="0"/>
            <w:i/>
            <w:strike w:val="0"/>
            <w:noProof w:val="0"/>
            <w:color w:val="0077CC"/>
            <w:position w:val="0"/>
            <w:sz w:val="18"/>
            <w:u w:val="single"/>
            <w:vertAlign w:val="baseline"/>
          </w:rPr>
          <w:t>United States v. Bringier</w:t>
        </w:r>
      </w:hyperlink>
      <w:hyperlink r:id="rId1" w:history="1">
        <w:r>
          <w:rPr>
            <w:rFonts w:ascii="arial" w:eastAsia="arial" w:hAnsi="arial" w:cs="arial"/>
            <w:b w:val="0"/>
            <w:i/>
            <w:strike w:val="0"/>
            <w:noProof w:val="0"/>
            <w:color w:val="0077CC"/>
            <w:position w:val="0"/>
            <w:sz w:val="18"/>
            <w:u w:val="single"/>
            <w:vertAlign w:val="baseline"/>
          </w:rPr>
          <w:t>, 405 F.3d 310 (5th Cir.)</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126 S. Ct. 264, 163 L. Ed. 2d 238 (2005)</w:t>
      </w:r>
      <w:r>
        <w:rPr>
          <w:rFonts w:ascii="arial" w:eastAsia="arial" w:hAnsi="arial" w:cs="arial"/>
          <w:b w:val="0"/>
          <w:i w:val="0"/>
          <w:strike w:val="0"/>
          <w:noProof w:val="0"/>
          <w:color w:val="000000"/>
          <w:position w:val="0"/>
          <w:sz w:val="18"/>
          <w:u w:val="none"/>
          <w:vertAlign w:val="baseline"/>
        </w:rPr>
        <w:t xml:space="preserve">, is inconsistent with (because it is more stringent than) the reasonable probability standard announced in </w:t>
      </w:r>
      <w:bookmarkStart w:id="53" w:name="Bookmark_I4J9PD9C0K1MNJ2VB0000400"/>
      <w:bookmarkEnd w:id="53"/>
      <w:hyperlink r:id="rId2" w:history="1">
        <w:r>
          <w:rPr>
            <w:rFonts w:ascii="arial" w:eastAsia="arial" w:hAnsi="arial" w:cs="arial"/>
            <w:b w:val="0"/>
            <w:i/>
            <w:strike w:val="0"/>
            <w:noProof w:val="0"/>
            <w:color w:val="0077CC"/>
            <w:position w:val="0"/>
            <w:sz w:val="18"/>
            <w:u w:val="single"/>
            <w:vertAlign w:val="baseline"/>
          </w:rPr>
          <w:t>United States v. Dominguez-Benitez</w:t>
        </w:r>
      </w:hyperlink>
      <w:hyperlink r:id="rId2" w:history="1">
        <w:r>
          <w:rPr>
            <w:rFonts w:ascii="arial" w:eastAsia="arial" w:hAnsi="arial" w:cs="arial"/>
            <w:b w:val="0"/>
            <w:i/>
            <w:strike w:val="0"/>
            <w:noProof w:val="0"/>
            <w:color w:val="0077CC"/>
            <w:position w:val="0"/>
            <w:sz w:val="18"/>
            <w:u w:val="single"/>
            <w:vertAlign w:val="baseline"/>
          </w:rPr>
          <w:t>, 542 U.S. 74, 124 S. Ct. 2333, 159 L. Ed. 2d 157 (2004)</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Loredo-Torres, 164 Fed. Appx. 523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K2R-J9N0-0060-8156-00000-00&amp;context=1519360" TargetMode="External" /><Relationship Id="rId11" Type="http://schemas.openxmlformats.org/officeDocument/2006/relationships/hyperlink" Target="https://advance.lexis.com/api/document?collection=cases&amp;id=urn:contentItem:4DKV-MPN0-0038-X43X-00000-00&amp;context=1519360" TargetMode="External" /><Relationship Id="rId12" Type="http://schemas.openxmlformats.org/officeDocument/2006/relationships/hyperlink" Target="https://advance.lexis.com/api/document?collection=cases&amp;id=urn:contentItem:4J55-7VB0-0038-X2WW-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cases&amp;id=urn:contentItem:4J55-7VB0-0038-X2WW-00000-00&amp;context=1519360&amp;link=LNHNREFclscc2" TargetMode="External" /><Relationship Id="rId15" Type="http://schemas.openxmlformats.org/officeDocument/2006/relationships/hyperlink" Target="https://advance.lexis.com/api/document?collection=cases&amp;id=urn:contentItem:4J55-7VB0-0038-X2WW-00000-00&amp;context=1519360&amp;link=LNHNREFclscc3" TargetMode="External" /><Relationship Id="rId16" Type="http://schemas.openxmlformats.org/officeDocument/2006/relationships/hyperlink" Target="https://advance.lexis.com/api/document?collection=statutes-legislation&amp;id=urn:contentItem:8S6M-T0S2-D6RV-H4B0-00000-00&amp;context=1519360" TargetMode="External" /><Relationship Id="rId17" Type="http://schemas.openxmlformats.org/officeDocument/2006/relationships/hyperlink" Target="https://advance.lexis.com/api/document?collection=statutes-legislation&amp;id=urn:contentItem:69KS-0WY3-S13X-P1SR-00000-00&amp;context=1519360" TargetMode="External" /><Relationship Id="rId18" Type="http://schemas.openxmlformats.org/officeDocument/2006/relationships/hyperlink" Target="https://advance.lexis.com/api/document?collection=cases&amp;id=urn:contentItem:47S6-6JH0-0038-X0F1-00000-00&amp;context=1519360" TargetMode="External" /><Relationship Id="rId19" Type="http://schemas.openxmlformats.org/officeDocument/2006/relationships/hyperlink" Target="https://advance.lexis.com/api/document?collection=cases&amp;id=urn:contentItem:476T-GRG0-0038-X4C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F7G-DMF0-004C-100C-00000-00&amp;context=1519360" TargetMode="External" /><Relationship Id="rId21" Type="http://schemas.openxmlformats.org/officeDocument/2006/relationships/hyperlink" Target="https://advance.lexis.com/api/document?collection=cases&amp;id=urn:contentItem:4FN0-M4C0-004C-000S-00000-00&amp;context=1519360" TargetMode="External" /><Relationship Id="rId22" Type="http://schemas.openxmlformats.org/officeDocument/2006/relationships/hyperlink" Target="https://advance.lexis.com/api/document?collection=cases&amp;id=urn:contentItem:4J55-7VB0-0038-X2WW-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3S4W-XD00-0039-Y558-00000-00&amp;context=1519360" TargetMode="External" /><Relationship Id="rId25" Type="http://schemas.openxmlformats.org/officeDocument/2006/relationships/hyperlink" Target="https://advance.lexis.com/api/document?collection=cases&amp;id=urn:contentItem:4BHB-VMT0-0038-X1PN-00000-00&amp;context=1519360" TargetMode="External" /><Relationship Id="rId26" Type="http://schemas.openxmlformats.org/officeDocument/2006/relationships/hyperlink" Target="https://advance.lexis.com/api/document?collection=cases&amp;id=urn:contentItem:4J55-7VB0-0038-X2WW-00000-00&amp;context=1519360&amp;link=clscc2" TargetMode="External" /><Relationship Id="rId27" Type="http://schemas.openxmlformats.org/officeDocument/2006/relationships/hyperlink" Target="https://advance.lexis.com/api/document?collection=cases&amp;id=urn:contentItem:4G66-K310-0038-X0SR-00000-00&amp;context=1519360" TargetMode="External" /><Relationship Id="rId28" Type="http://schemas.openxmlformats.org/officeDocument/2006/relationships/hyperlink" Target="https://advance.lexis.com/api/document?collection=cases&amp;id=urn:contentItem:4J55-7VB0-0038-X2WW-00000-00&amp;context=1519360&amp;link=clscc3" TargetMode="External" /><Relationship Id="rId29" Type="http://schemas.openxmlformats.org/officeDocument/2006/relationships/hyperlink" Target="https://advance.lexis.com/api/document?collection=cases&amp;id=urn:contentItem:4FMJ-WYW0-0038-X179-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J55-7VB0-0038-X2W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FVB-Y0X0-0038-X2RG-00000-00&amp;context=1519360" TargetMode="External" /><Relationship Id="rId2" Type="http://schemas.openxmlformats.org/officeDocument/2006/relationships/hyperlink" Target="https://advance.lexis.com/api/document?collection=cases&amp;id=urn:contentItem:4CM8-CD60-004C-200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Loredo-Torres, 164 Fed. Appx. 523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Doc::urn:hlct:5|contextualFeaturePermID::1519360</vt:lpwstr>
  </property>
  <property fmtid="{D5CDD505-2E9C-101B-9397-08002B2CF9AE}" pid="5" name="UserPermID">
    <vt:lpwstr>urn:user:PA186186298</vt:lpwstr>
  </property>
</Properties>
</file>