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Ortiz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2010, Decided; August 2, 2010,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L-10-4; CRIMINAL ACTION NO. L-05-229-3</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2010 U.S. Dist. LEXIS 160405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PORFIRIO ORTIZ, Petitioner VS. UNITED STATES OF AMERICA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Ortiz v. United States, 2010 U.S. Dist. LEXIS 160716 (S.D. Tex., Feb. 11, 2010)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plea agreement, acceptance of responsibility, guilty plea, Guidelines, downward, rights, ineffective, Indictment, agrees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Porfirio Ortiz, Petitioner, Pro se, Pecos,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James L Turner, US Attorneys Office, Houston, TX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Micaela Alvarez,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Micaela Alvarez</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Porfirio Ortiz's ("Petitioner") Motion to Vacate, Set Aside, or Correct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494].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careful consideration of the Motion, the facts of the case, and the governing law, the Court DENIES Petitioner's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AND PROCEDURAL HISTORY</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On May 13, 2008, Petitioner was charged by grand jury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a one-count indictment, alleging that from on or about March 30, 2001 to on or about January 16, 2006, Petitioner:</w:t>
      </w:r>
    </w:p>
    <w:p>
      <w:pPr>
        <w:keepNext w:val="0"/>
        <w:spacing w:after="0" w:line="260" w:lineRule="atLeast"/>
        <w:ind w:left="40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did knowingly and intentionally conspire and agree together and with other persons known and unknown to the Grand Jurors . . . knowing and in reckless disregard that an alien has come to, entered, or remains in the United States in violation of law, unlawfully transporting undocumented aliens, for the purpose of commercial advantage and private financial gain, within the United States by means of a motor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 Dkt. No 175]. On August 21, 2008, Petitioner appeared before this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for re-arraignment, to plead guilty to Count One of the Indictment. [Minute Entry for Aug. 21, 2008; Digital Recording of Aug. 21, 2008, Re-Arraignment ("R. Rec.") at 10:18 a.m.]. During the re-arraignment, the Court placed Petitioner under oath and advised him of the rights and implications surrounding a guilty plea, consistent with the requirements of </w:t>
      </w:r>
      <w:hyperlink r:id="rId12" w:history="1">
        <w:r>
          <w:rPr>
            <w:rFonts w:ascii="arial" w:eastAsia="arial" w:hAnsi="arial" w:cs="arial"/>
            <w:b w:val="0"/>
            <w:i/>
            <w:strike w:val="0"/>
            <w:noProof w:val="0"/>
            <w:color w:val="0077CC"/>
            <w:position w:val="0"/>
            <w:sz w:val="20"/>
            <w:u w:val="single"/>
            <w:vertAlign w:val="baseline"/>
          </w:rPr>
          <w:t>Federal Rule of Criminal Procedure 11</w:t>
        </w:r>
      </w:hyperlink>
      <w:r>
        <w:rPr>
          <w:rFonts w:ascii="arial" w:eastAsia="arial" w:hAnsi="arial" w:cs="arial"/>
          <w:b w:val="0"/>
          <w:i w:val="0"/>
          <w:strike w:val="0"/>
          <w:noProof w:val="0"/>
          <w:color w:val="000000"/>
          <w:position w:val="0"/>
          <w:sz w:val="20"/>
          <w:u w:val="none"/>
          <w:vertAlign w:val="baseline"/>
        </w:rPr>
        <w:t xml:space="preserve">. [R. Rec. at 10:18, 10:31 a.m.].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Crim. P.</w:t>
        </w:r>
      </w:hyperlink>
      <w:hyperlink r:id="rId12" w:history="1">
        <w:r>
          <w:rPr>
            <w:rFonts w:ascii="arial" w:eastAsia="arial" w:hAnsi="arial" w:cs="arial"/>
            <w:b w:val="0"/>
            <w:i/>
            <w:strike w:val="0"/>
            <w:noProof w:val="0"/>
            <w:color w:val="0077CC"/>
            <w:position w:val="0"/>
            <w:sz w:val="20"/>
            <w:u w:val="single"/>
            <w:vertAlign w:val="baseline"/>
          </w:rPr>
          <w:t xml:space="preserve"> 11(b)</w:t>
        </w:r>
      </w:hyperlink>
      <w:r>
        <w:rPr>
          <w:rFonts w:ascii="arial" w:eastAsia="arial" w:hAnsi="arial" w:cs="arial"/>
          <w:b w:val="0"/>
          <w:i w:val="0"/>
          <w:strike w:val="0"/>
          <w:noProof w:val="0"/>
          <w:color w:val="000000"/>
          <w:position w:val="0"/>
          <w:sz w:val="20"/>
          <w:u w:val="none"/>
          <w:vertAlign w:val="baseline"/>
        </w:rPr>
        <w:t>. Count One of the Indictment and the factual basis supporting Count One were read into the record, and Petitioner affirmed that he understood both. [R. Rec. at 10:22, 10:23 a.m.]. Also, the Court explained that Petitioner had waived his rights to appeal and to collaterally attack his sentence: "Do you understand the rights that you have if you plead not guilty, and do you wish to give up those rights?" [R. Rec. at 10:32, 10:39 a.m.]. Petitioner replied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10:32, 10:42 a.m.]. The Court also asked, "are you pleading guilty free and voluntarily, sir?"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10:48 a.m.]. Petitioner again replied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In addition to orally pleading guilty at the re-arraignment hearing, Petitioner signed a written plea agreement. [Cr. Dkt. No. 348]. The plea agreement went into detail about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Petitioner's waiver of appeal:</w:t>
      </w:r>
    </w:p>
    <w:p>
      <w:pPr>
        <w:keepNext w:val="0"/>
        <w:spacing w:before="240"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7. Defendant is aware that Title </w:t>
      </w:r>
      <w:hyperlink r:id="rId13"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affords a defendant the right to appeal a conviction and appeal the sentence imposed. The defendant agrees to waive the right to appeal the conviction, the sentenced imposed or the manner in which the sentence was determined. Additionally, the defendant is aware that Title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affords the right to contest or "collaterally attack" a conviction or sentence after the conviction or sentence has become final. The defendant waives the right to contest his/her conviction or sentence by means of any post-conviction proceeding.</w:t>
      </w:r>
    </w:p>
    <w:p>
      <w:pPr>
        <w:keepNext w:val="0"/>
        <w:spacing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8. In agreeing to these waivers, defendant is aware that a sentence has not yet been determined by the Court. The defendant is also aware that any estimate of the possible sentencing range under the sentencing guidelines that he/she may have received from his/her counsel, the United States or the Probation Office, is a prediction, not a promise, did not induce his/her guilty plea, and is not binding on the United States, the Probation Office or the Court. The United States does not make any promise or representation concerning what sentence the defendant will receive.</w:t>
      </w:r>
    </w:p>
    <w:p>
      <w:pPr>
        <w:keepNext w:val="0"/>
        <w:spacing w:before="200"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9. The Defendant understands that each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all waivers contained in the Agreement are made in exchange for the concessions made by the United States in this plea agreement.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 Dkt. No. 348 at 4]. The written plea agreement also detailed the Government's agreement with Petitioner:</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10. The United States agrees to each of the following:</w:t>
      </w:r>
    </w:p>
    <w:p>
      <w:pPr>
        <w:keepNext w:val="0"/>
        <w:spacing w:before="240"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(a) At the time of sentencing, the </w:t>
      </w:r>
      <w:r>
        <w:rPr>
          <w:rFonts w:ascii="arial" w:eastAsia="arial" w:hAnsi="arial" w:cs="arial"/>
          <w:b w:val="0"/>
          <w:i/>
          <w:strike w:val="0"/>
          <w:noProof w:val="0"/>
          <w:color w:val="000000"/>
          <w:position w:val="0"/>
          <w:sz w:val="20"/>
          <w:u w:val="none"/>
          <w:vertAlign w:val="baseline"/>
        </w:rPr>
        <w:t>United States agrees not to oppose</w:t>
      </w:r>
      <w:r>
        <w:rPr>
          <w:rFonts w:ascii="arial" w:eastAsia="arial" w:hAnsi="arial" w:cs="arial"/>
          <w:b w:val="0"/>
          <w:i w:val="0"/>
          <w:strike w:val="0"/>
          <w:noProof w:val="0"/>
          <w:color w:val="000000"/>
          <w:position w:val="0"/>
          <w:sz w:val="20"/>
          <w:u w:val="none"/>
          <w:vertAlign w:val="baseline"/>
        </w:rPr>
        <w:t xml:space="preserve"> defendant's anticipated request to the Court and the United States Probation Office that he/she receive a two (2) level downward adjustment pursuant to </w:t>
      </w:r>
      <w:hyperlink r:id="rId14" w:history="1">
        <w:r>
          <w:rPr>
            <w:rFonts w:ascii="arial" w:eastAsia="arial" w:hAnsi="arial" w:cs="arial"/>
            <w:b w:val="0"/>
            <w:i/>
            <w:strike w:val="0"/>
            <w:noProof w:val="0"/>
            <w:color w:val="0077CC"/>
            <w:position w:val="0"/>
            <w:sz w:val="20"/>
            <w:u w:val="single"/>
            <w:vertAlign w:val="baseline"/>
          </w:rPr>
          <w:t>U.S.S.G. Section 3E1.1(a)</w:t>
        </w:r>
      </w:hyperlink>
      <w:r>
        <w:rPr>
          <w:rFonts w:ascii="arial" w:eastAsia="arial" w:hAnsi="arial" w:cs="arial"/>
          <w:b w:val="0"/>
          <w:i w:val="0"/>
          <w:strike w:val="0"/>
          <w:noProof w:val="0"/>
          <w:color w:val="000000"/>
          <w:position w:val="0"/>
          <w:sz w:val="20"/>
          <w:u w:val="none"/>
          <w:vertAlign w:val="baseline"/>
        </w:rPr>
        <w:t xml:space="preserve"> should the defendant accept responsibility as contemplated by the Sentencing Guidelines;</w:t>
      </w:r>
    </w:p>
    <w:p>
      <w:pPr>
        <w:keepNext w:val="0"/>
        <w:spacing w:before="240"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(b) If the defendant qualifies for an adjustment under the </w:t>
      </w:r>
      <w:hyperlink r:id="rId14" w:history="1">
        <w:r>
          <w:rPr>
            <w:rFonts w:ascii="arial" w:eastAsia="arial" w:hAnsi="arial" w:cs="arial"/>
            <w:b w:val="0"/>
            <w:i/>
            <w:strike w:val="0"/>
            <w:noProof w:val="0"/>
            <w:color w:val="0077CC"/>
            <w:position w:val="0"/>
            <w:sz w:val="20"/>
            <w:u w:val="single"/>
            <w:vertAlign w:val="baseline"/>
          </w:rPr>
          <w:t>U.S.S.G. Section 3E1.1(a)</w:t>
        </w:r>
      </w:hyperlink>
      <w:r>
        <w:rPr>
          <w:rFonts w:ascii="arial" w:eastAsia="arial" w:hAnsi="arial" w:cs="arial"/>
          <w:b w:val="0"/>
          <w:i w:val="0"/>
          <w:strike w:val="0"/>
          <w:noProof w:val="0"/>
          <w:color w:val="000000"/>
          <w:position w:val="0"/>
          <w:sz w:val="20"/>
          <w:u w:val="none"/>
          <w:vertAlign w:val="baseline"/>
        </w:rPr>
        <w:t xml:space="preserve">, and the defendant's guideline offense level prior to applying </w:t>
      </w:r>
      <w:hyperlink r:id="rId14" w:history="1">
        <w:r>
          <w:rPr>
            <w:rFonts w:ascii="arial" w:eastAsia="arial" w:hAnsi="arial" w:cs="arial"/>
            <w:b w:val="0"/>
            <w:i/>
            <w:strike w:val="0"/>
            <w:noProof w:val="0"/>
            <w:color w:val="0077CC"/>
            <w:position w:val="0"/>
            <w:sz w:val="20"/>
            <w:u w:val="single"/>
            <w:vertAlign w:val="baseline"/>
          </w:rPr>
          <w:t>U.S.S.G. Section 3E1.1(a)</w:t>
        </w:r>
      </w:hyperlink>
      <w:r>
        <w:rPr>
          <w:rFonts w:ascii="arial" w:eastAsia="arial" w:hAnsi="arial" w:cs="arial"/>
          <w:b w:val="0"/>
          <w:i w:val="0"/>
          <w:strike w:val="0"/>
          <w:noProof w:val="0"/>
          <w:color w:val="000000"/>
          <w:position w:val="0"/>
          <w:sz w:val="20"/>
          <w:u w:val="none"/>
          <w:vertAlign w:val="baseline"/>
        </w:rPr>
        <w:t xml:space="preserve"> is 16 or higher, the United States agrees to move the Court grant the defendant an additional one (1) level reduction in the defendant's guideline offense level for acceptance of responsibility pursuant to </w:t>
      </w:r>
      <w:hyperlink r:id="rId14" w:history="1">
        <w:r>
          <w:rPr>
            <w:rFonts w:ascii="arial" w:eastAsia="arial" w:hAnsi="arial" w:cs="arial"/>
            <w:b w:val="0"/>
            <w:i/>
            <w:strike w:val="0"/>
            <w:noProof w:val="0"/>
            <w:color w:val="0077CC"/>
            <w:position w:val="0"/>
            <w:sz w:val="20"/>
            <w:u w:val="single"/>
            <w:vertAlign w:val="baseline"/>
          </w:rPr>
          <w:t>U.S.S.G. Section 3E1.1(b)</w:t>
        </w:r>
      </w:hyperlink>
      <w:r>
        <w:rPr>
          <w:rFonts w:ascii="arial" w:eastAsia="arial" w:hAnsi="arial" w:cs="arial"/>
          <w:b w:val="0"/>
          <w:i w:val="0"/>
          <w:strike w:val="0"/>
          <w:noProof w:val="0"/>
          <w:color w:val="000000"/>
          <w:position w:val="0"/>
          <w:sz w:val="20"/>
          <w:u w:val="none"/>
          <w:vertAlign w:val="baseline"/>
        </w:rPr>
        <w:t xml:space="preserve"> based on the defendant timely notifying authorities of the defendant's intention to plead guilty, thereby permitting the government to avoid preparing for trial and permitting the government and the Court to allocate their resources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(emphasis added)].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Additionally, attached at the end of Petitioner's guilty plea is an addendum/affidavit, signed by Petitioner, asserting:</w:t>
      </w:r>
    </w:p>
    <w:p>
      <w:pPr>
        <w:keepNext w:val="0"/>
        <w:spacing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I have consulted with my attorney and fully understand all my rights with respect to the indictment pending against me. My attorney has fully explained and I understand all my rights with respect to the provisions of the United States Sentencing Commission's Guidelines Manual which may apply in my case. I have read and carefully reviewed every part of this plea agreement with my attorney. I understand and I voluntarily agree to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After entry of Petitioner's guilty plea, he was sentenced by this Court on January 28, 2009, for Count One of the Indictment to 120 months imprisonment. [Digital Recording of Jan. 28, 2009, Sentencing ("S. Rec.") at 12:09 p.m.; Cr. Dkt. No. 494].</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Petitioner now challenges his conviction and imprisonment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[Dkt. No. 1]. As grounds for relief, Petitioner asserts: (1) that the Government breached the plea agreement by not recommending the three-level adjustment for acceptance of responsibility, and (2) ineffective assistance of counsel, in that his attorney also failed to request the three-level reduction for acceptance of responsibility.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[Dkt. Nos. 1, 2]. The Court will address each of Petitioner's grounds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reversed for transgressions of constitutional rights and for a narrow range of injuries that could not have been raised on direct appeal and would, if condoned, result in a complete miscarriage of justice." </w:t>
      </w:r>
      <w:hyperlink r:id="rId15" w:history="1">
        <w:r>
          <w:rPr>
            <w:rFonts w:ascii="arial" w:eastAsia="arial" w:hAnsi="arial" w:cs="arial"/>
            <w:b w:val="0"/>
            <w:i/>
            <w:strike w:val="0"/>
            <w:noProof w:val="0"/>
            <w:color w:val="0077CC"/>
            <w:position w:val="0"/>
            <w:sz w:val="20"/>
            <w:u w:val="single"/>
            <w:vertAlign w:val="baseline"/>
          </w:rPr>
          <w:t>United States v. Vaughn</w:t>
        </w:r>
      </w:hyperlink>
      <w:hyperlink r:id="rId15" w:history="1">
        <w:r>
          <w:rPr>
            <w:rFonts w:ascii="arial" w:eastAsia="arial" w:hAnsi="arial" w:cs="arial"/>
            <w:b w:val="0"/>
            <w:i/>
            <w:strike w:val="0"/>
            <w:noProof w:val="0"/>
            <w:color w:val="0077CC"/>
            <w:position w:val="0"/>
            <w:sz w:val="20"/>
            <w:u w:val="single"/>
            <w:vertAlign w:val="baseline"/>
          </w:rPr>
          <w:t>, 955 F.2d 367, 368 (5th Cir. 1992)</w:t>
        </w:r>
      </w:hyperlink>
      <w:r>
        <w:rPr>
          <w:rFonts w:ascii="arial" w:eastAsia="arial" w:hAnsi="arial" w:cs="arial"/>
          <w:b w:val="0"/>
          <w:i w:val="0"/>
          <w:strike w:val="0"/>
          <w:noProof w:val="0"/>
          <w:color w:val="000000"/>
          <w:position w:val="0"/>
          <w:sz w:val="20"/>
          <w:u w:val="none"/>
          <w:vertAlign w:val="baseline"/>
        </w:rPr>
        <w:t xml:space="preserve"> (per curiam) (citing </w:t>
      </w:r>
      <w:hyperlink r:id="rId16" w:history="1">
        <w:r>
          <w:rPr>
            <w:rFonts w:ascii="arial" w:eastAsia="arial" w:hAnsi="arial" w:cs="arial"/>
            <w:b w:val="0"/>
            <w:i/>
            <w:strike w:val="0"/>
            <w:noProof w:val="0"/>
            <w:color w:val="0077CC"/>
            <w:position w:val="0"/>
            <w:sz w:val="20"/>
            <w:u w:val="single"/>
            <w:vertAlign w:val="baseline"/>
          </w:rPr>
          <w:t>United States v. Capua</w:t>
        </w:r>
      </w:hyperlink>
      <w:hyperlink r:id="rId16" w:history="1">
        <w:r>
          <w:rPr>
            <w:rFonts w:ascii="arial" w:eastAsia="arial" w:hAnsi="arial" w:cs="arial"/>
            <w:b w:val="0"/>
            <w:i/>
            <w:strike w:val="0"/>
            <w:noProof w:val="0"/>
            <w:color w:val="0077CC"/>
            <w:position w:val="0"/>
            <w:sz w:val="20"/>
            <w:u w:val="single"/>
            <w:vertAlign w:val="baseline"/>
          </w:rPr>
          <w:t>, 656 F.2d 1033, 1037 (5th Cir. 1981))</w:t>
        </w:r>
      </w:hyperlink>
      <w:r>
        <w:rPr>
          <w:rFonts w:ascii="arial" w:eastAsia="arial" w:hAnsi="arial" w:cs="arial"/>
          <w:b w:val="0"/>
          <w:i w:val="0"/>
          <w:strike w:val="0"/>
          <w:noProof w:val="0"/>
          <w:color w:val="000000"/>
          <w:position w:val="0"/>
          <w:sz w:val="20"/>
          <w:u w:val="none"/>
          <w:vertAlign w:val="baseline"/>
        </w:rPr>
        <w:t xml:space="preserve">. Generally,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claims fall under four categories: (1) constitutional issues; (2) challenges to the district court's jurisdiction to impose the sentence; (3) challenges to the length of a sentence in excess of the statutory maximum; and (4) claims that the sentence is otherwise subject to collateral attack. </w:t>
      </w:r>
      <w:hyperlink r:id="rId11" w:history="1">
        <w:r>
          <w:rPr>
            <w:rFonts w:ascii="arial" w:eastAsia="arial" w:hAnsi="arial" w:cs="arial"/>
            <w:b w:val="0"/>
            <w:i/>
            <w:strike w:val="0"/>
            <w:noProof w:val="0"/>
            <w:color w:val="0077CC"/>
            <w:position w:val="0"/>
            <w:sz w:val="20"/>
            <w:u w:val="single"/>
            <w:vertAlign w:val="baseline"/>
          </w:rPr>
          <w:t>28 U.S.C. § 2255 (2006)</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United States v. Seyfert</w:t>
        </w:r>
      </w:hyperlink>
      <w:hyperlink r:id="rId17" w:history="1">
        <w:r>
          <w:rPr>
            <w:rFonts w:ascii="arial" w:eastAsia="arial" w:hAnsi="arial" w:cs="arial"/>
            <w:b w:val="0"/>
            <w:i/>
            <w:strike w:val="0"/>
            <w:noProof w:val="0"/>
            <w:color w:val="0077CC"/>
            <w:position w:val="0"/>
            <w:sz w:val="20"/>
            <w:u w:val="single"/>
            <w:vertAlign w:val="baseline"/>
          </w:rPr>
          <w:t>, 67 F.3d 544, 546 (5th Cir. 1995)</w:t>
        </w:r>
      </w:hyperlink>
      <w:r>
        <w:rPr>
          <w:rFonts w:ascii="arial" w:eastAsia="arial" w:hAnsi="arial" w:cs="arial"/>
          <w:b w:val="0"/>
          <w:i w:val="0"/>
          <w:strike w:val="0"/>
          <w:noProof w:val="0"/>
          <w:color w:val="000000"/>
          <w:position w:val="0"/>
          <w:sz w:val="20"/>
          <w:u w:val="none"/>
          <w:vertAlign w:val="baseline"/>
        </w:rPr>
        <w:t xml:space="preserve"> (citations omitted). After conducting an initial examination of the petition, the Court must dismiss if "it plainly appears from the petition and any attached exhibits that the petitioner is not entitled to relief." 28 U.S.C. </w:t>
      </w:r>
      <w:hyperlink r:id="rId18" w:history="1">
        <w:r>
          <w:rPr>
            <w:rFonts w:ascii="arial" w:eastAsia="arial" w:hAnsi="arial" w:cs="arial"/>
            <w:b w:val="0"/>
            <w:i/>
            <w:strike w:val="0"/>
            <w:noProof w:val="0"/>
            <w:color w:val="0077CC"/>
            <w:position w:val="0"/>
            <w:sz w:val="20"/>
            <w:u w:val="single"/>
            <w:vertAlign w:val="baseline"/>
          </w:rPr>
          <w:t>§ 2255, PROC. R. 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Petitioner first asserts that the Government breached the plea agreement with respect to his "acceptance of responsibility." [Dkt. No. 2 at 4]. A guilty plea based on a breached plea agreement is subject to collateral attack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United States v. Cates</w:t>
        </w:r>
      </w:hyperlink>
      <w:hyperlink r:id="rId19" w:history="1">
        <w:r>
          <w:rPr>
            <w:rFonts w:ascii="arial" w:eastAsia="arial" w:hAnsi="arial" w:cs="arial"/>
            <w:b w:val="0"/>
            <w:i/>
            <w:strike w:val="0"/>
            <w:noProof w:val="0"/>
            <w:color w:val="0077CC"/>
            <w:position w:val="0"/>
            <w:sz w:val="20"/>
            <w:u w:val="single"/>
            <w:vertAlign w:val="baseline"/>
          </w:rPr>
          <w:t>, 952 F.2d 149, 151 (5th Cir. 1992)</w:t>
        </w:r>
      </w:hyperlink>
      <w:r>
        <w:rPr>
          <w:rFonts w:ascii="arial" w:eastAsia="arial" w:hAnsi="arial" w:cs="arial"/>
          <w:b w:val="0"/>
          <w:i w:val="0"/>
          <w:strike w:val="0"/>
          <w:noProof w:val="0"/>
          <w:color w:val="000000"/>
          <w:position w:val="0"/>
          <w:sz w:val="20"/>
          <w:u w:val="none"/>
          <w:vertAlign w:val="baseline"/>
        </w:rPr>
        <w:t>. "When a plea rests in any significant degree on a promise or agreement of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prosecutor, so that it can be said to be part of the inducement or consideration, such promise must be fulfilled." </w:t>
      </w:r>
      <w:hyperlink r:id="rId20" w:history="1">
        <w:r>
          <w:rPr>
            <w:rFonts w:ascii="arial" w:eastAsia="arial" w:hAnsi="arial" w:cs="arial"/>
            <w:b w:val="0"/>
            <w:i/>
            <w:strike w:val="0"/>
            <w:noProof w:val="0"/>
            <w:color w:val="0077CC"/>
            <w:position w:val="0"/>
            <w:sz w:val="20"/>
            <w:u w:val="single"/>
            <w:vertAlign w:val="baseline"/>
          </w:rPr>
          <w:t>Santobello v. New York</w:t>
        </w:r>
      </w:hyperlink>
      <w:hyperlink r:id="rId20" w:history="1">
        <w:r>
          <w:rPr>
            <w:rFonts w:ascii="arial" w:eastAsia="arial" w:hAnsi="arial" w:cs="arial"/>
            <w:b w:val="0"/>
            <w:i/>
            <w:strike w:val="0"/>
            <w:noProof w:val="0"/>
            <w:color w:val="0077CC"/>
            <w:position w:val="0"/>
            <w:sz w:val="20"/>
            <w:u w:val="single"/>
            <w:vertAlign w:val="baseline"/>
          </w:rPr>
          <w:t>, 404 U.S. 257, 262, 92 S. Ct. 495, 30 L. Ed. 2d 427 (1971)</w:t>
        </w:r>
      </w:hyperlink>
      <w:r>
        <w:rPr>
          <w:rFonts w:ascii="arial" w:eastAsia="arial" w:hAnsi="arial" w:cs="arial"/>
          <w:b w:val="0"/>
          <w:i w:val="0"/>
          <w:strike w:val="0"/>
          <w:noProof w:val="0"/>
          <w:color w:val="000000"/>
          <w:position w:val="0"/>
          <w:sz w:val="20"/>
          <w:u w:val="none"/>
          <w:vertAlign w:val="baseline"/>
        </w:rPr>
        <w:t xml:space="preserve">. When determining whether the Government has breached the terms of a plea agreement, the Court must decide whether "the government's conduct is consistent with the parties' reasonable understanding of the agreement." </w:t>
      </w:r>
      <w:hyperlink r:id="rId21" w:history="1">
        <w:r>
          <w:rPr>
            <w:rFonts w:ascii="arial" w:eastAsia="arial" w:hAnsi="arial" w:cs="arial"/>
            <w:b w:val="0"/>
            <w:i/>
            <w:strike w:val="0"/>
            <w:noProof w:val="0"/>
            <w:color w:val="0077CC"/>
            <w:position w:val="0"/>
            <w:sz w:val="20"/>
            <w:u w:val="single"/>
            <w:vertAlign w:val="baseline"/>
          </w:rPr>
          <w:t>United States v. Huddleston</w:t>
        </w:r>
      </w:hyperlink>
      <w:hyperlink r:id="rId21" w:history="1">
        <w:r>
          <w:rPr>
            <w:rFonts w:ascii="arial" w:eastAsia="arial" w:hAnsi="arial" w:cs="arial"/>
            <w:b w:val="0"/>
            <w:i/>
            <w:strike w:val="0"/>
            <w:noProof w:val="0"/>
            <w:color w:val="0077CC"/>
            <w:position w:val="0"/>
            <w:sz w:val="20"/>
            <w:u w:val="single"/>
            <w:vertAlign w:val="baseline"/>
          </w:rPr>
          <w:t>, 929 F.2d 1030, 1032 (5th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Under the terms of the agreement signed by Petitioner, the Government agreed "[a]t the time of sentencing . . . not to oppose defendant's anticipated request to the Court . . . that he receive a . . . downward adjustment . . . should the defendant accept responsibility." [Cr. Dkt. No. 348 at 5]. At sentencing, Petitioner's counsel did request the downward adjustment for acceptance of responsibility. [S. Rec. at 10:44 a.m.]. At no time during the sentencing did the Government oppose this request. The Court found that Petitioner's statements accepting responsibility reflected his efforts to minimize his involvement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noting that:</w:t>
      </w:r>
    </w:p>
    <w:p>
      <w:pPr>
        <w:keepNext w:val="0"/>
        <w:spacing w:before="200" w:after="0" w:line="260" w:lineRule="atLeast"/>
        <w:ind w:left="40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This is not a one-time offense here . . . at least from 2001 and probably from before then, at least a good time since you've been here, you have been involved in a very extensive criminal ring .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 By your statements here, I am still not convinced that you are to the point where you are accepting responsibility for your conduct.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Rec at 10:46 a.m.]. Thus, while the Court did not ultimately grant Petitioner the three-level downward adjustment for acceptance of responsibility, the Government fulfilled its obligation under the terms of the plea agreement by not opposing Petitioner's request. Accordingly, Petitioner is not entitled to relief for breach of the plea agreement.</w:t>
      </w:r>
    </w:p>
    <w:p>
      <w:pPr>
        <w:keepNext w:val="0"/>
        <w:spacing w:before="24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 xml:space="preserve">Petitioner also asserts that he was given ineffective assistance of counsel when his counsel failed to raise the issue of acceptance of responsibility at sentencing. [Dkt. No. 1 at 5]. "A habeas petitioner alleging ineffective assistance of counsel must demonstrate both constitutionally deficient performance by counsel and actual prejudice as a result of such ineffective assistance." </w:t>
      </w:r>
      <w:hyperlink r:id="rId22" w:history="1">
        <w:r>
          <w:rPr>
            <w:rFonts w:ascii="arial" w:eastAsia="arial" w:hAnsi="arial" w:cs="arial"/>
            <w:b w:val="0"/>
            <w:i/>
            <w:strike w:val="0"/>
            <w:noProof w:val="0"/>
            <w:color w:val="0077CC"/>
            <w:position w:val="0"/>
            <w:sz w:val="20"/>
            <w:u w:val="single"/>
            <w:vertAlign w:val="baseline"/>
          </w:rPr>
          <w:t>Carter v. Johnson</w:t>
        </w:r>
      </w:hyperlink>
      <w:hyperlink r:id="rId22" w:history="1">
        <w:r>
          <w:rPr>
            <w:rFonts w:ascii="arial" w:eastAsia="arial" w:hAnsi="arial" w:cs="arial"/>
            <w:b w:val="0"/>
            <w:i/>
            <w:strike w:val="0"/>
            <w:noProof w:val="0"/>
            <w:color w:val="0077CC"/>
            <w:position w:val="0"/>
            <w:sz w:val="20"/>
            <w:u w:val="single"/>
            <w:vertAlign w:val="baseline"/>
          </w:rPr>
          <w:t>, 131 F.3d 452, 463 (5th Cir. 1997)</w:t>
        </w:r>
      </w:hyperlink>
      <w:r>
        <w:rPr>
          <w:rFonts w:ascii="arial" w:eastAsia="arial" w:hAnsi="arial" w:cs="arial"/>
          <w:b w:val="0"/>
          <w:i w:val="0"/>
          <w:strike w:val="0"/>
          <w:noProof w:val="0"/>
          <w:color w:val="000000"/>
          <w:position w:val="0"/>
          <w:sz w:val="20"/>
          <w:u w:val="none"/>
          <w:vertAlign w:val="baseline"/>
        </w:rPr>
        <w:t xml:space="preserve"> (citing </w:t>
      </w:r>
      <w:hyperlink r:id="rId23" w:history="1">
        <w:r>
          <w:rPr>
            <w:rFonts w:ascii="arial" w:eastAsia="arial" w:hAnsi="arial" w:cs="arial"/>
            <w:b w:val="0"/>
            <w:i/>
            <w:strike w:val="0"/>
            <w:noProof w:val="0"/>
            <w:color w:val="0077CC"/>
            <w:position w:val="0"/>
            <w:sz w:val="20"/>
            <w:u w:val="single"/>
            <w:vertAlign w:val="baseline"/>
          </w:rPr>
          <w:t>Strickland v. Washington</w:t>
        </w:r>
      </w:hyperlink>
      <w:hyperlink r:id="rId23"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A review of the sentencing hearing reveals that Petitioner's counsel did in fact raise the issue of a downward adjustment for acceptance of responsibility, asking the Court on two separate occasions to consider Petitioner for such an adjustment. [S. Rec. at 10:44, 11:59 a.m.]. After each of the two requests by defense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counsel, Petitioner was allowed to address the Court on his own behalf, to express his acceptance of responsibility. [S. Rec. at 10:45 a.m., 12:01 p.m.]. Each time, the Court considered the request for a downward departure from the Sentencing Guidelines and denied the request, noting that Petitioner had failed to accept full responsibility for his conduct. [S. Rec. 10:46 a.m.; 12:01 p.m.]. Thus, Petitioner has failed to show "constitutionally deficient performance" as required by </w:t>
      </w:r>
      <w:hyperlink r:id="rId23"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Accordingly, Petitioner is not entitled to relief for ineffective assistance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 xml:space="preserve">For the above stated reasons, Petitioner's Motion to Vacate, Set Aside or Correct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[Dkt. No. 1]. Should he seek one, 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 separate final judgment shall issue.</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 xml:space="preserve">Done this 2nd day of August, 2010,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/s/ Micaela Alvarez</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Micaela Alvarez</w:t>
      </w:r>
    </w:p>
    <w:p>
      <w:pPr>
        <w:keepNext w:val="0"/>
        <w:spacing w:before="200" w:after="0" w:line="260" w:lineRule="atLeast"/>
        <w:ind w:left="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JUDGMENT</w:t>
      </w:r>
    </w:p>
    <w:p>
      <w:pPr>
        <w:keepNext w:val="0"/>
        <w:spacing w:before="200" w:after="0" w:line="260" w:lineRule="atLeast"/>
        <w:ind w:left="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 xml:space="preserve">For the reasons stated in this Court's </w:t>
      </w:r>
      <w:r>
        <w:rPr>
          <w:rFonts w:ascii="arial" w:eastAsia="arial" w:hAnsi="arial" w:cs="arial"/>
          <w:b w:val="0"/>
          <w:i/>
          <w:strike w:val="0"/>
          <w:noProof w:val="0"/>
          <w:color w:val="000000"/>
          <w:position w:val="0"/>
          <w:sz w:val="20"/>
          <w:u w:val="none"/>
          <w:vertAlign w:val="baseline"/>
        </w:rPr>
        <w:t>Memorandum and Order</w:t>
      </w:r>
      <w:r>
        <w:rPr>
          <w:rFonts w:ascii="arial" w:eastAsia="arial" w:hAnsi="arial" w:cs="arial"/>
          <w:b w:val="0"/>
          <w:i w:val="0"/>
          <w:strike w:val="0"/>
          <w:noProof w:val="0"/>
          <w:color w:val="000000"/>
          <w:position w:val="0"/>
          <w:sz w:val="20"/>
          <w:u w:val="none"/>
          <w:vertAlign w:val="baseline"/>
        </w:rPr>
        <w:t xml:space="preserve"> of even date, [Dkt. No. 4], Petitioner's Motion to Vacate, Set Aside, or Correct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[Dkt. No. 1]. Should Petitioner seek</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certificate of appealability, the same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of the Court is instructed to terminate this case.</w:t>
      </w:r>
    </w:p>
    <w:p>
      <w:pPr>
        <w:keepNext w:val="0"/>
        <w:spacing w:before="200" w:after="0" w:line="260" w:lineRule="atLeast"/>
        <w:ind w:left="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34" w:name="Bookmark_para_26"/>
      <w:bookmarkEnd w:id="34"/>
      <w:r>
        <w:rPr>
          <w:rFonts w:ascii="arial" w:eastAsia="arial" w:hAnsi="arial" w:cs="arial"/>
          <w:b w:val="0"/>
          <w:i w:val="0"/>
          <w:strike w:val="0"/>
          <w:noProof w:val="0"/>
          <w:color w:val="000000"/>
          <w:position w:val="0"/>
          <w:sz w:val="20"/>
          <w:u w:val="none"/>
          <w:vertAlign w:val="baseline"/>
        </w:rPr>
        <w:t xml:space="preserve">Done this 2nd day of August, 2010,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35" w:name="Bookmark_para_27"/>
      <w:bookmarkEnd w:id="35"/>
      <w:r>
        <w:rPr>
          <w:rFonts w:ascii="arial" w:eastAsia="arial" w:hAnsi="arial" w:cs="arial"/>
          <w:b w:val="0"/>
          <w:i w:val="0"/>
          <w:strike w:val="0"/>
          <w:noProof w:val="0"/>
          <w:color w:val="000000"/>
          <w:position w:val="0"/>
          <w:sz w:val="20"/>
          <w:u w:val="none"/>
          <w:vertAlign w:val="baseline"/>
        </w:rPr>
        <w:t>/s/ Micaela Alvarez</w:t>
      </w:r>
    </w:p>
    <w:p>
      <w:pPr>
        <w:keepNext w:val="0"/>
        <w:spacing w:before="200" w:after="0" w:line="260" w:lineRule="atLeast"/>
        <w:ind w:left="0" w:right="0" w:firstLine="0"/>
        <w:jc w:val="both"/>
      </w:pPr>
      <w:bookmarkStart w:id="36" w:name="Bookmark_para_28"/>
      <w:bookmarkEnd w:id="36"/>
      <w:r>
        <w:rPr>
          <w:rFonts w:ascii="arial" w:eastAsia="arial" w:hAnsi="arial" w:cs="arial"/>
          <w:b w:val="0"/>
          <w:i w:val="0"/>
          <w:strike w:val="0"/>
          <w:noProof w:val="0"/>
          <w:color w:val="000000"/>
          <w:position w:val="0"/>
          <w:sz w:val="20"/>
          <w:u w:val="none"/>
          <w:vertAlign w:val="baseline"/>
        </w:rPr>
        <w:t>Micaela Alvarez</w:t>
      </w:r>
    </w:p>
    <w:p>
      <w:pPr>
        <w:keepNext w:val="0"/>
        <w:spacing w:before="200" w:after="0" w:line="260" w:lineRule="atLeast"/>
        <w:ind w:left="0" w:right="0" w:firstLine="0"/>
        <w:jc w:val="both"/>
      </w:pPr>
      <w:bookmarkStart w:id="37" w:name="Bookmark_para_29"/>
      <w:bookmarkEnd w:id="3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"Dkt. No." refers to the docket number entry for the court's electronic filing system. The court will cite to the docket number entries rather than the title of each filing. "Dkt. No." will be used to refer to filings in case number 5:10-cv-4. "Cr. Dkt. No." will be used to refer to filings in criminal case number 5:05-cr-229-3.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Ortiz v. United States, 2010 U.S. Dist. LEXIS 160405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YPR-YT31-JPP5-208P-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5GYC-2731-FG36-13TD-00000-00&amp;context=1519360" TargetMode="External" /><Relationship Id="rId13" Type="http://schemas.openxmlformats.org/officeDocument/2006/relationships/hyperlink" Target="https://advance.lexis.com/api/document?collection=statutes-legislation&amp;id=urn:contentItem:8SG9-5042-D6RV-H1H0-00000-00&amp;context=1519360" TargetMode="External" /><Relationship Id="rId14" Type="http://schemas.openxmlformats.org/officeDocument/2006/relationships/hyperlink" Target="https://advance.lexis.com/api/document?collection=statutes-legislation&amp;id=urn:contentItem:69KS-6JH3-S650-F38Y-00000-00&amp;context=1519360" TargetMode="External" /><Relationship Id="rId15" Type="http://schemas.openxmlformats.org/officeDocument/2006/relationships/hyperlink" Target="https://advance.lexis.com/api/document?collection=cases&amp;id=urn:contentItem:3S4X-55B0-008H-V407-00000-00&amp;context=1519360" TargetMode="External" /><Relationship Id="rId16" Type="http://schemas.openxmlformats.org/officeDocument/2006/relationships/hyperlink" Target="https://advance.lexis.com/api/document?collection=cases&amp;id=urn:contentItem:3S4W-YSB0-0039-W3J8-00000-00&amp;context=1519360" TargetMode="External" /><Relationship Id="rId17" Type="http://schemas.openxmlformats.org/officeDocument/2006/relationships/hyperlink" Target="https://advance.lexis.com/api/document?collection=cases&amp;id=urn:contentItem:3S4X-B4W0-001T-D44S-00000-00&amp;context=1519360" TargetMode="External" /><Relationship Id="rId18" Type="http://schemas.openxmlformats.org/officeDocument/2006/relationships/hyperlink" Target="https://advance.lexis.com/api/document?collection=statutes-legislation&amp;id=urn:contentItem:5GYC-2C71-FG36-13F4-00000-00&amp;context=1519360" TargetMode="External" /><Relationship Id="rId19" Type="http://schemas.openxmlformats.org/officeDocument/2006/relationships/hyperlink" Target="https://advance.lexis.com/api/document?collection=cases&amp;id=urn:contentItem:3S4X-5YW0-008H-V38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DC90-003B-S042-00000-00&amp;context=1519360" TargetMode="External" /><Relationship Id="rId21" Type="http://schemas.openxmlformats.org/officeDocument/2006/relationships/hyperlink" Target="https://advance.lexis.com/api/document?collection=cases&amp;id=urn:contentItem:3S4X-DYS0-008H-V225-00000-00&amp;context=1519360" TargetMode="External" /><Relationship Id="rId22" Type="http://schemas.openxmlformats.org/officeDocument/2006/relationships/hyperlink" Target="https://advance.lexis.com/api/document?collection=cases&amp;id=urn:contentItem:3RM0-C9Y0-0038-X1PX-00000-00&amp;context=1519360" TargetMode="External" /><Relationship Id="rId23" Type="http://schemas.openxmlformats.org/officeDocument/2006/relationships/hyperlink" Target="https://advance.lexis.com/api/document?collection=cases&amp;id=urn:contentItem:3S4X-3FN0-003B-S3TN-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YNN-RJD1-JXG3-X18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Ortiz v. United States, 2010 U.S. Dist. LEXIS 160405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urn:user:PA186186298</vt:lpwstr>
  </property>
</Properties>
</file>