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Saenz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2010, Decided; July 6, 2010,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L-10-1135</w:t>
      </w:r>
    </w:p>
    <w:p>
      <w:pPr>
        <w:keepNext w:val="0"/>
        <w:spacing w:after="0" w:line="240" w:lineRule="atLeast"/>
        <w:ind w:right="0"/>
        <w:jc w:val="both"/>
      </w:pPr>
      <w:bookmarkStart w:id="0" w:name="Bookmark_3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2010 U.S. Dist. LEXIS 141954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2010 WL 5860323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DIANA MARIE SAENZ</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secondary, confession, questioning, port of entry, inspection, reasonable person, interrogation, warnings, custody, birth certificate, documentation, detention, formal arrest, citizenship, custodial interrogation, cell phone, RECOMMENDATION, law enforcement officer, no evidence, encounter, telephone, Suppress, freedom of movement, inadmissible, handcuffed, coercion, detained, Border</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Diana Marie Saenz, Defendant (1): Adrian Chapa , III, LEAD ATTORNEY, Asst. Federal Public Defender,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Carlos M Alaniz, LEAD ATTORNEY, Office of the Federal Public Defender,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Federal Public Defender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James Michael Ustynoski, LEAD ATTORNEY, United States Attorney'sOffice,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Financial Litigation, U S Attorney's Office, Southern District of Texas, Houston, TX; US Pretrial Svcs-La, US Probation - 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 SCOTT HACKER,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 SCOTT HACKER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On June 1, 2010, Defendant Diana Marie Saenz filed her "Motion to Suppress Evidence." (Dkt. No. 14). </w:t>
      </w:r>
      <w:bookmarkStart w:id="8" w:name="Bookmark_I52J54DR0STFXH0020000400"/>
      <w:bookmarkEnd w:id="8"/>
      <w:r>
        <w:rPr>
          <w:rFonts w:ascii="arial" w:eastAsia="arial" w:hAnsi="arial" w:cs="arial"/>
          <w:b w:val="0"/>
          <w:i w:val="0"/>
          <w:strike w:val="0"/>
          <w:noProof w:val="0"/>
          <w:color w:val="000000"/>
          <w:position w:val="0"/>
          <w:sz w:val="20"/>
          <w:u w:val="none"/>
          <w:vertAlign w:val="baseline"/>
        </w:rPr>
        <w:t xml:space="preserve">Defendant moves to suppress her statements made to Customs and Border Protection ("CBP") after being referred to "secondary inspection" at the Gateway to the Americas Port of Entry (the "port of entry")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First, Defendant argues that, while in custody and without being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a Customs and Border Protection Officer ("CBPO") interrogated her until she made an "unwarned confession."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Second, Defendant contends that, although later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were administered, those warnings were ineffective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(under </w:t>
      </w:r>
      <w:bookmarkStart w:id="9" w:name="Bookmark_I52J54DR0STFXH0010000400"/>
      <w:bookmarkEnd w:id="9"/>
      <w:hyperlink r:id="rId10" w:history="1">
        <w:r>
          <w:rPr>
            <w:rFonts w:ascii="arial" w:eastAsia="arial" w:hAnsi="arial" w:cs="arial"/>
            <w:b w:val="0"/>
            <w:i/>
            <w:strike w:val="0"/>
            <w:noProof w:val="0"/>
            <w:color w:val="0077CC"/>
            <w:position w:val="0"/>
            <w:sz w:val="20"/>
            <w:u w:val="single"/>
            <w:vertAlign w:val="baseline"/>
          </w:rPr>
          <w:t>Missouri v. Seibert</w:t>
        </w:r>
      </w:hyperlink>
      <w:hyperlink r:id="rId10" w:history="1">
        <w:r>
          <w:rPr>
            <w:rFonts w:ascii="arial" w:eastAsia="arial" w:hAnsi="arial" w:cs="arial"/>
            <w:b w:val="0"/>
            <w:i/>
            <w:strike w:val="0"/>
            <w:noProof w:val="0"/>
            <w:color w:val="0077CC"/>
            <w:position w:val="0"/>
            <w:sz w:val="20"/>
            <w:u w:val="single"/>
            <w:vertAlign w:val="baseline"/>
          </w:rPr>
          <w:t>, 542 U.S. 600, 124 S. Ct. 2601, 159 L. Ed. 2d 643 (2004))</w:t>
        </w:r>
      </w:hyperlink>
      <w:r>
        <w:rPr>
          <w:rFonts w:ascii="arial" w:eastAsia="arial" w:hAnsi="arial" w:cs="arial"/>
          <w:b w:val="0"/>
          <w:i w:val="0"/>
          <w:strike w:val="0"/>
          <w:noProof w:val="0"/>
          <w:color w:val="000000"/>
          <w:position w:val="0"/>
          <w:sz w:val="20"/>
          <w:u w:val="none"/>
          <w:vertAlign w:val="baseline"/>
        </w:rPr>
        <w:t>, and that the Court should find her "second confession" inadmissible.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Finally, Defendant denies that any of her statements at "secondary inspection" were made voluntarily.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An evidentiary hearing was held on June 4, 2010. Defendant, who is currently released on bond, appeared with counsel. At the hearing, the Court heard the testimony of the Government's witnesses: CBPO Omar Gonzalez and CBPO Maria Villarreal. CBPO Gonzalez and CBPO Villarreal have been employed with CBP for one year and eight months and four years, respectively. CBPO Villarreal has been assigned to a secured area known as "hard" secondary for about one year and nine months.</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Having considered the matter, the Magistrate Judge RECOMMENDS that the District Judge, after her own independent review, DENY Defendant's "Motion to Suppress Evidence" (Dkt. No.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FACTUAL FINDINGS</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On April 18, 2010, at approximately 12:02 a.m., Defendant, along with a two year old child, attempted to gain entry into the United States at the port of entry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At primary inspection, Defendant presented inadequate documentation regarding the child's citizenship, showing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only a Texas immunization record and a "Congratulations" note from the hospital where the child was born.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Government Exhibits 1 and 2. Soon thereafter, at approximately 12:10 a.m., CBPO Acosta referred Defendant to secondary inspection.</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That early morning, CBPO Gonzalez worked "soft" secondary inspection and processed Defendant.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There, Defendant represented to CBPO Gonzalez that the child was her niece and, again, only presented the child's immunization record and the hospital note in an attempt to gain the child's admission into the United States.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When CBPO Gonzalez looked at the two documents, he noted that the last number in the year of birth appeared to have been altered from a "7" to an "8." He then queried Defendant's name through a computer database and learned (from a "TECS hit") that Defendant had been apprehended on April 16, 2010 at the IH-35 Border Patrol checkpoint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Further, when he queried the child's mother's name (Defendant's sister), the officer noted that she had been apprehended for smuggling aliens in 2009.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According to CBPO Gonzalez, during that incident, Defendant's sister had a baby (which was born in 2007) that was "supposedly" turned over to a mother-in-law.</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At approximately 12:30 a.m., Defendant was referred to another area in secondary inspection known as "hard" secondary, so that the child's citizenship could be established.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 this area, officers have more training and computer programs to deal with immigration and citizenship issues. Once an individual is referred to "hard" secondary, they are not free to leave, and they have no choice but to go to this location.</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Because this area of secondary is secured, Defendant was escorted to an adjacent room, where CBPOs Maria Villarreal and Sandy Gonzalez performed a pat-down on Defendant. During this process, officers removed all of Defendant's personal belongings—including her Nextel telephone ("cell phone"). Defendant was then taken into the secured area and was seated on the bench across from CBPO Villarreal's desk.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At this time, the child was sleeping in her stroller next to Defendant. Shortly thereafter, CBPO Pena, a supervisor, provided CBPO Villarreal with the child's two documents, and also informed her that Defendant had recently been apprehended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 this area, there were two CBP officers and one supervisor present, who were all in uniform and armed. Moreover, there were at least three other non-CBP individuals (in addition to Defendant) who had also been referred to "hard" secondary from the pervious work-shift.</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 xml:space="preserve">During the process, CBPO Pena and CBPO Villarreal asked Defendant various questions regarding the child's citizenship and Defendant's relationship with the child.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Defendant provided the following information: (1) the child was a U.S. citizen and her niece; (2) the child had been staying with her grandmother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(3) Defendant was taking the child to her sister—the child's mother; (5) the child's mother provided Defendant with the two documents; (6)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Defendant was sure that the child's mother did not provide her with the child's birth certificate, and (7) the child's mother was taking child's grandmother to a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Defendant was soon told that she would need to obtain proper documentation for the child in order for the child to gain admission into the United States. Defendant was very cooperative and stated that she could have someone bring the child's birth certificate to the port of entry.</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At this point, Defendant was given back her cell phone. She was allowed to make several telephone calls to obtain the child's birth certificate while CBPO Villarreal started doing other administrative work at her desk. Periodically, Defendant would make a comment that no one was answering, wait a while, and make another attempt to call someone else. While Defendant was making these calls, it appeared that she did make contact with another person. Sometime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thereafter, Defendant commented to CBPO Villarreal that Defendant's sister had to be at the hospital. CBPO Villarreal then asked Defendant for the name of the hospital in which the grandmother was taken. Defendant responded that it was Mercy Hospital. CBPO Villarreal then called the hospital, but no one with the grandmother's name had been admitted or treated there. The officer then called Doctor's Hospital and was told the same information. Defendant was still given additional opportunities to use her own cell phone to contact someone to bring the child's birth certificate. </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 xml:space="preserve">At approximately 2:45 a.m. or 2:50 a.m., Defendant's cell phone was taken from her and one of her hands was handcuffed to a chair for safety reasons. Either just before or within a few minutes after Defendant was handcuffed (which is unclear from the record), Defendant mentioned that she had reached the mother of the child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and that she was en route to the port of entry with the birth certificate. For about forty to forty-five minutes, Defendant sat handcuffed to the chair across from CBPO Villarreal. At that time, Defendant began to appear nervous and anxious so CBPO Villarreal asked her if everything was alright and if she would like some water. Defendant replied that she sometimes gets "like that" and then said, in Spanish, "no es" which translates to "no it isn't." CBPO Villarreal understood that to mean that the child was not a United States citizen and asked a question to clarify what Defendant had actually meant by her utterance. Defendant then confirmed that the child was not a United States citizen. A few minutes later, at approximately 3:30 a.m., the child's real mother, who was not Defendant's sister, arrived at the port of entry with a Mexican birth certificate. The child's mother was subsequently interviewed by CBPO Villarreal. Less than one hour later, at about 4:10 a.m., Defendant was read 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and CBPO Villarreal asked similar questions to the ones that she had earlier asked Defendant when trying to determine the child's citizenship. During this line of questioning, Defendant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gave a confession.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Government Exhibit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Defendant Was Not In Custody Under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During Her Initial Questioning At Secondary Inspection</w:t>
      </w:r>
    </w:p>
    <w:p>
      <w:pPr>
        <w:keepNext w:val="0"/>
        <w:spacing w:before="200" w:after="0" w:line="260" w:lineRule="atLeast"/>
        <w:ind w:left="0" w:right="0" w:firstLine="0"/>
        <w:jc w:val="both"/>
      </w:pPr>
      <w:bookmarkStart w:id="27" w:name="Bookmark_para_11"/>
      <w:bookmarkEnd w:id="27"/>
      <w:bookmarkStart w:id="28" w:name="Bookmark_I52J54DR0STFXH0040000400"/>
      <w:bookmarkEnd w:id="28"/>
      <w:r>
        <w:rPr>
          <w:rFonts w:ascii="arial" w:eastAsia="arial" w:hAnsi="arial" w:cs="arial"/>
          <w:b w:val="0"/>
          <w:i w:val="0"/>
          <w:strike w:val="0"/>
          <w:noProof w:val="0"/>
          <w:color w:val="000000"/>
          <w:position w:val="0"/>
          <w:sz w:val="20"/>
          <w:u w:val="none"/>
          <w:vertAlign w:val="baseline"/>
        </w:rPr>
        <w:t xml:space="preserve">Defendant argues that the CBP officers' initial questioning of her at secondary inspection was tantamount to a custodial interrogation, and her statements should be deemed inadmissible. The prosecution may not use any statements that are the result of a custodial interrogation of a suspect unless procedural safeguards are used to "secure the privilege against self-incrimination." </w:t>
      </w:r>
      <w:bookmarkStart w:id="29" w:name="Bookmark_I52J54DR0STFXH0030000400"/>
      <w:bookmarkEnd w:id="29"/>
      <w:hyperlink r:id="rId11" w:history="1">
        <w:r>
          <w:rPr>
            <w:rFonts w:ascii="arial" w:eastAsia="arial" w:hAnsi="arial" w:cs="arial"/>
            <w:b w:val="0"/>
            <w:i/>
            <w:strike w:val="0"/>
            <w:noProof w:val="0"/>
            <w:color w:val="0077CC"/>
            <w:position w:val="0"/>
            <w:sz w:val="20"/>
            <w:u w:val="single"/>
            <w:vertAlign w:val="baseline"/>
          </w:rPr>
          <w:t>Miranda v. Arizona</w:t>
        </w:r>
      </w:hyperlink>
      <w:hyperlink r:id="rId11" w:history="1">
        <w:r>
          <w:rPr>
            <w:rFonts w:ascii="arial" w:eastAsia="arial" w:hAnsi="arial" w:cs="arial"/>
            <w:b w:val="0"/>
            <w:i/>
            <w:strike w:val="0"/>
            <w:noProof w:val="0"/>
            <w:color w:val="0077CC"/>
            <w:position w:val="0"/>
            <w:sz w:val="20"/>
            <w:u w:val="single"/>
            <w:vertAlign w:val="baseline"/>
          </w:rPr>
          <w:t>, 384 U.S. 436, 444, 86 S. Ct. 1602, 16 L. Ed. 2d 694 (1966)</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are that procedural safeguard.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Court defined "custodial interrogation" as "questioning initiated by law enforcement officers after a person has been taken into custody or otherwise deprived of his freedom of action in any significant way." </w:t>
      </w:r>
      <w:r>
        <w:rPr>
          <w:rFonts w:ascii="arial" w:eastAsia="arial" w:hAnsi="arial" w:cs="arial"/>
          <w:b w:val="0"/>
          <w:i/>
          <w:strike w:val="0"/>
          <w:noProof w:val="0"/>
          <w:color w:val="000000"/>
          <w:position w:val="0"/>
          <w:sz w:val="20"/>
          <w:u w:val="none"/>
          <w:vertAlign w:val="baseline"/>
        </w:rPr>
        <w:t>Id. Miranda</w:t>
      </w:r>
      <w:r>
        <w:rPr>
          <w:rFonts w:ascii="arial" w:eastAsia="arial" w:hAnsi="arial" w:cs="arial"/>
          <w:b w:val="0"/>
          <w:i w:val="0"/>
          <w:strike w:val="0"/>
          <w:noProof w:val="0"/>
          <w:color w:val="000000"/>
          <w:position w:val="0"/>
          <w:sz w:val="20"/>
          <w:u w:val="none"/>
          <w:vertAlign w:val="baseline"/>
        </w:rPr>
        <w:t xml:space="preserve"> suggests that custody may be defined as significant deprivation of a suspect's freedom of action.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0" w:name="Bookmark_para_12"/>
      <w:bookmarkEnd w:id="30"/>
      <w:bookmarkStart w:id="31" w:name="Bookmark_I6KYY7MNYY300006FM1000XP"/>
      <w:bookmarkEnd w:id="31"/>
      <w:bookmarkStart w:id="32" w:name="Bookmark_I6KYY7MP1BW00006FM1000XR"/>
      <w:bookmarkEnd w:id="32"/>
      <w:bookmarkStart w:id="33" w:name="Bookmark_I52J54F70STGBP0010000400"/>
      <w:bookmarkEnd w:id="33"/>
      <w:bookmarkStart w:id="34" w:name="Bookmark_I52J54F70STGBP0050000400"/>
      <w:bookmarkEnd w:id="34"/>
      <w:r>
        <w:rPr>
          <w:rFonts w:ascii="arial" w:eastAsia="arial" w:hAnsi="arial" w:cs="arial"/>
          <w:b w:val="0"/>
          <w:i w:val="0"/>
          <w:strike w:val="0"/>
          <w:noProof w:val="0"/>
          <w:color w:val="000000"/>
          <w:position w:val="0"/>
          <w:sz w:val="20"/>
          <w:u w:val="none"/>
          <w:vertAlign w:val="baseline"/>
        </w:rPr>
        <w:t xml:space="preserve">However, the Fifth Circuit has determined that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arises when a suspect is "placed under formal arrest or when a reasonable person in the suspect's position would have understood the situation to constitute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a restraint on freedom of movement of the degree which the law associates with formal arrest." </w:t>
      </w:r>
      <w:bookmarkStart w:id="35" w:name="Bookmark_I52J54DR0STFXH0050000400"/>
      <w:bookmarkEnd w:id="35"/>
      <w:hyperlink r:id="rId12" w:history="1">
        <w:r>
          <w:rPr>
            <w:rFonts w:ascii="arial" w:eastAsia="arial" w:hAnsi="arial" w:cs="arial"/>
            <w:b w:val="0"/>
            <w:i/>
            <w:strike w:val="0"/>
            <w:noProof w:val="0"/>
            <w:color w:val="0077CC"/>
            <w:position w:val="0"/>
            <w:sz w:val="20"/>
            <w:u w:val="single"/>
            <w:vertAlign w:val="baseline"/>
          </w:rPr>
          <w:t>United States v. Courtney</w:t>
        </w:r>
      </w:hyperlink>
      <w:hyperlink r:id="rId12" w:history="1">
        <w:r>
          <w:rPr>
            <w:rFonts w:ascii="arial" w:eastAsia="arial" w:hAnsi="arial" w:cs="arial"/>
            <w:b w:val="0"/>
            <w:i/>
            <w:strike w:val="0"/>
            <w:noProof w:val="0"/>
            <w:color w:val="0077CC"/>
            <w:position w:val="0"/>
            <w:sz w:val="20"/>
            <w:u w:val="single"/>
            <w:vertAlign w:val="baseline"/>
          </w:rPr>
          <w:t>, 463 F.3d 333, 337 (5th Cir. 2006)</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52J54F70STGBP0020000400"/>
      <w:bookmarkEnd w:id="36"/>
      <w:hyperlink r:id="rId13" w:history="1">
        <w:r>
          <w:rPr>
            <w:rFonts w:ascii="arial" w:eastAsia="arial" w:hAnsi="arial" w:cs="arial"/>
            <w:b w:val="0"/>
            <w:i/>
            <w:strike w:val="0"/>
            <w:noProof w:val="0"/>
            <w:color w:val="0077CC"/>
            <w:position w:val="0"/>
            <w:sz w:val="20"/>
            <w:u w:val="single"/>
            <w:vertAlign w:val="baseline"/>
          </w:rPr>
          <w:t>United States v. Bengivenga</w:t>
        </w:r>
      </w:hyperlink>
      <w:hyperlink r:id="rId13" w:history="1">
        <w:r>
          <w:rPr>
            <w:rFonts w:ascii="arial" w:eastAsia="arial" w:hAnsi="arial" w:cs="arial"/>
            <w:b w:val="0"/>
            <w:i/>
            <w:strike w:val="0"/>
            <w:noProof w:val="0"/>
            <w:color w:val="0077CC"/>
            <w:position w:val="0"/>
            <w:sz w:val="20"/>
            <w:u w:val="single"/>
            <w:vertAlign w:val="baseline"/>
          </w:rPr>
          <w:t>, 845 F.2d 593, 596 (5th Cir. 1988)</w:t>
        </w:r>
      </w:hyperlink>
      <w:r>
        <w:rPr>
          <w:rFonts w:ascii="arial" w:eastAsia="arial" w:hAnsi="arial" w:cs="arial"/>
          <w:b w:val="0"/>
          <w:i w:val="0"/>
          <w:strike w:val="0"/>
          <w:noProof w:val="0"/>
          <w:color w:val="000000"/>
          <w:position w:val="0"/>
          <w:sz w:val="20"/>
          <w:u w:val="none"/>
          <w:vertAlign w:val="baseline"/>
        </w:rPr>
        <w:t xml:space="preserve"> (en banc)). </w:t>
      </w:r>
      <w:bookmarkStart w:id="37" w:name="Bookmark_I52J54FP0STGTB0020000400"/>
      <w:bookmarkEnd w:id="37"/>
      <w:r>
        <w:rPr>
          <w:rFonts w:ascii="arial" w:eastAsia="arial" w:hAnsi="arial" w:cs="arial"/>
          <w:b w:val="0"/>
          <w:i w:val="0"/>
          <w:strike w:val="0"/>
          <w:noProof w:val="0"/>
          <w:color w:val="000000"/>
          <w:position w:val="0"/>
          <w:sz w:val="20"/>
          <w:u w:val="none"/>
          <w:vertAlign w:val="baseline"/>
        </w:rPr>
        <w:t xml:space="preserve">This is an objective test, so the perception of the reasonable person must not be distorted by a guilty conscience or by an indifference to the seriousness of the situation. </w:t>
      </w:r>
      <w:bookmarkStart w:id="38" w:name="Bookmark_I52J54F70STGBP0040000400"/>
      <w:bookmarkEnd w:id="38"/>
      <w:hyperlink r:id="rId13" w:history="1">
        <w:r>
          <w:rPr>
            <w:rFonts w:ascii="arial" w:eastAsia="arial" w:hAnsi="arial" w:cs="arial"/>
            <w:b w:val="0"/>
            <w:i/>
            <w:strike w:val="0"/>
            <w:noProof w:val="0"/>
            <w:color w:val="0077CC"/>
            <w:position w:val="0"/>
            <w:sz w:val="20"/>
            <w:u w:val="single"/>
            <w:vertAlign w:val="baseline"/>
          </w:rPr>
          <w:t>Bengivenga</w:t>
        </w:r>
      </w:hyperlink>
      <w:hyperlink r:id="rId13" w:history="1">
        <w:r>
          <w:rPr>
            <w:rFonts w:ascii="arial" w:eastAsia="arial" w:hAnsi="arial" w:cs="arial"/>
            <w:b w:val="0"/>
            <w:i/>
            <w:strike w:val="0"/>
            <w:noProof w:val="0"/>
            <w:color w:val="0077CC"/>
            <w:position w:val="0"/>
            <w:sz w:val="20"/>
            <w:u w:val="single"/>
            <w:vertAlign w:val="baseline"/>
          </w:rPr>
          <w:t>, 845 F.2d at 596</w:t>
        </w:r>
      </w:hyperlink>
      <w:r>
        <w:rPr>
          <w:rFonts w:ascii="arial" w:eastAsia="arial" w:hAnsi="arial" w:cs="arial"/>
          <w:b w:val="0"/>
          <w:i w:val="0"/>
          <w:strike w:val="0"/>
          <w:noProof w:val="0"/>
          <w:color w:val="000000"/>
          <w:position w:val="0"/>
          <w:sz w:val="20"/>
          <w:u w:val="none"/>
          <w:vertAlign w:val="baseline"/>
        </w:rPr>
        <w:t xml:space="preserve">. </w:t>
      </w:r>
      <w:bookmarkStart w:id="39" w:name="Bookmark_I52J54FP0STGTB0020000400_2"/>
      <w:bookmarkEnd w:id="39"/>
      <w:r>
        <w:rPr>
          <w:rFonts w:ascii="arial" w:eastAsia="arial" w:hAnsi="arial" w:cs="arial"/>
          <w:b w:val="0"/>
          <w:i w:val="0"/>
          <w:strike w:val="0"/>
          <w:noProof w:val="0"/>
          <w:color w:val="000000"/>
          <w:position w:val="0"/>
          <w:sz w:val="20"/>
          <w:u w:val="none"/>
          <w:vertAlign w:val="baseline"/>
        </w:rPr>
        <w:t xml:space="preserve">The defendant bears the burden of proving that he or she was in custody for the purposes of </w:t>
      </w:r>
      <w:bookmarkStart w:id="40" w:name="Bookmark_I52J54FP0STGTB0010000400"/>
      <w:bookmarkEnd w:id="40"/>
      <w:hyperlink r:id="rId14" w:history="1">
        <w:r>
          <w:rPr>
            <w:rFonts w:ascii="arial" w:eastAsia="arial" w:hAnsi="arial" w:cs="arial"/>
            <w:b w:val="0"/>
            <w:i/>
            <w:strike w:val="0"/>
            <w:noProof w:val="0"/>
            <w:color w:val="0077CC"/>
            <w:position w:val="0"/>
            <w:sz w:val="20"/>
            <w:u w:val="single"/>
            <w:vertAlign w:val="baseline"/>
          </w:rPr>
          <w:t>Miranda. United States v. Davis</w:t>
        </w:r>
      </w:hyperlink>
      <w:hyperlink r:id="rId14" w:history="1">
        <w:r>
          <w:rPr>
            <w:rFonts w:ascii="arial" w:eastAsia="arial" w:hAnsi="arial" w:cs="arial"/>
            <w:b w:val="0"/>
            <w:i/>
            <w:strike w:val="0"/>
            <w:noProof w:val="0"/>
            <w:color w:val="0077CC"/>
            <w:position w:val="0"/>
            <w:sz w:val="20"/>
            <w:u w:val="single"/>
            <w:vertAlign w:val="baseline"/>
          </w:rPr>
          <w:t>, 792 F.2d 1299, 1309 (5th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3"/>
      <w:bookmarkEnd w:id="41"/>
      <w:bookmarkStart w:id="42" w:name="Bookmark_I53M0P9S1D900053NTY0018J"/>
      <w:bookmarkEnd w:id="42"/>
      <w:bookmarkStart w:id="43" w:name="Bookmark_I52J54FP0STGTB0040000400"/>
      <w:bookmarkEnd w:id="43"/>
      <w:r>
        <w:rPr>
          <w:rFonts w:ascii="arial" w:eastAsia="arial" w:hAnsi="arial" w:cs="arial"/>
          <w:b w:val="0"/>
          <w:i w:val="0"/>
          <w:strike w:val="0"/>
          <w:noProof w:val="0"/>
          <w:color w:val="000000"/>
          <w:position w:val="0"/>
          <w:sz w:val="20"/>
          <w:u w:val="none"/>
          <w:vertAlign w:val="baseline"/>
        </w:rPr>
        <w:t xml:space="preserve">The Fifth Circuit has considered various factors when determining if a reasonable person would understand a restriction of his or her freedom of movement rising to the level of formal arrest. In </w:t>
      </w:r>
      <w:r>
        <w:rPr>
          <w:rFonts w:ascii="arial" w:eastAsia="arial" w:hAnsi="arial" w:cs="arial"/>
          <w:b w:val="0"/>
          <w:i/>
          <w:strike w:val="0"/>
          <w:noProof w:val="0"/>
          <w:color w:val="000000"/>
          <w:position w:val="0"/>
          <w:sz w:val="20"/>
          <w:u w:val="none"/>
          <w:vertAlign w:val="baseline"/>
        </w:rPr>
        <w:t>Bengivenga</w:t>
      </w:r>
      <w:r>
        <w:rPr>
          <w:rFonts w:ascii="arial" w:eastAsia="arial" w:hAnsi="arial" w:cs="arial"/>
          <w:b w:val="0"/>
          <w:i w:val="0"/>
          <w:strike w:val="0"/>
          <w:noProof w:val="0"/>
          <w:color w:val="000000"/>
          <w:position w:val="0"/>
          <w:sz w:val="20"/>
          <w:u w:val="none"/>
          <w:vertAlign w:val="baseline"/>
        </w:rPr>
        <w:t xml:space="preserve">, the court considered the length of the detention, the location of the encounter, the number of officers present, and the element of surprise in the encounter. </w:t>
      </w:r>
      <w:bookmarkStart w:id="44" w:name="Bookmark_I44J00584W100008GFD000RR"/>
      <w:bookmarkEnd w:id="44"/>
      <w:bookmarkStart w:id="45" w:name="Bookmark_I52J54G50STH780010000400"/>
      <w:bookmarkEnd w:id="45"/>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49" w:name="Bookmark_I52J54FP0STGTB0030000400"/>
      <w:bookmarkEnd w:id="49"/>
      <w:hyperlink r:id="rId13" w:history="1">
        <w:r>
          <w:rPr>
            <w:rFonts w:ascii="arial" w:eastAsia="arial" w:hAnsi="arial" w:cs="arial"/>
            <w:b w:val="0"/>
            <w:i/>
            <w:strike w:val="0"/>
            <w:noProof w:val="0"/>
            <w:color w:val="0077CC"/>
            <w:position w:val="0"/>
            <w:sz w:val="20"/>
            <w:u w:val="single"/>
            <w:vertAlign w:val="baseline"/>
          </w:rPr>
          <w:t>Bengivenga</w:t>
        </w:r>
      </w:hyperlink>
      <w:hyperlink r:id="rId13" w:history="1">
        <w:r>
          <w:rPr>
            <w:rFonts w:ascii="arial" w:eastAsia="arial" w:hAnsi="arial" w:cs="arial"/>
            <w:b w:val="0"/>
            <w:i/>
            <w:strike w:val="0"/>
            <w:noProof w:val="0"/>
            <w:color w:val="0077CC"/>
            <w:position w:val="0"/>
            <w:sz w:val="20"/>
            <w:u w:val="single"/>
            <w:vertAlign w:val="baseline"/>
          </w:rPr>
          <w:t>, 845 F.2d at 598-600</w:t>
        </w:r>
      </w:hyperlink>
      <w:r>
        <w:rPr>
          <w:rFonts w:ascii="arial" w:eastAsia="arial" w:hAnsi="arial" w:cs="arial"/>
          <w:b w:val="0"/>
          <w:i w:val="0"/>
          <w:strike w:val="0"/>
          <w:noProof w:val="0"/>
          <w:color w:val="000000"/>
          <w:position w:val="0"/>
          <w:sz w:val="20"/>
          <w:u w:val="none"/>
          <w:vertAlign w:val="baseline"/>
        </w:rPr>
        <w:t xml:space="preserve">. </w:t>
      </w:r>
      <w:bookmarkStart w:id="50" w:name="Bookmark_I53M0P9S57F00053NTY0018K"/>
      <w:bookmarkEnd w:id="50"/>
      <w:bookmarkStart w:id="51" w:name="Bookmark_I52J54G50STH780010000400_2"/>
      <w:bookmarkEnd w:id="51"/>
      <w:r>
        <w:rPr>
          <w:rFonts w:ascii="arial" w:eastAsia="arial" w:hAnsi="arial" w:cs="arial"/>
          <w:b w:val="0"/>
          <w:i w:val="0"/>
          <w:strike w:val="0"/>
          <w:noProof w:val="0"/>
          <w:color w:val="000000"/>
          <w:position w:val="0"/>
          <w:sz w:val="20"/>
          <w:u w:val="none"/>
          <w:vertAlign w:val="baseline"/>
        </w:rPr>
        <w:t xml:space="preserve">The Fifth Circuit also considered the level of isolation from the public. </w:t>
      </w:r>
      <w:bookmarkStart w:id="52" w:name="Bookmark_I44J00589KM00008GFD000XW"/>
      <w:bookmarkEnd w:id="52"/>
      <w:bookmarkStart w:id="53" w:name="Bookmark_I52J54G50STH780050000400"/>
      <w:bookmarkEnd w:id="53"/>
      <w:bookmarkStart w:id="54" w:name="Bookmark_I52J54FP0STGTB0050000400"/>
      <w:bookmarkEnd w:id="54"/>
      <w:hyperlink r:id="rId15" w:history="1">
        <w:r>
          <w:rPr>
            <w:rFonts w:ascii="arial" w:eastAsia="arial" w:hAnsi="arial" w:cs="arial"/>
            <w:b w:val="0"/>
            <w:i/>
            <w:strike w:val="0"/>
            <w:noProof w:val="0"/>
            <w:color w:val="0077CC"/>
            <w:position w:val="0"/>
            <w:sz w:val="20"/>
            <w:u w:val="single"/>
            <w:vertAlign w:val="baseline"/>
          </w:rPr>
          <w:t>United States v. Harrell</w:t>
        </w:r>
      </w:hyperlink>
      <w:hyperlink r:id="rId15" w:history="1">
        <w:r>
          <w:rPr>
            <w:rFonts w:ascii="arial" w:eastAsia="arial" w:hAnsi="arial" w:cs="arial"/>
            <w:b w:val="0"/>
            <w:i/>
            <w:strike w:val="0"/>
            <w:noProof w:val="0"/>
            <w:color w:val="0077CC"/>
            <w:position w:val="0"/>
            <w:sz w:val="20"/>
            <w:u w:val="single"/>
            <w:vertAlign w:val="baseline"/>
          </w:rPr>
          <w:t>, 894 F.2d 120, 123 (5th Cir. 1990)</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52J54G50STH780020000400"/>
      <w:bookmarkEnd w:id="55"/>
      <w:hyperlink r:id="rId13" w:history="1">
        <w:r>
          <w:rPr>
            <w:rFonts w:ascii="arial" w:eastAsia="arial" w:hAnsi="arial" w:cs="arial"/>
            <w:b w:val="0"/>
            <w:i/>
            <w:strike w:val="0"/>
            <w:noProof w:val="0"/>
            <w:color w:val="0077CC"/>
            <w:position w:val="0"/>
            <w:sz w:val="20"/>
            <w:u w:val="single"/>
            <w:vertAlign w:val="baseline"/>
          </w:rPr>
          <w:t>Bengivenga</w:t>
        </w:r>
      </w:hyperlink>
      <w:hyperlink r:id="rId13" w:history="1">
        <w:r>
          <w:rPr>
            <w:rFonts w:ascii="arial" w:eastAsia="arial" w:hAnsi="arial" w:cs="arial"/>
            <w:b w:val="0"/>
            <w:i/>
            <w:strike w:val="0"/>
            <w:noProof w:val="0"/>
            <w:color w:val="0077CC"/>
            <w:position w:val="0"/>
            <w:sz w:val="20"/>
            <w:u w:val="single"/>
            <w:vertAlign w:val="baseline"/>
          </w:rPr>
          <w:t>, 845 F.2d at 599-600</w:t>
        </w:r>
      </w:hyperlink>
      <w:r>
        <w:rPr>
          <w:rFonts w:ascii="arial" w:eastAsia="arial" w:hAnsi="arial" w:cs="arial"/>
          <w:b w:val="0"/>
          <w:i w:val="0"/>
          <w:strike w:val="0"/>
          <w:noProof w:val="0"/>
          <w:color w:val="000000"/>
          <w:position w:val="0"/>
          <w:sz w:val="20"/>
          <w:u w:val="none"/>
          <w:vertAlign w:val="baseline"/>
        </w:rPr>
        <w:t xml:space="preserve">). </w:t>
      </w:r>
      <w:bookmarkStart w:id="56" w:name="Bookmark_I53M0P9SCM100053NTY0018N"/>
      <w:bookmarkEnd w:id="56"/>
      <w:bookmarkStart w:id="57" w:name="Bookmark_I52J54G50STH780050000400_2"/>
      <w:bookmarkEnd w:id="57"/>
      <w:r>
        <w:rPr>
          <w:rFonts w:ascii="arial" w:eastAsia="arial" w:hAnsi="arial" w:cs="arial"/>
          <w:b w:val="0"/>
          <w:i w:val="0"/>
          <w:strike w:val="0"/>
          <w:noProof w:val="0"/>
          <w:color w:val="000000"/>
          <w:position w:val="0"/>
          <w:sz w:val="20"/>
          <w:u w:val="none"/>
          <w:vertAlign w:val="baseline"/>
        </w:rPr>
        <w:t xml:space="preserve">Moreover, the fact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that a person has been detained and referred to secondary inspection at a port of entry does not, by itself, constitute an arrest requiring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3" w:name="Bookmark_I52J54G50STH780040000400"/>
      <w:bookmarkEnd w:id="63"/>
      <w:hyperlink r:id="rId16" w:history="1">
        <w:r>
          <w:rPr>
            <w:rFonts w:ascii="arial" w:eastAsia="arial" w:hAnsi="arial" w:cs="arial"/>
            <w:b w:val="0"/>
            <w:i/>
            <w:strike w:val="0"/>
            <w:noProof w:val="0"/>
            <w:color w:val="0077CC"/>
            <w:position w:val="0"/>
            <w:sz w:val="20"/>
            <w:u w:val="single"/>
            <w:vertAlign w:val="baseline"/>
          </w:rPr>
          <w:t>United States v. Hernandez</w:t>
        </w:r>
      </w:hyperlink>
      <w:hyperlink r:id="rId16" w:history="1">
        <w:r>
          <w:rPr>
            <w:rFonts w:ascii="arial" w:eastAsia="arial" w:hAnsi="arial" w:cs="arial"/>
            <w:b w:val="0"/>
            <w:i/>
            <w:strike w:val="0"/>
            <w:noProof w:val="0"/>
            <w:color w:val="0077CC"/>
            <w:position w:val="0"/>
            <w:sz w:val="20"/>
            <w:u w:val="single"/>
            <w:vertAlign w:val="baseline"/>
          </w:rPr>
          <w:t>, 229 Fed. Appx. 331, 332 (5th Cir. 2007)</w:t>
        </w:r>
      </w:hyperlink>
      <w:r>
        <w:rPr>
          <w:rFonts w:ascii="arial" w:eastAsia="arial" w:hAnsi="arial" w:cs="arial"/>
          <w:b w:val="0"/>
          <w:i w:val="0"/>
          <w:strike w:val="0"/>
          <w:noProof w:val="0"/>
          <w:color w:val="000000"/>
          <w:position w:val="0"/>
          <w:sz w:val="20"/>
          <w:u w:val="none"/>
          <w:vertAlign w:val="baseline"/>
        </w:rPr>
        <w:t xml:space="preserve"> (stating that "[r]eferral to secondary inspection at a border checkpoint does not constitute an arrest requiring Miranda warnings.") (citations omitted).</w:t>
      </w:r>
    </w:p>
    <w:p>
      <w:pPr>
        <w:keepNext w:val="0"/>
        <w:spacing w:before="24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 xml:space="preserve">Defendant was not placed under formal arrest, so the only necessary inquiry is whether a reasonable person would have understood the situation to be a limitation on his or her freedom of movement rising to the level of a formal arrest. </w:t>
      </w:r>
      <w:bookmarkStart w:id="65" w:name="Bookmark_I52J54H10STJ450030000400"/>
      <w:bookmarkEnd w:id="65"/>
      <w:r>
        <w:rPr>
          <w:rFonts w:ascii="arial" w:eastAsia="arial" w:hAnsi="arial" w:cs="arial"/>
          <w:b w:val="0"/>
          <w:i w:val="0"/>
          <w:strike w:val="0"/>
          <w:noProof w:val="0"/>
          <w:color w:val="000000"/>
          <w:position w:val="0"/>
          <w:sz w:val="20"/>
          <w:u w:val="none"/>
          <w:vertAlign w:val="baseline"/>
        </w:rPr>
        <w:t xml:space="preserve">The first factor to consider is the length of the detention. Here, Defendant was initially questioned and detained for approximately three and one-half hours before she was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and gave a confession. However, the length of Defendant's detention is much different than a typical a "stationhouse interrogation," where a reasonable person would expect questioning to continue until one provides answers that the interrogators seek.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bookmarkStart w:id="66" w:name="Bookmark_I52J54H10STJ450020000400"/>
      <w:bookmarkEnd w:id="66"/>
      <w:hyperlink r:id="rId13" w:history="1">
        <w:r>
          <w:rPr>
            <w:rFonts w:ascii="arial" w:eastAsia="arial" w:hAnsi="arial" w:cs="arial"/>
            <w:b w:val="0"/>
            <w:i/>
            <w:strike w:val="0"/>
            <w:noProof w:val="0"/>
            <w:color w:val="0077CC"/>
            <w:position w:val="0"/>
            <w:sz w:val="20"/>
            <w:u w:val="single"/>
            <w:vertAlign w:val="baseline"/>
          </w:rPr>
          <w:t>Bengivenga, 845 F.2d at 598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15"/>
      <w:bookmarkEnd w:id="67"/>
      <w:r>
        <w:rPr>
          <w:rFonts w:ascii="arial" w:eastAsia="arial" w:hAnsi="arial" w:cs="arial"/>
          <w:b w:val="0"/>
          <w:i w:val="0"/>
          <w:strike w:val="0"/>
          <w:noProof w:val="0"/>
          <w:color w:val="000000"/>
          <w:position w:val="0"/>
          <w:sz w:val="20"/>
          <w:u w:val="none"/>
          <w:vertAlign w:val="baseline"/>
        </w:rPr>
        <w:t xml:space="preserve">In this case, soon after Defendant was taken to "hard" secondary, at about 12:30 a.m., she was told that proper documentation for the child was needed. Defendant was cooperative and told the CBP Officer that she could have the child's birth certificate brought to the port of entry.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The officer gave Defendant her cell phone so that Defendant could make that arrangement. The majority of Defendant's initial questioning, regarding the child's citizenship and her relationship with the child, was brief and was conducted before Defendant received her cell phone. A few questions were likely asked while Defendant was making her telephone calls. However, for over two hours, Defendant was unrestrained and pretended to make several telephone calls under the pretense of trying to get someone to bring the child's birth certificate to the port of entry. During this time, CBPO Villarreal turned her primary attention away from Defendant and began to do other administrative work. At one point, CBPO Villarreal even telephoned the two local hospitals trying to help Defendant contact the child's mother. At approximately 2:45 a.m. or a few minutes after, Defendant informed the officer that the child's mother was coming to the port of entry with the child's birth certificate. Finally, there is no evidence any CBP officer confronted Defendant about the suspicion that the documents had been altered or that Defendant had recently been apprehended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16"/>
      <w:bookmarkEnd w:id="68"/>
      <w:r>
        <w:rPr>
          <w:rFonts w:ascii="arial" w:eastAsia="arial" w:hAnsi="arial" w:cs="arial"/>
          <w:b w:val="0"/>
          <w:i w:val="0"/>
          <w:strike w:val="0"/>
          <w:noProof w:val="0"/>
          <w:color w:val="000000"/>
          <w:position w:val="0"/>
          <w:sz w:val="20"/>
          <w:u w:val="none"/>
          <w:vertAlign w:val="baseline"/>
        </w:rPr>
        <w:t xml:space="preserve">Here, the duration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of the detention was derivative of Defendant pretending to have the ability to contact someone that could bring the child's birth certificate. The detention was not prolonged by CBP interrogating Defendant to elicit a confession. In fact, CBP officers tried to shorten the detention by giving back Defendant's cell phone and by making telephone calls to the local hospitals to help Defendant make contact with the child's mother. As such, although Defendant was detained, there is not anything to indicate that, during the initial questioning or the prolonged detention, a reasonable person would think that their freedom of movement was restrained to the degree that the law associates with formal arrest.</w:t>
      </w:r>
    </w:p>
    <w:p>
      <w:pPr>
        <w:keepNext w:val="0"/>
        <w:spacing w:before="200" w:after="0" w:line="260" w:lineRule="atLeast"/>
        <w:ind w:left="0" w:right="0" w:firstLine="0"/>
        <w:jc w:val="both"/>
      </w:pPr>
      <w:bookmarkStart w:id="69" w:name="Bookmark_para_17"/>
      <w:bookmarkEnd w:id="69"/>
      <w:r>
        <w:rPr>
          <w:rFonts w:ascii="arial" w:eastAsia="arial" w:hAnsi="arial" w:cs="arial"/>
          <w:b w:val="0"/>
          <w:i w:val="0"/>
          <w:strike w:val="0"/>
          <w:noProof w:val="0"/>
          <w:color w:val="000000"/>
          <w:position w:val="0"/>
          <w:sz w:val="20"/>
          <w:u w:val="none"/>
          <w:vertAlign w:val="baseline"/>
        </w:rPr>
        <w:t xml:space="preserve">The second factor to consider is the location of the encounter. "Hard" secondary is an open room with four desks or areas to handle immigration matters. While Defendant's encounter is in a secured area that requires heightened safety measures (removing belongings of individuals and handcuffing individuals to chairs), it is not an environment tantamount to a locked or closed off interrogation room. In this area, several non-CBP individuals can be handling their separate immigration matters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simultaneously. In fact, when Defendant arrived, there were three other non-CPB individuals in that room handling an immigration matter.</w:t>
      </w:r>
    </w:p>
    <w:p>
      <w:pPr>
        <w:keepNext w:val="0"/>
        <w:spacing w:before="200" w:after="0" w:line="260" w:lineRule="atLeast"/>
        <w:ind w:left="0" w:right="0" w:firstLine="0"/>
        <w:jc w:val="both"/>
      </w:pPr>
      <w:bookmarkStart w:id="70" w:name="Bookmark_para_18"/>
      <w:bookmarkEnd w:id="70"/>
      <w:r>
        <w:rPr>
          <w:rFonts w:ascii="arial" w:eastAsia="arial" w:hAnsi="arial" w:cs="arial"/>
          <w:b w:val="0"/>
          <w:i w:val="0"/>
          <w:strike w:val="0"/>
          <w:noProof w:val="0"/>
          <w:color w:val="000000"/>
          <w:position w:val="0"/>
          <w:sz w:val="20"/>
          <w:u w:val="none"/>
          <w:vertAlign w:val="baseline"/>
        </w:rPr>
        <w:t>The public factor of this encounter indicates that it less "police dominated" than a typical "stationhouse interrogation." Moreover, it is important to emphasize that the location of the encounter is at port of entry on the Mexican-American border, where a vast number of individuals with various backgrounds (good or bad) are seeking admission into this country. A reasonable person would understand, and perhaps expect, heightened safety measures would be used in this area, an area where both law enforcement and members of the public are present. Consequently, a reasonable person would not perceive such measures as limiting their freedom of movement to the same extent as a formal arrest.</w:t>
      </w:r>
    </w:p>
    <w:p>
      <w:pPr>
        <w:keepNext w:val="0"/>
        <w:spacing w:before="200" w:after="0" w:line="260" w:lineRule="atLeast"/>
        <w:ind w:left="0" w:right="0" w:firstLine="0"/>
        <w:jc w:val="both"/>
      </w:pPr>
      <w:bookmarkStart w:id="71" w:name="Bookmark_para_19"/>
      <w:bookmarkEnd w:id="71"/>
      <w:r>
        <w:rPr>
          <w:rFonts w:ascii="arial" w:eastAsia="arial" w:hAnsi="arial" w:cs="arial"/>
          <w:b w:val="0"/>
          <w:i w:val="0"/>
          <w:strike w:val="0"/>
          <w:noProof w:val="0"/>
          <w:color w:val="000000"/>
          <w:position w:val="0"/>
          <w:sz w:val="20"/>
          <w:u w:val="none"/>
          <w:vertAlign w:val="baseline"/>
        </w:rPr>
        <w:t xml:space="preserve">The third factor to consider is the number of law enforcement officers present. There were only two CBPOs and one supervisor in the secured area. Sandy Gonzalez, a CBPO, was only involved for the pat-down of Defendant prior to Defendant entering "hard" secondary. CBPO Villarreal primarily dealt with Defendant. The supervisor (CBPO Pena) was only marginally involved, occasionally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asking Defendant a question and overseeing the situation because a two year old child was involved. There was no evidence that, after the pat down, CBPO Sandy Gonzalez ever spoke to Defendant. While the officers were in full uniform, there was no evidence that any officer brandished a weapon, made any threats, or displayed any means of coercion. Finally, a reasonable person would expect to see other CBP officers in most areas of a port of entry, including this secured area within secondary inspection.</w:t>
      </w:r>
    </w:p>
    <w:p>
      <w:pPr>
        <w:keepNext w:val="0"/>
        <w:spacing w:before="200" w:after="0" w:line="260" w:lineRule="atLeast"/>
        <w:ind w:left="0" w:right="0" w:firstLine="0"/>
        <w:jc w:val="both"/>
      </w:pPr>
      <w:bookmarkStart w:id="72" w:name="Bookmark_para_20"/>
      <w:bookmarkEnd w:id="72"/>
      <w:r>
        <w:rPr>
          <w:rFonts w:ascii="arial" w:eastAsia="arial" w:hAnsi="arial" w:cs="arial"/>
          <w:b w:val="0"/>
          <w:i w:val="0"/>
          <w:strike w:val="0"/>
          <w:noProof w:val="0"/>
          <w:color w:val="000000"/>
          <w:position w:val="0"/>
          <w:sz w:val="20"/>
          <w:u w:val="none"/>
          <w:vertAlign w:val="baseline"/>
        </w:rPr>
        <w:t xml:space="preserve">The fourth factor to consider is the element of surprise. Gateway to the Americas Port of Entry is a national port of entry where alienage is heavily scrutinized. Any reasonable person attempting to enter the United States with a child would expect that he or she must present valid and appropriate documentation for each person. And, if proper documentation is not presented for a young child, coupled with the fact that child is not accompanied by a parent, a reasonable person would expect to be detained until the matter was resolved. From the objective view of one who is not guilty of a crime, a reasonable person would not feel that he or she is under arrest when being detained so that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the port may determine the citizenship of a young child. The expectation of detention distinguishes the detention from a formal arrest, because innocent people have no reason to believe they will be formally arrested.</w:t>
      </w:r>
    </w:p>
    <w:p>
      <w:pPr>
        <w:keepNext w:val="0"/>
        <w:spacing w:before="240" w:after="0" w:line="260" w:lineRule="atLeast"/>
        <w:ind w:left="0" w:right="0" w:firstLine="0"/>
        <w:jc w:val="both"/>
      </w:pPr>
      <w:bookmarkStart w:id="73" w:name="Bookmark_para_21"/>
      <w:bookmarkEnd w:id="73"/>
      <w:r>
        <w:rPr>
          <w:rFonts w:ascii="arial" w:eastAsia="arial" w:hAnsi="arial" w:cs="arial"/>
          <w:b w:val="0"/>
          <w:i w:val="0"/>
          <w:strike w:val="0"/>
          <w:noProof w:val="0"/>
          <w:color w:val="000000"/>
          <w:position w:val="0"/>
          <w:sz w:val="20"/>
          <w:u w:val="none"/>
          <w:vertAlign w:val="baseline"/>
        </w:rPr>
        <w:t xml:space="preserve">For all the reasons stated above, the Court finds that Defendant was not in custody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at secondary inspection. </w:t>
      </w:r>
      <w:bookmarkStart w:id="74" w:name="Bookmark_I53M0P9SN8900053NTY0018R"/>
      <w:bookmarkEnd w:id="74"/>
      <w:bookmarkStart w:id="75" w:name="Bookmark_I52J54H10STJ450050000400"/>
      <w:bookmarkEnd w:id="75"/>
      <w:r>
        <w:rPr>
          <w:rFonts w:ascii="arial" w:eastAsia="arial" w:hAnsi="arial" w:cs="arial"/>
          <w:b w:val="0"/>
          <w:i w:val="0"/>
          <w:strike w:val="0"/>
          <w:noProof w:val="0"/>
          <w:color w:val="000000"/>
          <w:position w:val="0"/>
          <w:sz w:val="20"/>
          <w:u w:val="none"/>
          <w:vertAlign w:val="baseline"/>
        </w:rPr>
        <w:t xml:space="preserve">However, assuming for argument sake that a reasonable person would have understood that he or she was "in custody," Defendant's initial admission that the child was not a United States citizen did not result from custodial interrogation. When a comment or statement is voluntarily given not in response to a question, a request for clarification is not "custodial interrogation"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w:t>
      </w:r>
      <w:bookmarkStart w:id="76" w:name="Bookmark_I52J54HF0STJJR0020000400"/>
      <w:bookmarkEnd w:id="76"/>
      <w:bookmarkStart w:id="77" w:name="Bookmark_I52J54H10STJ450040000400"/>
      <w:bookmarkEnd w:id="77"/>
      <w:hyperlink r:id="rId17" w:history="1">
        <w:r>
          <w:rPr>
            <w:rFonts w:ascii="arial" w:eastAsia="arial" w:hAnsi="arial" w:cs="arial"/>
            <w:b w:val="0"/>
            <w:i/>
            <w:strike w:val="0"/>
            <w:noProof w:val="0"/>
            <w:color w:val="0077CC"/>
            <w:position w:val="0"/>
            <w:sz w:val="20"/>
            <w:u w:val="single"/>
            <w:vertAlign w:val="baseline"/>
          </w:rPr>
          <w:t>United States v. Gonzales</w:t>
        </w:r>
      </w:hyperlink>
      <w:hyperlink r:id="rId17" w:history="1">
        <w:r>
          <w:rPr>
            <w:rFonts w:ascii="arial" w:eastAsia="arial" w:hAnsi="arial" w:cs="arial"/>
            <w:b w:val="0"/>
            <w:i/>
            <w:strike w:val="0"/>
            <w:noProof w:val="0"/>
            <w:color w:val="0077CC"/>
            <w:position w:val="0"/>
            <w:sz w:val="20"/>
            <w:u w:val="single"/>
            <w:vertAlign w:val="baseline"/>
          </w:rPr>
          <w:t>, 121 F.3d 928, 939 (5th Cir. 1997)</w:t>
        </w:r>
      </w:hyperlink>
      <w:r>
        <w:rPr>
          <w:rFonts w:ascii="arial" w:eastAsia="arial" w:hAnsi="arial" w:cs="arial"/>
          <w:b w:val="0"/>
          <w:i w:val="0"/>
          <w:strike w:val="0"/>
          <w:noProof w:val="0"/>
          <w:color w:val="000000"/>
          <w:position w:val="0"/>
          <w:sz w:val="20"/>
          <w:u w:val="none"/>
          <w:vertAlign w:val="baseline"/>
        </w:rPr>
        <w:t xml:space="preserve">. </w:t>
      </w:r>
      <w:bookmarkStart w:id="78" w:name="Bookmark_I52J54HF0STJJR0020000400_2"/>
      <w:bookmarkEnd w:id="7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Gonzales</w:t>
      </w:r>
      <w:r>
        <w:rPr>
          <w:rFonts w:ascii="arial" w:eastAsia="arial" w:hAnsi="arial" w:cs="arial"/>
          <w:b w:val="0"/>
          <w:i w:val="0"/>
          <w:strike w:val="0"/>
          <w:noProof w:val="0"/>
          <w:color w:val="000000"/>
          <w:position w:val="0"/>
          <w:sz w:val="20"/>
          <w:u w:val="none"/>
          <w:vertAlign w:val="baseline"/>
        </w:rPr>
        <w:t xml:space="preserve">, the defendant commented "all that is mine" while the law enforcement officer was leaving his residence with cocaine and a gun that had been seized. </w:t>
      </w:r>
      <w:bookmarkStart w:id="79" w:name="Bookmark_I52J54HF0STJJR0040000400"/>
      <w:bookmarkEnd w:id="79"/>
      <w:bookmarkStart w:id="80" w:name="Bookmark_I52J54HF0STJJR0010000400"/>
      <w:bookmarkEnd w:id="80"/>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934</w:t>
        </w:r>
      </w:hyperlink>
      <w:r>
        <w:rPr>
          <w:rFonts w:ascii="arial" w:eastAsia="arial" w:hAnsi="arial" w:cs="arial"/>
          <w:b w:val="0"/>
          <w:i w:val="0"/>
          <w:strike w:val="0"/>
          <w:noProof w:val="0"/>
          <w:color w:val="000000"/>
          <w:position w:val="0"/>
          <w:sz w:val="20"/>
          <w:u w:val="none"/>
          <w:vertAlign w:val="baseline"/>
        </w:rPr>
        <w:t xml:space="preserve">. </w:t>
      </w:r>
      <w:bookmarkStart w:id="81" w:name="Bookmark_I52J54HF0STJJR0040000400_2"/>
      <w:bookmarkEnd w:id="81"/>
      <w:r>
        <w:rPr>
          <w:rFonts w:ascii="arial" w:eastAsia="arial" w:hAnsi="arial" w:cs="arial"/>
          <w:b w:val="0"/>
          <w:i w:val="0"/>
          <w:strike w:val="0"/>
          <w:noProof w:val="0"/>
          <w:color w:val="000000"/>
          <w:position w:val="0"/>
          <w:sz w:val="20"/>
          <w:u w:val="none"/>
          <w:vertAlign w:val="baseline"/>
        </w:rPr>
        <w:t xml:space="preserve">When the law enforcement officer asked what the defendant was referring to, the defendant explained that he was referring to the cocaine and the gun.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explained that the law enforcement officer's question was a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neutral response to an ambiguous statement voluntarily made by the defendant and was therefore not an interrogation, let alone a custodial or coercive interrogation. </w:t>
      </w:r>
      <w:bookmarkStart w:id="82" w:name="Bookmark_I52J54HX0STK0T0010000400"/>
      <w:bookmarkEnd w:id="82"/>
      <w:bookmarkStart w:id="83" w:name="Bookmark_I52J54HF0STJJR0030000400"/>
      <w:bookmarkEnd w:id="83"/>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940</w:t>
        </w:r>
      </w:hyperlink>
      <w:r>
        <w:rPr>
          <w:rFonts w:ascii="arial" w:eastAsia="arial" w:hAnsi="arial" w:cs="arial"/>
          <w:b w:val="0"/>
          <w:i w:val="0"/>
          <w:strike w:val="0"/>
          <w:noProof w:val="0"/>
          <w:color w:val="000000"/>
          <w:position w:val="0"/>
          <w:sz w:val="20"/>
          <w:u w:val="none"/>
          <w:vertAlign w:val="baseline"/>
        </w:rPr>
        <w:t xml:space="preserve">. </w:t>
      </w:r>
      <w:bookmarkStart w:id="84" w:name="Bookmark_I52J54HX0STK0T0010000400_2"/>
      <w:bookmarkEnd w:id="84"/>
      <w:r>
        <w:rPr>
          <w:rFonts w:ascii="arial" w:eastAsia="arial" w:hAnsi="arial" w:cs="arial"/>
          <w:b w:val="0"/>
          <w:i w:val="0"/>
          <w:strike w:val="0"/>
          <w:noProof w:val="0"/>
          <w:color w:val="000000"/>
          <w:position w:val="0"/>
          <w:sz w:val="20"/>
          <w:u w:val="none"/>
          <w:vertAlign w:val="baseline"/>
        </w:rPr>
        <w:t xml:space="preserve">Statements are voluntary unless there is official overreaching by law enforcement either by psychological persuasion or direct coercion. </w:t>
      </w:r>
      <w:bookmarkStart w:id="85" w:name="Bookmark_I52J54HF0STJJR0050000400"/>
      <w:bookmarkEnd w:id="85"/>
      <w:hyperlink r:id="rId18" w:history="1">
        <w:r>
          <w:rPr>
            <w:rFonts w:ascii="arial" w:eastAsia="arial" w:hAnsi="arial" w:cs="arial"/>
            <w:b w:val="0"/>
            <w:i/>
            <w:strike w:val="0"/>
            <w:noProof w:val="0"/>
            <w:color w:val="0077CC"/>
            <w:position w:val="0"/>
            <w:sz w:val="20"/>
            <w:u w:val="single"/>
            <w:vertAlign w:val="baseline"/>
          </w:rPr>
          <w:t>United States v. Restrepo</w:t>
        </w:r>
      </w:hyperlink>
      <w:hyperlink r:id="rId18" w:history="1">
        <w:r>
          <w:rPr>
            <w:rFonts w:ascii="arial" w:eastAsia="arial" w:hAnsi="arial" w:cs="arial"/>
            <w:b w:val="0"/>
            <w:i/>
            <w:strike w:val="0"/>
            <w:noProof w:val="0"/>
            <w:color w:val="0077CC"/>
            <w:position w:val="0"/>
            <w:sz w:val="20"/>
            <w:u w:val="single"/>
            <w:vertAlign w:val="baseline"/>
          </w:rPr>
          <w:t>, 994 F.2d 173, 183 (5th Cir. 1993)</w:t>
        </w:r>
      </w:hyperlink>
      <w:r>
        <w:rPr>
          <w:rFonts w:ascii="arial" w:eastAsia="arial" w:hAnsi="arial" w:cs="arial"/>
          <w:b w:val="0"/>
          <w:i w:val="0"/>
          <w:strike w:val="0"/>
          <w:noProof w:val="0"/>
          <w:color w:val="000000"/>
          <w:position w:val="0"/>
          <w:sz w:val="20"/>
          <w:u w:val="none"/>
          <w:vertAlign w:val="baseline"/>
        </w:rPr>
        <w:t xml:space="preserve"> (citing </w:t>
      </w:r>
      <w:bookmarkStart w:id="86" w:name="Bookmark_I52J54HX0STK0T0020000400"/>
      <w:bookmarkEnd w:id="86"/>
      <w:hyperlink r:id="rId19" w:history="1">
        <w:r>
          <w:rPr>
            <w:rFonts w:ascii="arial" w:eastAsia="arial" w:hAnsi="arial" w:cs="arial"/>
            <w:b w:val="0"/>
            <w:i/>
            <w:strike w:val="0"/>
            <w:noProof w:val="0"/>
            <w:color w:val="0077CC"/>
            <w:position w:val="0"/>
            <w:sz w:val="20"/>
            <w:u w:val="single"/>
            <w:vertAlign w:val="baseline"/>
          </w:rPr>
          <w:t>United States v. Rojas-Martinez</w:t>
        </w:r>
      </w:hyperlink>
      <w:hyperlink r:id="rId19" w:history="1">
        <w:r>
          <w:rPr>
            <w:rFonts w:ascii="arial" w:eastAsia="arial" w:hAnsi="arial" w:cs="arial"/>
            <w:b w:val="0"/>
            <w:i/>
            <w:strike w:val="0"/>
            <w:noProof w:val="0"/>
            <w:color w:val="0077CC"/>
            <w:position w:val="0"/>
            <w:sz w:val="20"/>
            <w:u w:val="single"/>
            <w:vertAlign w:val="baseline"/>
          </w:rPr>
          <w:t>, 968 F.2d 415. 417 (5th Cir.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22"/>
      <w:bookmarkEnd w:id="87"/>
      <w:r>
        <w:rPr>
          <w:rFonts w:ascii="arial" w:eastAsia="arial" w:hAnsi="arial" w:cs="arial"/>
          <w:b w:val="0"/>
          <w:i w:val="0"/>
          <w:strike w:val="0"/>
          <w:noProof w:val="0"/>
          <w:color w:val="000000"/>
          <w:position w:val="0"/>
          <w:sz w:val="20"/>
          <w:u w:val="none"/>
          <w:vertAlign w:val="baseline"/>
        </w:rPr>
        <w:t xml:space="preserve">Even if Defendant was subjected to a custodial interrogation, her initial confession is still admissible because she made a voluntary statement. That voluntary statement was ambiguous which prompted CBPO Villarreal to ask for clarification to determine if Defendant meant that the child was not a United States citizen. When Defendant responded that she did mean the child was not a United States citizen, this was not acquired in violation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and thus should not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Miranda Warnings Administered to Defendant Were Not Ineffective Under </w:t>
      </w:r>
      <w:r>
        <w:rPr>
          <w:rFonts w:ascii="arial" w:eastAsia="arial" w:hAnsi="arial" w:cs="arial"/>
          <w:b/>
          <w:i/>
          <w:strike w:val="0"/>
          <w:noProof w:val="0"/>
          <w:color w:val="000000"/>
          <w:position w:val="0"/>
          <w:sz w:val="20"/>
          <w:u w:val="none"/>
          <w:vertAlign w:val="baseline"/>
        </w:rPr>
        <w:t>Missouri v. Seibert</w:t>
      </w:r>
    </w:p>
    <w:p>
      <w:pPr>
        <w:keepNext w:val="0"/>
        <w:spacing w:before="200" w:after="0" w:line="260" w:lineRule="atLeast"/>
        <w:ind w:left="0" w:right="0" w:firstLine="0"/>
        <w:jc w:val="both"/>
      </w:pPr>
      <w:bookmarkStart w:id="88" w:name="Bookmark_para_23"/>
      <w:bookmarkEnd w:id="88"/>
      <w:bookmarkStart w:id="89" w:name="Bookmark_I53M0P9T2RR00053NTY0018V"/>
      <w:bookmarkEnd w:id="89"/>
      <w:bookmarkStart w:id="90" w:name="Bookmark_I52J54HX0STK0T0050000400"/>
      <w:bookmarkEnd w:id="90"/>
      <w:r>
        <w:rPr>
          <w:rFonts w:ascii="arial" w:eastAsia="arial" w:hAnsi="arial" w:cs="arial"/>
          <w:b w:val="0"/>
          <w:i w:val="0"/>
          <w:strike w:val="0"/>
          <w:noProof w:val="0"/>
          <w:color w:val="000000"/>
          <w:position w:val="0"/>
          <w:sz w:val="20"/>
          <w:u w:val="none"/>
          <w:vertAlign w:val="baseline"/>
        </w:rPr>
        <w:t xml:space="preserve">Defendant also contends that Defendant's subsequent confession is inadmissible under </w:t>
      </w:r>
      <w:bookmarkStart w:id="91" w:name="Bookmark_I52J54HX0STK0T0040000400"/>
      <w:bookmarkEnd w:id="91"/>
      <w:hyperlink r:id="rId10" w:history="1">
        <w:r>
          <w:rPr>
            <w:rFonts w:ascii="arial" w:eastAsia="arial" w:hAnsi="arial" w:cs="arial"/>
            <w:b w:val="0"/>
            <w:i/>
            <w:strike w:val="0"/>
            <w:noProof w:val="0"/>
            <w:color w:val="0077CC"/>
            <w:position w:val="0"/>
            <w:sz w:val="20"/>
            <w:u w:val="single"/>
            <w:vertAlign w:val="baseline"/>
          </w:rPr>
          <w:t>Missouri v. Seibert</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However, Defendant's reliance on that case is misplaced. First,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as stated above, Defendant was not in custody during CBPO's initial questioning. </w:t>
      </w:r>
      <w:r>
        <w:rPr>
          <w:rFonts w:ascii="arial" w:eastAsia="arial" w:hAnsi="arial" w:cs="arial"/>
          <w:b w:val="0"/>
          <w:i w:val="0"/>
          <w:strike w:val="0"/>
          <w:noProof w:val="0"/>
          <w:color w:val="000000"/>
          <w:position w:val="0"/>
          <w:sz w:val="20"/>
          <w:u w:val="none"/>
          <w:vertAlign w:val="baseline"/>
        </w:rPr>
        <w:t xml:space="preserve">Second,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Defendant was in custody when she was first referred to "hard" secondary, </w:t>
      </w:r>
      <w:r>
        <w:rPr>
          <w:rFonts w:ascii="arial" w:eastAsia="arial" w:hAnsi="arial" w:cs="arial"/>
          <w:b w:val="0"/>
          <w:i/>
          <w:strike w:val="0"/>
          <w:noProof w:val="0"/>
          <w:color w:val="000000"/>
          <w:position w:val="0"/>
          <w:sz w:val="20"/>
          <w:u w:val="none"/>
          <w:vertAlign w:val="baseline"/>
        </w:rPr>
        <w:t>Seibert</w:t>
      </w:r>
      <w:r>
        <w:rPr>
          <w:rFonts w:ascii="arial" w:eastAsia="arial" w:hAnsi="arial" w:cs="arial"/>
          <w:b w:val="0"/>
          <w:i w:val="0"/>
          <w:strike w:val="0"/>
          <w:noProof w:val="0"/>
          <w:color w:val="000000"/>
          <w:position w:val="0"/>
          <w:sz w:val="20"/>
          <w:u w:val="none"/>
          <w:vertAlign w:val="baseline"/>
        </w:rPr>
        <w:t xml:space="preserve"> is still not relevant in this matter.</w:t>
      </w:r>
    </w:p>
    <w:p>
      <w:pPr>
        <w:keepNext w:val="0"/>
        <w:spacing w:before="200" w:after="0" w:line="260" w:lineRule="atLeast"/>
        <w:ind w:left="0" w:right="0" w:firstLine="0"/>
        <w:jc w:val="both"/>
      </w:pPr>
      <w:bookmarkStart w:id="92" w:name="Bookmark_para_24"/>
      <w:bookmarkEnd w:id="92"/>
      <w:bookmarkStart w:id="93" w:name="Bookmark_I52J54JD0STKFH0020000400"/>
      <w:bookmarkEnd w:id="93"/>
      <w:bookmarkStart w:id="94" w:name="Bookmark_I52J54JY0STKWY0010000400"/>
      <w:bookmarkEnd w:id="9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Seibert</w:t>
      </w:r>
      <w:r>
        <w:rPr>
          <w:rFonts w:ascii="arial" w:eastAsia="arial" w:hAnsi="arial" w:cs="arial"/>
          <w:b w:val="0"/>
          <w:i w:val="0"/>
          <w:strike w:val="0"/>
          <w:noProof w:val="0"/>
          <w:color w:val="000000"/>
          <w:position w:val="0"/>
          <w:sz w:val="20"/>
          <w:u w:val="none"/>
          <w:vertAlign w:val="baseline"/>
        </w:rPr>
        <w:t xml:space="preserve">, the Supreme Court addressed a police protocol for custodial interrogation, which is referred to as "question first," that calls for giving no warnings of the rights to silence and counsel until interrogation has produced a confession. </w:t>
      </w:r>
      <w:bookmarkStart w:id="95" w:name="Bookmark_I52J54JD0STKFH0010000400"/>
      <w:bookmarkEnd w:id="95"/>
      <w:hyperlink r:id="rId12" w:history="1">
        <w:r>
          <w:rPr>
            <w:rFonts w:ascii="arial" w:eastAsia="arial" w:hAnsi="arial" w:cs="arial"/>
            <w:b w:val="0"/>
            <w:i/>
            <w:strike w:val="0"/>
            <w:noProof w:val="0"/>
            <w:color w:val="0077CC"/>
            <w:position w:val="0"/>
            <w:sz w:val="20"/>
            <w:u w:val="single"/>
            <w:vertAlign w:val="baseline"/>
          </w:rPr>
          <w:t>United States v. Courtney</w:t>
        </w:r>
      </w:hyperlink>
      <w:hyperlink r:id="rId12" w:history="1">
        <w:r>
          <w:rPr>
            <w:rFonts w:ascii="arial" w:eastAsia="arial" w:hAnsi="arial" w:cs="arial"/>
            <w:b w:val="0"/>
            <w:i/>
            <w:strike w:val="0"/>
            <w:noProof w:val="0"/>
            <w:color w:val="0077CC"/>
            <w:position w:val="0"/>
            <w:sz w:val="20"/>
            <w:u w:val="single"/>
            <w:vertAlign w:val="baseline"/>
          </w:rPr>
          <w:t>, 463 F.3d 333, 336 (5th Cir. 2007)</w:t>
        </w:r>
      </w:hyperlink>
      <w:r>
        <w:rPr>
          <w:rFonts w:ascii="arial" w:eastAsia="arial" w:hAnsi="arial" w:cs="arial"/>
          <w:b w:val="0"/>
          <w:i w:val="0"/>
          <w:strike w:val="0"/>
          <w:noProof w:val="0"/>
          <w:color w:val="000000"/>
          <w:position w:val="0"/>
          <w:sz w:val="20"/>
          <w:u w:val="none"/>
          <w:vertAlign w:val="baseline"/>
        </w:rPr>
        <w:t xml:space="preserve"> (citing </w:t>
      </w:r>
      <w:bookmarkStart w:id="96" w:name="Bookmark_I52J54JD0STKFH0030000400"/>
      <w:bookmarkEnd w:id="96"/>
      <w:hyperlink r:id="rId10" w:history="1">
        <w:r>
          <w:rPr>
            <w:rFonts w:ascii="arial" w:eastAsia="arial" w:hAnsi="arial" w:cs="arial"/>
            <w:b w:val="0"/>
            <w:i/>
            <w:strike w:val="0"/>
            <w:noProof w:val="0"/>
            <w:color w:val="0077CC"/>
            <w:position w:val="0"/>
            <w:sz w:val="20"/>
            <w:u w:val="single"/>
            <w:vertAlign w:val="baseline"/>
          </w:rPr>
          <w:t>Missouri v. Seibert</w:t>
        </w:r>
      </w:hyperlink>
      <w:hyperlink r:id="rId10" w:history="1">
        <w:r>
          <w:rPr>
            <w:rFonts w:ascii="arial" w:eastAsia="arial" w:hAnsi="arial" w:cs="arial"/>
            <w:b w:val="0"/>
            <w:i/>
            <w:strike w:val="0"/>
            <w:noProof w:val="0"/>
            <w:color w:val="0077CC"/>
            <w:position w:val="0"/>
            <w:sz w:val="20"/>
            <w:u w:val="single"/>
            <w:vertAlign w:val="baseline"/>
          </w:rPr>
          <w:t>, 542 U.S. 600, 124 S. Ct. 2601, 159 L. Ed. 2d 643 (2004)</w:t>
        </w:r>
      </w:hyperlink>
      <w:r>
        <w:rPr>
          <w:rFonts w:ascii="arial" w:eastAsia="arial" w:hAnsi="arial" w:cs="arial"/>
          <w:b w:val="0"/>
          <w:i w:val="0"/>
          <w:strike w:val="0"/>
          <w:noProof w:val="0"/>
          <w:color w:val="000000"/>
          <w:position w:val="0"/>
          <w:sz w:val="20"/>
          <w:u w:val="none"/>
          <w:vertAlign w:val="baseline"/>
        </w:rPr>
        <w:t xml:space="preserve">. Although such a statement is generally inadmissible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the interrogating officer follows it with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and then leads the suspect to cover that same ground a second time. </w:t>
      </w:r>
      <w:bookmarkStart w:id="97" w:name="Bookmark_I52J54JD0STKFH0050000400"/>
      <w:bookmarkEnd w:id="97"/>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337</w:t>
        </w:r>
      </w:hyperlink>
      <w:r>
        <w:rPr>
          <w:rFonts w:ascii="arial" w:eastAsia="arial" w:hAnsi="arial" w:cs="arial"/>
          <w:b w:val="0"/>
          <w:i w:val="0"/>
          <w:strike w:val="0"/>
          <w:noProof w:val="0"/>
          <w:color w:val="000000"/>
          <w:position w:val="0"/>
          <w:sz w:val="20"/>
          <w:u w:val="none"/>
          <w:vertAlign w:val="baseline"/>
        </w:rPr>
        <w:t xml:space="preserve">. As such, </w:t>
      </w:r>
      <w:r>
        <w:rPr>
          <w:rFonts w:ascii="arial" w:eastAsia="arial" w:hAnsi="arial" w:cs="arial"/>
          <w:b w:val="0"/>
          <w:i/>
          <w:strike w:val="0"/>
          <w:noProof w:val="0"/>
          <w:color w:val="000000"/>
          <w:position w:val="0"/>
          <w:sz w:val="20"/>
          <w:u w:val="none"/>
          <w:vertAlign w:val="baseline"/>
        </w:rPr>
        <w:t>Seibert</w:t>
      </w:r>
      <w:r>
        <w:rPr>
          <w:rFonts w:ascii="arial" w:eastAsia="arial" w:hAnsi="arial" w:cs="arial"/>
          <w:b w:val="0"/>
          <w:i w:val="0"/>
          <w:strike w:val="0"/>
          <w:noProof w:val="0"/>
          <w:color w:val="000000"/>
          <w:position w:val="0"/>
          <w:sz w:val="20"/>
          <w:u w:val="none"/>
          <w:vertAlign w:val="baseline"/>
        </w:rPr>
        <w:t xml:space="preserve"> only addressed the admissibility of the second, warned statement; the first statement was inadmissible under </w:t>
      </w:r>
      <w:r>
        <w:rPr>
          <w:rFonts w:ascii="arial" w:eastAsia="arial" w:hAnsi="arial" w:cs="arial"/>
          <w:b w:val="0"/>
          <w:i/>
          <w:strike w:val="0"/>
          <w:noProof w:val="0"/>
          <w:color w:val="000000"/>
          <w:position w:val="0"/>
          <w:sz w:val="20"/>
          <w:u w:val="none"/>
          <w:vertAlign w:val="baseline"/>
        </w:rPr>
        <w:t>Miranda. Id.</w:t>
      </w:r>
    </w:p>
    <w:p>
      <w:pPr>
        <w:keepNext w:val="0"/>
        <w:spacing w:before="200" w:after="0" w:line="260" w:lineRule="atLeast"/>
        <w:ind w:left="0" w:right="0" w:firstLine="0"/>
        <w:jc w:val="both"/>
      </w:pPr>
      <w:bookmarkStart w:id="98" w:name="Bookmark_para_25"/>
      <w:bookmarkEnd w:id="98"/>
      <w:r>
        <w:rPr>
          <w:rFonts w:ascii="arial" w:eastAsia="arial" w:hAnsi="arial" w:cs="arial"/>
          <w:b w:val="0"/>
          <w:i w:val="0"/>
          <w:strike w:val="0"/>
          <w:noProof w:val="0"/>
          <w:color w:val="000000"/>
          <w:position w:val="0"/>
          <w:sz w:val="20"/>
          <w:u w:val="none"/>
          <w:vertAlign w:val="baseline"/>
        </w:rPr>
        <w:t xml:space="preserve">The Fifth Circuit has held that </w:t>
      </w:r>
      <w:r>
        <w:rPr>
          <w:rFonts w:ascii="arial" w:eastAsia="arial" w:hAnsi="arial" w:cs="arial"/>
          <w:b w:val="0"/>
          <w:i/>
          <w:strike w:val="0"/>
          <w:noProof w:val="0"/>
          <w:color w:val="000000"/>
          <w:position w:val="0"/>
          <w:sz w:val="20"/>
          <w:u w:val="none"/>
          <w:vertAlign w:val="baseline"/>
        </w:rPr>
        <w:t>Seibert</w:t>
      </w:r>
      <w:r>
        <w:rPr>
          <w:rFonts w:ascii="arial" w:eastAsia="arial" w:hAnsi="arial" w:cs="arial"/>
          <w:b w:val="0"/>
          <w:i w:val="0"/>
          <w:strike w:val="0"/>
          <w:noProof w:val="0"/>
          <w:color w:val="000000"/>
          <w:position w:val="0"/>
          <w:sz w:val="20"/>
          <w:u w:val="none"/>
          <w:vertAlign w:val="baseline"/>
        </w:rPr>
        <w:t xml:space="preserve"> requires the suppression of a post-warning statement only where a deliberate two-step strategy is used and no curative measures are taken. There is no evidence that the CBP officers used a deliberate two-step strategy as describe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Seibert.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Seibert</w:t>
      </w:r>
      <w:r>
        <w:rPr>
          <w:rFonts w:ascii="arial" w:eastAsia="arial" w:hAnsi="arial" w:cs="arial"/>
          <w:b w:val="0"/>
          <w:i w:val="0"/>
          <w:strike w:val="0"/>
          <w:noProof w:val="0"/>
          <w:color w:val="000000"/>
          <w:position w:val="0"/>
          <w:sz w:val="20"/>
          <w:u w:val="none"/>
          <w:vertAlign w:val="baseline"/>
        </w:rPr>
        <w:t xml:space="preserve">, the first part of the "question first" strategy is to purposefully bypass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in an attempt to elicit a confession. However, in this matter, when CBP officers initially questioned Defendant, they were trying to obtain information about the child's citizenship. There is no evidence that the CBP officers purposefully bypassed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in an attempt to elicit Defendant's confession. In fact, while they were questioning Defendant, they did not get Defendant's confession, but a "story" that she was the child's aunt, and she was taking the child to her mother, who happened to be at a hospital. It was not until two hours later, long after the questioning had really ceased, that Defendant volunteered that the child was not a United States citizen.</w:t>
      </w:r>
    </w:p>
    <w:p>
      <w:pPr>
        <w:keepNext w:val="0"/>
        <w:spacing w:before="200" w:after="0" w:line="260" w:lineRule="atLeast"/>
        <w:ind w:left="0" w:right="0" w:firstLine="0"/>
        <w:jc w:val="both"/>
      </w:pPr>
      <w:bookmarkStart w:id="99" w:name="Bookmark_para_26"/>
      <w:bookmarkEnd w:id="9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Seibert</w:t>
      </w:r>
      <w:r>
        <w:rPr>
          <w:rFonts w:ascii="arial" w:eastAsia="arial" w:hAnsi="arial" w:cs="arial"/>
          <w:b w:val="0"/>
          <w:i w:val="0"/>
          <w:strike w:val="0"/>
          <w:noProof w:val="0"/>
          <w:color w:val="000000"/>
          <w:position w:val="0"/>
          <w:sz w:val="20"/>
          <w:u w:val="none"/>
          <w:vertAlign w:val="baseline"/>
        </w:rPr>
        <w:t xml:space="preserve">, the second part of the "question-first" strategy is to </w:t>
      </w:r>
      <w:r>
        <w:rPr>
          <w:rFonts w:ascii="arial" w:eastAsia="arial" w:hAnsi="arial" w:cs="arial"/>
          <w:b w:val="0"/>
          <w:i/>
          <w:strike w:val="0"/>
          <w:noProof w:val="0"/>
          <w:color w:val="000000"/>
          <w:position w:val="0"/>
          <w:sz w:val="20"/>
          <w:u w:val="none"/>
          <w:vertAlign w:val="baseline"/>
        </w:rPr>
        <w:t>Mirandize</w:t>
      </w:r>
      <w:r>
        <w:rPr>
          <w:rFonts w:ascii="arial" w:eastAsia="arial" w:hAnsi="arial" w:cs="arial"/>
          <w:b w:val="0"/>
          <w:i w:val="0"/>
          <w:strike w:val="0"/>
          <w:noProof w:val="0"/>
          <w:color w:val="000000"/>
          <w:position w:val="0"/>
          <w:sz w:val="20"/>
          <w:u w:val="none"/>
          <w:vertAlign w:val="baseline"/>
        </w:rPr>
        <w:t xml:space="preserve"> a person to get them to </w:t>
      </w:r>
      <w:r>
        <w:rPr>
          <w:rFonts w:ascii="arial" w:eastAsia="arial" w:hAnsi="arial" w:cs="arial"/>
          <w:b/>
          <w:i w:val="0"/>
          <w:strike w:val="0"/>
          <w:noProof w:val="0"/>
          <w:color w:val="000000"/>
          <w:position w:val="0"/>
          <w:sz w:val="20"/>
          <w:u w:val="none"/>
          <w:vertAlign w:val="baseline"/>
        </w:rPr>
        <w:t>repeat</w:t>
      </w:r>
      <w:r>
        <w:rPr>
          <w:rFonts w:ascii="arial" w:eastAsia="arial" w:hAnsi="arial" w:cs="arial"/>
          <w:b w:val="0"/>
          <w:i w:val="0"/>
          <w:strike w:val="0"/>
          <w:noProof w:val="0"/>
          <w:color w:val="000000"/>
          <w:position w:val="0"/>
          <w:sz w:val="20"/>
          <w:u w:val="none"/>
          <w:vertAlign w:val="baseline"/>
        </w:rPr>
        <w:t xml:space="preserve"> the "confession" so that law enforcement can get the confession into an admissible form. A key difference between this case and </w:t>
      </w:r>
      <w:r>
        <w:rPr>
          <w:rFonts w:ascii="arial" w:eastAsia="arial" w:hAnsi="arial" w:cs="arial"/>
          <w:b w:val="0"/>
          <w:i/>
          <w:strike w:val="0"/>
          <w:noProof w:val="0"/>
          <w:color w:val="000000"/>
          <w:position w:val="0"/>
          <w:sz w:val="20"/>
          <w:u w:val="none"/>
          <w:vertAlign w:val="baseline"/>
        </w:rPr>
        <w:t>Seibert</w:t>
      </w:r>
      <w:r>
        <w:rPr>
          <w:rFonts w:ascii="arial" w:eastAsia="arial" w:hAnsi="arial" w:cs="arial"/>
          <w:b w:val="0"/>
          <w:i w:val="0"/>
          <w:strike w:val="0"/>
          <w:noProof w:val="0"/>
          <w:color w:val="000000"/>
          <w:position w:val="0"/>
          <w:sz w:val="20"/>
          <w:u w:val="none"/>
          <w:vertAlign w:val="baseline"/>
        </w:rPr>
        <w:t xml:space="preserve">, is that Officer Villarreal did not initiate dialogue to obtain a confession and then, immediately, try to cleanse her conduct by </w:t>
      </w:r>
      <w:r>
        <w:rPr>
          <w:rFonts w:ascii="arial" w:eastAsia="arial" w:hAnsi="arial" w:cs="arial"/>
          <w:b w:val="0"/>
          <w:i/>
          <w:strike w:val="0"/>
          <w:noProof w:val="0"/>
          <w:color w:val="000000"/>
          <w:position w:val="0"/>
          <w:sz w:val="20"/>
          <w:u w:val="none"/>
          <w:vertAlign w:val="baseline"/>
        </w:rPr>
        <w:t>Mirandizing</w:t>
      </w:r>
      <w:r>
        <w:rPr>
          <w:rFonts w:ascii="arial" w:eastAsia="arial" w:hAnsi="arial" w:cs="arial"/>
          <w:b w:val="0"/>
          <w:i w:val="0"/>
          <w:strike w:val="0"/>
          <w:noProof w:val="0"/>
          <w:color w:val="000000"/>
          <w:position w:val="0"/>
          <w:sz w:val="20"/>
          <w:u w:val="none"/>
          <w:vertAlign w:val="baseline"/>
        </w:rPr>
        <w:t xml:space="preserve"> Defendant.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none"/>
          <w:vertAlign w:val="baseline"/>
        </w:rPr>
        <w:t> [*22] </w:t>
      </w:r>
      <w:r>
        <w:rPr>
          <w:rFonts w:ascii="arial" w:eastAsia="arial" w:hAnsi="arial" w:cs="arial"/>
          <w:b/>
          <w:i w:val="0"/>
          <w:strike w:val="0"/>
          <w:noProof w:val="0"/>
          <w:color w:val="000000"/>
          <w:position w:val="0"/>
          <w:sz w:val="20"/>
          <w:u w:val="none"/>
          <w:vertAlign w:val="baseline"/>
        </w:rPr>
        <w:t>Defendant's Statements Were Made Voluntarily</w:t>
      </w:r>
    </w:p>
    <w:p>
      <w:pPr>
        <w:keepNext w:val="0"/>
        <w:spacing w:before="240" w:after="0" w:line="260" w:lineRule="atLeast"/>
        <w:ind w:left="0" w:right="0" w:firstLine="0"/>
        <w:jc w:val="both"/>
      </w:pPr>
      <w:bookmarkStart w:id="100" w:name="Bookmark_para_27"/>
      <w:bookmarkEnd w:id="100"/>
      <w:bookmarkStart w:id="101" w:name="Bookmark_I52J54JY0STKWY0030000400"/>
      <w:bookmarkEnd w:id="101"/>
      <w:r>
        <w:rPr>
          <w:rFonts w:ascii="arial" w:eastAsia="arial" w:hAnsi="arial" w:cs="arial"/>
          <w:b w:val="0"/>
          <w:i w:val="0"/>
          <w:strike w:val="0"/>
          <w:noProof w:val="0"/>
          <w:color w:val="000000"/>
          <w:position w:val="0"/>
          <w:sz w:val="20"/>
          <w:u w:val="none"/>
          <w:vertAlign w:val="baseline"/>
        </w:rPr>
        <w:t xml:space="preserve">The Government bears the burden of proving, by a preponderance of the evidence, that the statements made during an interrogation were voluntary. </w:t>
      </w:r>
      <w:bookmarkStart w:id="102" w:name="Bookmark_I52J54KD0STMBD0020000400"/>
      <w:bookmarkEnd w:id="102"/>
      <w:bookmarkStart w:id="103" w:name="Bookmark_I52J54JY0STKWY0020000400"/>
      <w:bookmarkEnd w:id="103"/>
      <w:hyperlink r:id="rId19" w:history="1">
        <w:r>
          <w:rPr>
            <w:rFonts w:ascii="arial" w:eastAsia="arial" w:hAnsi="arial" w:cs="arial"/>
            <w:b w:val="0"/>
            <w:i/>
            <w:strike w:val="0"/>
            <w:noProof w:val="0"/>
            <w:color w:val="0077CC"/>
            <w:position w:val="0"/>
            <w:sz w:val="20"/>
            <w:u w:val="single"/>
            <w:vertAlign w:val="baseline"/>
          </w:rPr>
          <w:t>United States v. Rojas-Martinez</w:t>
        </w:r>
      </w:hyperlink>
      <w:hyperlink r:id="rId19" w:history="1">
        <w:r>
          <w:rPr>
            <w:rFonts w:ascii="arial" w:eastAsia="arial" w:hAnsi="arial" w:cs="arial"/>
            <w:b w:val="0"/>
            <w:i/>
            <w:strike w:val="0"/>
            <w:noProof w:val="0"/>
            <w:color w:val="0077CC"/>
            <w:position w:val="0"/>
            <w:sz w:val="20"/>
            <w:u w:val="single"/>
            <w:vertAlign w:val="baseline"/>
          </w:rPr>
          <w:t>, 968 F.2d 415, 417-18 (5th Cir. 1992)</w:t>
        </w:r>
      </w:hyperlink>
      <w:r>
        <w:rPr>
          <w:rFonts w:ascii="arial" w:eastAsia="arial" w:hAnsi="arial" w:cs="arial"/>
          <w:b w:val="0"/>
          <w:i w:val="0"/>
          <w:strike w:val="0"/>
          <w:noProof w:val="0"/>
          <w:color w:val="000000"/>
          <w:position w:val="0"/>
          <w:sz w:val="20"/>
          <w:u w:val="none"/>
          <w:vertAlign w:val="baseline"/>
        </w:rPr>
        <w:t xml:space="preserve"> (citing </w:t>
      </w:r>
      <w:bookmarkStart w:id="104" w:name="Bookmark_I52J54JY0STKWY0040000400"/>
      <w:bookmarkEnd w:id="104"/>
      <w:hyperlink r:id="rId20" w:history="1">
        <w:r>
          <w:rPr>
            <w:rFonts w:ascii="arial" w:eastAsia="arial" w:hAnsi="arial" w:cs="arial"/>
            <w:b w:val="0"/>
            <w:i/>
            <w:strike w:val="0"/>
            <w:noProof w:val="0"/>
            <w:color w:val="0077CC"/>
            <w:position w:val="0"/>
            <w:sz w:val="20"/>
            <w:u w:val="single"/>
            <w:vertAlign w:val="baseline"/>
          </w:rPr>
          <w:t>Colorado v. Connelly</w:t>
        </w:r>
      </w:hyperlink>
      <w:hyperlink r:id="rId20" w:history="1">
        <w:r>
          <w:rPr>
            <w:rFonts w:ascii="arial" w:eastAsia="arial" w:hAnsi="arial" w:cs="arial"/>
            <w:b w:val="0"/>
            <w:i/>
            <w:strike w:val="0"/>
            <w:noProof w:val="0"/>
            <w:color w:val="0077CC"/>
            <w:position w:val="0"/>
            <w:sz w:val="20"/>
            <w:u w:val="single"/>
            <w:vertAlign w:val="baseline"/>
          </w:rPr>
          <w:t>, 479 U.S. 157, 168-69, 107 S. Ct. 515, 93 L. Ed. 2d 473 (1986))</w:t>
        </w:r>
      </w:hyperlink>
      <w:r>
        <w:rPr>
          <w:rFonts w:ascii="arial" w:eastAsia="arial" w:hAnsi="arial" w:cs="arial"/>
          <w:b w:val="0"/>
          <w:i w:val="0"/>
          <w:strike w:val="0"/>
          <w:noProof w:val="0"/>
          <w:color w:val="000000"/>
          <w:position w:val="0"/>
          <w:sz w:val="20"/>
          <w:u w:val="none"/>
          <w:vertAlign w:val="baseline"/>
        </w:rPr>
        <w:t xml:space="preserve">. </w:t>
      </w:r>
      <w:bookmarkStart w:id="105" w:name="Bookmark_I52J54KV0STMSY0010000400"/>
      <w:bookmarkEnd w:id="105"/>
      <w:r>
        <w:rPr>
          <w:rFonts w:ascii="arial" w:eastAsia="arial" w:hAnsi="arial" w:cs="arial"/>
          <w:b w:val="0"/>
          <w:i w:val="0"/>
          <w:strike w:val="0"/>
          <w:noProof w:val="0"/>
          <w:color w:val="000000"/>
          <w:position w:val="0"/>
          <w:sz w:val="20"/>
          <w:u w:val="none"/>
          <w:vertAlign w:val="baseline"/>
        </w:rPr>
        <w:t xml:space="preserve">The voluntariness of a defendant's confession is reviewed based on the totality of the circumstances surrounding the interrogation. </w:t>
      </w:r>
      <w:bookmarkStart w:id="106" w:name="Bookmark_I52J54KV0STMSY0010000400_2"/>
      <w:bookmarkEnd w:id="106"/>
      <w:bookmarkStart w:id="107" w:name="Bookmark_I52J54KD0STMBD0020000400_2"/>
      <w:bookmarkEnd w:id="107"/>
      <w:bookmarkStart w:id="108" w:name="Bookmark_I52J54KD0STMBD0010000400"/>
      <w:bookmarkEnd w:id="108"/>
      <w:hyperlink r:id="rId21" w:history="1">
        <w:r>
          <w:rPr>
            <w:rFonts w:ascii="arial" w:eastAsia="arial" w:hAnsi="arial" w:cs="arial"/>
            <w:b w:val="0"/>
            <w:i/>
            <w:strike w:val="0"/>
            <w:noProof w:val="0"/>
            <w:color w:val="0077CC"/>
            <w:position w:val="0"/>
            <w:sz w:val="20"/>
            <w:u w:val="single"/>
            <w:vertAlign w:val="baseline"/>
          </w:rPr>
          <w:t>Dickerson v. United States</w:t>
        </w:r>
      </w:hyperlink>
      <w:hyperlink r:id="rId21" w:history="1">
        <w:r>
          <w:rPr>
            <w:rFonts w:ascii="arial" w:eastAsia="arial" w:hAnsi="arial" w:cs="arial"/>
            <w:b w:val="0"/>
            <w:i/>
            <w:strike w:val="0"/>
            <w:noProof w:val="0"/>
            <w:color w:val="0077CC"/>
            <w:position w:val="0"/>
            <w:sz w:val="20"/>
            <w:u w:val="single"/>
            <w:vertAlign w:val="baseline"/>
          </w:rPr>
          <w:t>, 530 U.S. 428, 120 S. Ct. 2326, 2331, 147 L. Ed. 2d 405 (2000)</w:t>
        </w:r>
      </w:hyperlink>
      <w:r>
        <w:rPr>
          <w:rFonts w:ascii="arial" w:eastAsia="arial" w:hAnsi="arial" w:cs="arial"/>
          <w:b w:val="0"/>
          <w:i w:val="0"/>
          <w:strike w:val="0"/>
          <w:noProof w:val="0"/>
          <w:color w:val="000000"/>
          <w:position w:val="0"/>
          <w:sz w:val="20"/>
          <w:u w:val="none"/>
          <w:vertAlign w:val="baseline"/>
        </w:rPr>
        <w:t xml:space="preserve">; </w:t>
      </w:r>
      <w:bookmarkStart w:id="109" w:name="Bookmark_I52J54KD0STMBD0030000400"/>
      <w:bookmarkEnd w:id="109"/>
      <w:hyperlink r:id="rId22" w:history="1">
        <w:r>
          <w:rPr>
            <w:rFonts w:ascii="arial" w:eastAsia="arial" w:hAnsi="arial" w:cs="arial"/>
            <w:b w:val="0"/>
            <w:i/>
            <w:strike w:val="0"/>
            <w:noProof w:val="0"/>
            <w:color w:val="0077CC"/>
            <w:position w:val="0"/>
            <w:sz w:val="20"/>
            <w:u w:val="single"/>
            <w:vertAlign w:val="baseline"/>
          </w:rPr>
          <w:t>United States v. Cardenas</w:t>
        </w:r>
      </w:hyperlink>
      <w:hyperlink r:id="rId22" w:history="1">
        <w:r>
          <w:rPr>
            <w:rFonts w:ascii="arial" w:eastAsia="arial" w:hAnsi="arial" w:cs="arial"/>
            <w:b w:val="0"/>
            <w:i/>
            <w:strike w:val="0"/>
            <w:noProof w:val="0"/>
            <w:color w:val="0077CC"/>
            <w:position w:val="0"/>
            <w:sz w:val="20"/>
            <w:u w:val="single"/>
            <w:vertAlign w:val="baseline"/>
          </w:rPr>
          <w:t>, 410 F.3d 287, 293 (5th Cir. 2005)</w:t>
        </w:r>
      </w:hyperlink>
      <w:r>
        <w:rPr>
          <w:rFonts w:ascii="arial" w:eastAsia="arial" w:hAnsi="arial" w:cs="arial"/>
          <w:b w:val="0"/>
          <w:i w:val="0"/>
          <w:strike w:val="0"/>
          <w:noProof w:val="0"/>
          <w:color w:val="000000"/>
          <w:position w:val="0"/>
          <w:sz w:val="20"/>
          <w:u w:val="none"/>
          <w:vertAlign w:val="baseline"/>
        </w:rPr>
        <w:t xml:space="preserve">. </w:t>
      </w:r>
      <w:bookmarkStart w:id="110" w:name="Bookmark_I52J54KV0STMSY0050000400"/>
      <w:bookmarkEnd w:id="110"/>
      <w:r>
        <w:rPr>
          <w:rFonts w:ascii="arial" w:eastAsia="arial" w:hAnsi="arial" w:cs="arial"/>
          <w:b w:val="0"/>
          <w:i w:val="0"/>
          <w:strike w:val="0"/>
          <w:noProof w:val="0"/>
          <w:color w:val="000000"/>
          <w:position w:val="0"/>
          <w:sz w:val="20"/>
          <w:u w:val="none"/>
          <w:vertAlign w:val="baseline"/>
        </w:rPr>
        <w:t xml:space="preserve">"A confession is voluntary if under the totality of the circumstances, the statement is the product of the accused's free and rational choice." </w:t>
      </w:r>
      <w:bookmarkStart w:id="111" w:name="Bookmark_I52J54KD0STMBD0050000400"/>
      <w:bookmarkEnd w:id="111"/>
      <w:hyperlink r:id="rId23" w:history="1">
        <w:r>
          <w:rPr>
            <w:rFonts w:ascii="arial" w:eastAsia="arial" w:hAnsi="arial" w:cs="arial"/>
            <w:b w:val="0"/>
            <w:i/>
            <w:strike w:val="0"/>
            <w:noProof w:val="0"/>
            <w:color w:val="0077CC"/>
            <w:position w:val="0"/>
            <w:sz w:val="20"/>
            <w:u w:val="single"/>
            <w:vertAlign w:val="baseline"/>
          </w:rPr>
          <w:t>United States v. Bell</w:t>
        </w:r>
      </w:hyperlink>
      <w:hyperlink r:id="rId23" w:history="1">
        <w:r>
          <w:rPr>
            <w:rFonts w:ascii="arial" w:eastAsia="arial" w:hAnsi="arial" w:cs="arial"/>
            <w:b w:val="0"/>
            <w:i/>
            <w:strike w:val="0"/>
            <w:noProof w:val="0"/>
            <w:color w:val="0077CC"/>
            <w:position w:val="0"/>
            <w:sz w:val="20"/>
            <w:u w:val="single"/>
            <w:vertAlign w:val="baseline"/>
          </w:rPr>
          <w:t>, 367 F.3d 452, 461 (5th Cir. 2004)</w:t>
        </w:r>
      </w:hyperlink>
      <w:r>
        <w:rPr>
          <w:rFonts w:ascii="arial" w:eastAsia="arial" w:hAnsi="arial" w:cs="arial"/>
          <w:b w:val="0"/>
          <w:i w:val="0"/>
          <w:strike w:val="0"/>
          <w:noProof w:val="0"/>
          <w:color w:val="000000"/>
          <w:position w:val="0"/>
          <w:sz w:val="20"/>
          <w:u w:val="none"/>
          <w:vertAlign w:val="baseline"/>
        </w:rPr>
        <w:t xml:space="preserve"> (citing (</w:t>
      </w:r>
      <w:bookmarkStart w:id="112" w:name="Bookmark_I52J54KV0STMSY0020000400"/>
      <w:bookmarkEnd w:id="112"/>
      <w:hyperlink r:id="rId24" w:history="1">
        <w:r>
          <w:rPr>
            <w:rFonts w:ascii="arial" w:eastAsia="arial" w:hAnsi="arial" w:cs="arial"/>
            <w:b w:val="0"/>
            <w:i/>
            <w:strike w:val="0"/>
            <w:noProof w:val="0"/>
            <w:color w:val="0077CC"/>
            <w:position w:val="0"/>
            <w:sz w:val="20"/>
            <w:u w:val="single"/>
            <w:vertAlign w:val="baseline"/>
          </w:rPr>
          <w:t>United States v. Broussard</w:t>
        </w:r>
      </w:hyperlink>
      <w:hyperlink r:id="rId24" w:history="1">
        <w:r>
          <w:rPr>
            <w:rFonts w:ascii="arial" w:eastAsia="arial" w:hAnsi="arial" w:cs="arial"/>
            <w:b w:val="0"/>
            <w:i/>
            <w:strike w:val="0"/>
            <w:noProof w:val="0"/>
            <w:color w:val="0077CC"/>
            <w:position w:val="0"/>
            <w:sz w:val="20"/>
            <w:u w:val="single"/>
            <w:vertAlign w:val="baseline"/>
          </w:rPr>
          <w:t xml:space="preserve"> 80 F.3d 1025, 1033 (5th Cir. 1996))</w:t>
        </w:r>
      </w:hyperlink>
      <w:r>
        <w:rPr>
          <w:rFonts w:ascii="arial" w:eastAsia="arial" w:hAnsi="arial" w:cs="arial"/>
          <w:b w:val="0"/>
          <w:i w:val="0"/>
          <w:strike w:val="0"/>
          <w:noProof w:val="0"/>
          <w:color w:val="000000"/>
          <w:position w:val="0"/>
          <w:sz w:val="20"/>
          <w:u w:val="none"/>
          <w:vertAlign w:val="baseline"/>
        </w:rPr>
        <w:t xml:space="preserve">. </w:t>
      </w:r>
      <w:bookmarkStart w:id="113" w:name="Bookmark_I52J54KV0STMSY0050000400_2"/>
      <w:bookmarkEnd w:id="113"/>
      <w:r>
        <w:rPr>
          <w:rFonts w:ascii="arial" w:eastAsia="arial" w:hAnsi="arial" w:cs="arial"/>
          <w:b w:val="0"/>
          <w:i w:val="0"/>
          <w:strike w:val="0"/>
          <w:noProof w:val="0"/>
          <w:color w:val="000000"/>
          <w:position w:val="0"/>
          <w:sz w:val="20"/>
          <w:u w:val="none"/>
          <w:vertAlign w:val="baseline"/>
        </w:rPr>
        <w:t xml:space="preserve">The Confession must be free from any overreaching tactics by law enforcement officers, either in the form of direct coercion or subtle psychological persuasion. </w:t>
      </w:r>
      <w:bookmarkStart w:id="114" w:name="Bookmark_I53M0P9ST3F00053NTY0018S"/>
      <w:bookmarkEnd w:id="114"/>
      <w:bookmarkStart w:id="115" w:name="Bookmark_I52J54M80STN7J0040000400"/>
      <w:bookmarkEnd w:id="115"/>
      <w:bookmarkStart w:id="116" w:name="Bookmark_I52J54KV0STMSY0040000400"/>
      <w:bookmarkEnd w:id="116"/>
      <w:hyperlink r:id="rId24" w:history="1">
        <w:r>
          <w:rPr>
            <w:rFonts w:ascii="arial" w:eastAsia="arial" w:hAnsi="arial" w:cs="arial"/>
            <w:b w:val="0"/>
            <w:i/>
            <w:strike w:val="0"/>
            <w:noProof w:val="0"/>
            <w:color w:val="0077CC"/>
            <w:position w:val="0"/>
            <w:sz w:val="20"/>
            <w:u w:val="single"/>
            <w:vertAlign w:val="baseline"/>
          </w:rPr>
          <w:t>Broussard</w:t>
        </w:r>
      </w:hyperlink>
      <w:hyperlink r:id="rId24" w:history="1">
        <w:r>
          <w:rPr>
            <w:rFonts w:ascii="arial" w:eastAsia="arial" w:hAnsi="arial" w:cs="arial"/>
            <w:b w:val="0"/>
            <w:i/>
            <w:strike w:val="0"/>
            <w:noProof w:val="0"/>
            <w:color w:val="0077CC"/>
            <w:position w:val="0"/>
            <w:sz w:val="20"/>
            <w:u w:val="single"/>
            <w:vertAlign w:val="baseline"/>
          </w:rPr>
          <w:t>, 80 F.3d at 1033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7" w:name="Bookmark_I52J54M80STN7J0010000400"/>
      <w:bookmarkEnd w:id="117"/>
      <w:hyperlink r:id="rId25" w:history="1">
        <w:r>
          <w:rPr>
            <w:rFonts w:ascii="arial" w:eastAsia="arial" w:hAnsi="arial" w:cs="arial"/>
            <w:b w:val="0"/>
            <w:i/>
            <w:strike w:val="0"/>
            <w:noProof w:val="0"/>
            <w:color w:val="0077CC"/>
            <w:position w:val="0"/>
            <w:sz w:val="20"/>
            <w:u w:val="single"/>
            <w:vertAlign w:val="baseline"/>
          </w:rPr>
          <w:t>United States v. Reynolds</w:t>
        </w:r>
      </w:hyperlink>
      <w:hyperlink r:id="rId25" w:history="1">
        <w:r>
          <w:rPr>
            <w:rFonts w:ascii="arial" w:eastAsia="arial" w:hAnsi="arial" w:cs="arial"/>
            <w:b w:val="0"/>
            <w:i/>
            <w:strike w:val="0"/>
            <w:noProof w:val="0"/>
            <w:color w:val="0077CC"/>
            <w:position w:val="0"/>
            <w:sz w:val="20"/>
            <w:u w:val="single"/>
            <w:vertAlign w:val="baseline"/>
          </w:rPr>
          <w:t>, 367 F.3d 294, 298 (5th Cir. 2004)</w:t>
        </w:r>
      </w:hyperlink>
      <w:r>
        <w:rPr>
          <w:rFonts w:ascii="arial" w:eastAsia="arial" w:hAnsi="arial" w:cs="arial"/>
          <w:b w:val="0"/>
          <w:i w:val="0"/>
          <w:strike w:val="0"/>
          <w:noProof w:val="0"/>
          <w:color w:val="000000"/>
          <w:position w:val="0"/>
          <w:sz w:val="20"/>
          <w:u w:val="none"/>
          <w:vertAlign w:val="baseline"/>
        </w:rPr>
        <w:t xml:space="preserve">. </w:t>
      </w:r>
      <w:bookmarkStart w:id="118" w:name="Bookmark_I52J54M80STN7J0040000400_2"/>
      <w:bookmarkEnd w:id="118"/>
      <w:bookmarkStart w:id="119" w:name="Bookmark_I52J54MS0STNP00030000400"/>
      <w:bookmarkEnd w:id="119"/>
      <w:r>
        <w:rPr>
          <w:rFonts w:ascii="arial" w:eastAsia="arial" w:hAnsi="arial" w:cs="arial"/>
          <w:b w:val="0"/>
          <w:i w:val="0"/>
          <w:strike w:val="0"/>
          <w:noProof w:val="0"/>
          <w:color w:val="000000"/>
          <w:position w:val="0"/>
          <w:sz w:val="20"/>
          <w:u w:val="none"/>
          <w:vertAlign w:val="baseline"/>
        </w:rPr>
        <w:t xml:space="preserve">To render a confession involuntary, the defendant must demonstrate that law enforcement officers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engaged in coercive conduct and that there was a causal link between the officers' coercive conduct and the confession. </w:t>
      </w:r>
      <w:bookmarkStart w:id="120" w:name="Bookmark_I52J54M80STN7J0030000400"/>
      <w:bookmarkEnd w:id="120"/>
      <w:hyperlink r:id="rId23" w:history="1">
        <w:r>
          <w:rPr>
            <w:rFonts w:ascii="arial" w:eastAsia="arial" w:hAnsi="arial" w:cs="arial"/>
            <w:b w:val="0"/>
            <w:i/>
            <w:strike w:val="0"/>
            <w:noProof w:val="0"/>
            <w:color w:val="0077CC"/>
            <w:position w:val="0"/>
            <w:sz w:val="20"/>
            <w:u w:val="single"/>
            <w:vertAlign w:val="baseline"/>
          </w:rPr>
          <w:t>Bell</w:t>
        </w:r>
      </w:hyperlink>
      <w:hyperlink r:id="rId23" w:history="1">
        <w:r>
          <w:rPr>
            <w:rFonts w:ascii="arial" w:eastAsia="arial" w:hAnsi="arial" w:cs="arial"/>
            <w:b w:val="0"/>
            <w:i/>
            <w:strike w:val="0"/>
            <w:noProof w:val="0"/>
            <w:color w:val="0077CC"/>
            <w:position w:val="0"/>
            <w:sz w:val="20"/>
            <w:u w:val="single"/>
            <w:vertAlign w:val="baseline"/>
          </w:rPr>
          <w:t>, 367 F.3d at 461</w:t>
        </w:r>
      </w:hyperlink>
      <w:r>
        <w:rPr>
          <w:rFonts w:ascii="arial" w:eastAsia="arial" w:hAnsi="arial" w:cs="arial"/>
          <w:b w:val="0"/>
          <w:i w:val="0"/>
          <w:strike w:val="0"/>
          <w:noProof w:val="0"/>
          <w:color w:val="000000"/>
          <w:position w:val="0"/>
          <w:sz w:val="20"/>
          <w:u w:val="none"/>
          <w:vertAlign w:val="baseline"/>
        </w:rPr>
        <w:t xml:space="preserve"> (citing </w:t>
      </w:r>
      <w:bookmarkStart w:id="121" w:name="Bookmark_I52J54M80STN7J0050000400"/>
      <w:bookmarkEnd w:id="121"/>
      <w:hyperlink r:id="rId20" w:history="1">
        <w:r>
          <w:rPr>
            <w:rFonts w:ascii="arial" w:eastAsia="arial" w:hAnsi="arial" w:cs="arial"/>
            <w:b w:val="0"/>
            <w:i/>
            <w:strike w:val="0"/>
            <w:noProof w:val="0"/>
            <w:color w:val="0077CC"/>
            <w:position w:val="0"/>
            <w:sz w:val="20"/>
            <w:u w:val="single"/>
            <w:vertAlign w:val="baseline"/>
          </w:rPr>
          <w:t>Connelly</w:t>
        </w:r>
      </w:hyperlink>
      <w:hyperlink r:id="rId20" w:history="1">
        <w:r>
          <w:rPr>
            <w:rFonts w:ascii="arial" w:eastAsia="arial" w:hAnsi="arial" w:cs="arial"/>
            <w:b w:val="0"/>
            <w:i/>
            <w:strike w:val="0"/>
            <w:noProof w:val="0"/>
            <w:color w:val="0077CC"/>
            <w:position w:val="0"/>
            <w:sz w:val="20"/>
            <w:u w:val="single"/>
            <w:vertAlign w:val="baseline"/>
          </w:rPr>
          <w:t>, 479 U.S. at 163-65</w:t>
        </w:r>
      </w:hyperlink>
      <w:r>
        <w:rPr>
          <w:rFonts w:ascii="arial" w:eastAsia="arial" w:hAnsi="arial" w:cs="arial"/>
          <w:b w:val="0"/>
          <w:i w:val="0"/>
          <w:strike w:val="0"/>
          <w:noProof w:val="0"/>
          <w:color w:val="000000"/>
          <w:position w:val="0"/>
          <w:sz w:val="20"/>
          <w:u w:val="none"/>
          <w:vertAlign w:val="baseline"/>
        </w:rPr>
        <w:t xml:space="preserve">). </w:t>
      </w:r>
      <w:bookmarkStart w:id="122" w:name="Bookmark_I52J54MS0STNP00030000400_2"/>
      <w:bookmarkEnd w:id="122"/>
      <w:r>
        <w:rPr>
          <w:rFonts w:ascii="arial" w:eastAsia="arial" w:hAnsi="arial" w:cs="arial"/>
          <w:b w:val="0"/>
          <w:i w:val="0"/>
          <w:strike w:val="0"/>
          <w:noProof w:val="0"/>
          <w:color w:val="000000"/>
          <w:position w:val="0"/>
          <w:sz w:val="20"/>
          <w:u w:val="none"/>
          <w:vertAlign w:val="baseline"/>
        </w:rPr>
        <w:t xml:space="preserve">The Fifth Circuit in </w:t>
      </w:r>
      <w:r>
        <w:rPr>
          <w:rFonts w:ascii="arial" w:eastAsia="arial" w:hAnsi="arial" w:cs="arial"/>
          <w:b w:val="0"/>
          <w:i/>
          <w:strike w:val="0"/>
          <w:noProof w:val="0"/>
          <w:color w:val="000000"/>
          <w:position w:val="0"/>
          <w:sz w:val="20"/>
          <w:u w:val="none"/>
          <w:vertAlign w:val="baseline"/>
        </w:rPr>
        <w:t>Reynolds</w:t>
      </w:r>
      <w:r>
        <w:rPr>
          <w:rFonts w:ascii="arial" w:eastAsia="arial" w:hAnsi="arial" w:cs="arial"/>
          <w:b w:val="0"/>
          <w:i w:val="0"/>
          <w:strike w:val="0"/>
          <w:noProof w:val="0"/>
          <w:color w:val="000000"/>
          <w:position w:val="0"/>
          <w:sz w:val="20"/>
          <w:u w:val="none"/>
          <w:vertAlign w:val="baseline"/>
        </w:rPr>
        <w:t xml:space="preserve"> was careful to note that "coercive police activity is a necessary predicate to the finding that a confession is not 'voluntary' within the meaning of the </w:t>
      </w:r>
      <w:hyperlink r:id="rId26"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w:t>
      </w:r>
      <w:bookmarkStart w:id="123" w:name="Bookmark_I52J54MS0STNP00020000400"/>
      <w:bookmarkEnd w:id="123"/>
      <w:hyperlink r:id="rId25" w:history="1">
        <w:r>
          <w:rPr>
            <w:rFonts w:ascii="arial" w:eastAsia="arial" w:hAnsi="arial" w:cs="arial"/>
            <w:b w:val="0"/>
            <w:i/>
            <w:strike w:val="0"/>
            <w:noProof w:val="0"/>
            <w:color w:val="0077CC"/>
            <w:position w:val="0"/>
            <w:sz w:val="20"/>
            <w:u w:val="single"/>
            <w:vertAlign w:val="baseline"/>
          </w:rPr>
          <w:t>Reynolds</w:t>
        </w:r>
      </w:hyperlink>
      <w:hyperlink r:id="rId25" w:history="1">
        <w:r>
          <w:rPr>
            <w:rFonts w:ascii="arial" w:eastAsia="arial" w:hAnsi="arial" w:cs="arial"/>
            <w:b w:val="0"/>
            <w:i/>
            <w:strike w:val="0"/>
            <w:noProof w:val="0"/>
            <w:color w:val="0077CC"/>
            <w:position w:val="0"/>
            <w:sz w:val="20"/>
            <w:u w:val="single"/>
            <w:vertAlign w:val="baseline"/>
          </w:rPr>
          <w:t xml:space="preserve"> 367 F.3d at 298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28"/>
      <w:bookmarkEnd w:id="124"/>
      <w:r>
        <w:rPr>
          <w:rFonts w:ascii="arial" w:eastAsia="arial" w:hAnsi="arial" w:cs="arial"/>
          <w:b w:val="0"/>
          <w:i w:val="0"/>
          <w:strike w:val="0"/>
          <w:noProof w:val="0"/>
          <w:color w:val="000000"/>
          <w:position w:val="0"/>
          <w:sz w:val="20"/>
          <w:u w:val="none"/>
          <w:vertAlign w:val="baseline"/>
        </w:rPr>
        <w:t xml:space="preserve">As previously discussed, the testimony of CBPO Villarreal establishes the voluntariness of Defendant's statements at secondary inspection. The interactions between Defendant and CBP officers were routine in nature. CBPO Villarreal even tried to comfort Defendant when she became nervous and anxious after being handcuffed. Regarding Defendant's initial statements at secondary inspection, there is no evidence of any threats, any other form of coercion, or any subtle psychological persuasion. Likewise, after Defendant was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CBPO Villarreal began to ask the similar questions, which led to a sworn statement being given by Defendant that the child is not a United States citizen. Again, there is no indication that any coercion was used. The Government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has satisfied its burden through the testimony of CBPO Villarreal.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125" w:name="Bookmark_para_29"/>
      <w:bookmarkEnd w:id="125"/>
      <w:r>
        <w:rPr>
          <w:rFonts w:ascii="arial" w:eastAsia="arial" w:hAnsi="arial" w:cs="arial"/>
          <w:b w:val="0"/>
          <w:i w:val="0"/>
          <w:strike w:val="0"/>
          <w:noProof w:val="0"/>
          <w:color w:val="000000"/>
          <w:position w:val="0"/>
          <w:sz w:val="20"/>
          <w:u w:val="none"/>
          <w:vertAlign w:val="baseline"/>
        </w:rPr>
        <w:t>For these reasons, the Magistrate Judge RECOMMENDS that the District Judge, after her own independent review, DENY Defendant Diana Marie Saenz's "Motion to Suppress Evidence" (Dkt. No.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OBJECTIONS</w:t>
      </w:r>
    </w:p>
    <w:p>
      <w:pPr>
        <w:keepNext w:val="0"/>
        <w:spacing w:before="200" w:after="0" w:line="260" w:lineRule="atLeast"/>
        <w:ind w:left="0" w:right="0" w:firstLine="0"/>
        <w:jc w:val="both"/>
      </w:pPr>
      <w:bookmarkStart w:id="126" w:name="Bookmark_para_30"/>
      <w:bookmarkEnd w:id="126"/>
      <w:r>
        <w:rPr>
          <w:rFonts w:ascii="arial" w:eastAsia="arial" w:hAnsi="arial" w:cs="arial"/>
          <w:b w:val="0"/>
          <w:i w:val="0"/>
          <w:strike w:val="0"/>
          <w:noProof w:val="0"/>
          <w:color w:val="000000"/>
          <w:position w:val="0"/>
          <w:sz w:val="20"/>
          <w:u w:val="none"/>
          <w:vertAlign w:val="baseline"/>
        </w:rPr>
        <w:t xml:space="preserve">The parties are on notice that they have fourteen (14) days from the date on which they are served with a copy of this Report and Recommendation to file specific written objections to the findings, conclusions, and recommendations of the Magistrate Judge. </w:t>
      </w:r>
      <w:hyperlink r:id="rId27"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Fed.R.Crim.P.</w:t>
        </w:r>
      </w:hyperlink>
      <w:hyperlink r:id="rId28" w:history="1">
        <w:r>
          <w:rPr>
            <w:rFonts w:ascii="arial" w:eastAsia="arial" w:hAnsi="arial" w:cs="arial"/>
            <w:b w:val="0"/>
            <w:i/>
            <w:strike w:val="0"/>
            <w:noProof w:val="0"/>
            <w:color w:val="0077CC"/>
            <w:position w:val="0"/>
            <w:sz w:val="20"/>
            <w:u w:val="single"/>
            <w:vertAlign w:val="baseline"/>
          </w:rPr>
          <w:t xml:space="preserve"> 59 (b)</w:t>
        </w:r>
      </w:hyperlink>
      <w:r>
        <w:rPr>
          <w:rFonts w:ascii="arial" w:eastAsia="arial" w:hAnsi="arial" w:cs="arial"/>
          <w:b w:val="0"/>
          <w:i w:val="0"/>
          <w:strike w:val="0"/>
          <w:noProof w:val="0"/>
          <w:color w:val="000000"/>
          <w:position w:val="0"/>
          <w:sz w:val="20"/>
          <w:u w:val="none"/>
          <w:vertAlign w:val="baseline"/>
        </w:rPr>
        <w:t xml:space="preserve">. </w:t>
      </w:r>
      <w:bookmarkStart w:id="127" w:name="Bookmark_I52J54MS0STNP00050000400"/>
      <w:bookmarkEnd w:id="127"/>
      <w:r>
        <w:rPr>
          <w:rFonts w:ascii="arial" w:eastAsia="arial" w:hAnsi="arial" w:cs="arial"/>
          <w:b w:val="0"/>
          <w:i w:val="0"/>
          <w:strike w:val="0"/>
          <w:noProof w:val="0"/>
          <w:color w:val="000000"/>
          <w:position w:val="0"/>
          <w:sz w:val="20"/>
          <w:u w:val="none"/>
          <w:vertAlign w:val="baseline"/>
        </w:rPr>
        <w:t xml:space="preserve">Failure to file written objections within fourteen (14) days after being served with a copy shall bar an aggrieved party from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by the District Judge of those proposed findings, conclusions, and recommendations.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Failure to file written objections within the fourteen (14) days after service shall also bar that party, except on grounds of plain error, from attacking on appeal the unobjected-to proposed factual findings and legal conclusions accepted by the District Judge. </w:t>
      </w:r>
      <w:bookmarkStart w:id="128" w:name="Bookmark_I52J54MS0STNP00040000400"/>
      <w:bookmarkEnd w:id="128"/>
      <w:hyperlink r:id="rId29" w:history="1">
        <w:r>
          <w:rPr>
            <w:rFonts w:ascii="arial" w:eastAsia="arial" w:hAnsi="arial" w:cs="arial"/>
            <w:b w:val="0"/>
            <w:i/>
            <w:strike w:val="0"/>
            <w:noProof w:val="0"/>
            <w:color w:val="0077CC"/>
            <w:position w:val="0"/>
            <w:sz w:val="20"/>
            <w:u w:val="single"/>
            <w:vertAlign w:val="baseline"/>
          </w:rPr>
          <w:t>Thomas v. Arn</w:t>
        </w:r>
      </w:hyperlink>
      <w:hyperlink r:id="rId29" w:history="1">
        <w:r>
          <w:rPr>
            <w:rFonts w:ascii="arial" w:eastAsia="arial" w:hAnsi="arial" w:cs="arial"/>
            <w:b w:val="0"/>
            <w:i/>
            <w:strike w:val="0"/>
            <w:noProof w:val="0"/>
            <w:color w:val="0077CC"/>
            <w:position w:val="0"/>
            <w:sz w:val="20"/>
            <w:u w:val="single"/>
            <w:vertAlign w:val="baseline"/>
          </w:rPr>
          <w:t>, 474 U.S. 140, 148,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29" w:name="Bookmark_I52J54N30STP4G0010000400"/>
      <w:bookmarkEnd w:id="129"/>
      <w:hyperlink r:id="rId30" w:history="1">
        <w:r>
          <w:rPr>
            <w:rFonts w:ascii="arial" w:eastAsia="arial" w:hAnsi="arial" w:cs="arial"/>
            <w:b w:val="0"/>
            <w:i/>
            <w:strike w:val="0"/>
            <w:noProof w:val="0"/>
            <w:color w:val="0077CC"/>
            <w:position w:val="0"/>
            <w:sz w:val="20"/>
            <w:u w:val="single"/>
            <w:vertAlign w:val="baseline"/>
          </w:rPr>
          <w:t>Douglass v. United Services Auto. Assn.</w:t>
        </w:r>
      </w:hyperlink>
      <w:hyperlink r:id="rId30" w:history="1">
        <w:r>
          <w:rPr>
            <w:rFonts w:ascii="arial" w:eastAsia="arial" w:hAnsi="arial" w:cs="arial"/>
            <w:b w:val="0"/>
            <w:i/>
            <w:strike w:val="0"/>
            <w:noProof w:val="0"/>
            <w:color w:val="0077CC"/>
            <w:position w:val="0"/>
            <w:sz w:val="20"/>
            <w:u w:val="single"/>
            <w:vertAlign w:val="baseline"/>
          </w:rPr>
          <w:t>, 79 F.3d 1415, 1430 (5th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en </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strike w:val="0"/>
          <w:noProof w:val="0"/>
          <w:color w:val="000000"/>
          <w:position w:val="0"/>
          <w:sz w:val="20"/>
          <w:u w:val="none"/>
          <w:vertAlign w:val="baseline"/>
        </w:rPr>
        <w:t>banc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TRANSCRIPTS</w:t>
      </w:r>
    </w:p>
    <w:p>
      <w:pPr>
        <w:keepNext w:val="0"/>
        <w:spacing w:before="240" w:after="0" w:line="260" w:lineRule="atLeast"/>
        <w:ind w:left="0" w:right="0" w:firstLine="0"/>
        <w:jc w:val="both"/>
      </w:pPr>
      <w:bookmarkStart w:id="130" w:name="Bookmark_para_31"/>
      <w:bookmarkEnd w:id="130"/>
      <w:r>
        <w:rPr>
          <w:rFonts w:ascii="arial" w:eastAsia="arial" w:hAnsi="arial" w:cs="arial"/>
          <w:b w:val="0"/>
          <w:i w:val="0"/>
          <w:strike w:val="0"/>
          <w:noProof w:val="0"/>
          <w:color w:val="000000"/>
          <w:position w:val="0"/>
          <w:sz w:val="20"/>
          <w:u w:val="none"/>
          <w:vertAlign w:val="baseline"/>
        </w:rPr>
        <w:t xml:space="preserve">Unless the District Judge directs otherwise, the objecting party must promptly arrange for transcribing the record, or whatever portion of it the parties agree to or the Magistrate Judge considers sufficient. </w:t>
      </w:r>
      <w:hyperlink r:id="rId28" w:history="1">
        <w:r>
          <w:rPr>
            <w:rFonts w:ascii="arial" w:eastAsia="arial" w:hAnsi="arial" w:cs="arial"/>
            <w:b w:val="0"/>
            <w:i/>
            <w:strike w:val="0"/>
            <w:noProof w:val="0"/>
            <w:color w:val="0077CC"/>
            <w:position w:val="0"/>
            <w:sz w:val="20"/>
            <w:u w:val="single"/>
            <w:vertAlign w:val="baseline"/>
          </w:rPr>
          <w:t>Fed.R.Crim.P. 59(b)(2)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32"/>
      <w:bookmarkEnd w:id="131"/>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32" w:name="Bookmark_para_33"/>
      <w:bookmarkEnd w:id="132"/>
      <w:r>
        <w:rPr>
          <w:rFonts w:ascii="arial" w:eastAsia="arial" w:hAnsi="arial" w:cs="arial"/>
          <w:b w:val="0"/>
          <w:i w:val="0"/>
          <w:strike w:val="0"/>
          <w:noProof w:val="0"/>
          <w:color w:val="000000"/>
          <w:position w:val="0"/>
          <w:sz w:val="20"/>
          <w:u w:val="none"/>
          <w:vertAlign w:val="baseline"/>
        </w:rPr>
        <w:t>SIGNED this 6th day of July, 2010.</w:t>
      </w:r>
    </w:p>
    <w:p>
      <w:pPr>
        <w:keepNext w:val="0"/>
        <w:spacing w:before="200" w:after="0" w:line="260" w:lineRule="atLeast"/>
        <w:ind w:left="0" w:right="0" w:firstLine="0"/>
        <w:jc w:val="both"/>
      </w:pPr>
      <w:bookmarkStart w:id="133" w:name="Bookmark_para_34"/>
      <w:bookmarkEnd w:id="133"/>
      <w:r>
        <w:rPr>
          <w:rFonts w:ascii="arial" w:eastAsia="arial" w:hAnsi="arial" w:cs="arial"/>
          <w:b w:val="0"/>
          <w:i w:val="0"/>
          <w:strike w:val="0"/>
          <w:noProof w:val="0"/>
          <w:color w:val="000000"/>
          <w:position w:val="0"/>
          <w:sz w:val="20"/>
          <w:u w:val="none"/>
          <w:vertAlign w:val="baseline"/>
        </w:rPr>
        <w:t>/s/ J. Scott Hacker</w:t>
      </w:r>
    </w:p>
    <w:p>
      <w:pPr>
        <w:keepNext w:val="0"/>
        <w:spacing w:before="200" w:after="0" w:line="260" w:lineRule="atLeast"/>
        <w:ind w:left="0" w:right="0" w:firstLine="0"/>
        <w:jc w:val="both"/>
      </w:pPr>
      <w:bookmarkStart w:id="134" w:name="Bookmark_para_35"/>
      <w:bookmarkEnd w:id="134"/>
      <w:r>
        <w:rPr>
          <w:rFonts w:ascii="arial" w:eastAsia="arial" w:hAnsi="arial" w:cs="arial"/>
          <w:b w:val="0"/>
          <w:i w:val="0"/>
          <w:strike w:val="0"/>
          <w:noProof w:val="0"/>
          <w:color w:val="000000"/>
          <w:position w:val="0"/>
          <w:sz w:val="20"/>
          <w:u w:val="none"/>
          <w:vertAlign w:val="baseline"/>
        </w:rPr>
        <w:t>J. SCOTT HACKER</w:t>
      </w:r>
    </w:p>
    <w:p>
      <w:pPr>
        <w:keepNext w:val="0"/>
        <w:spacing w:before="200" w:after="0" w:line="260" w:lineRule="atLeast"/>
        <w:ind w:left="0" w:right="0" w:firstLine="0"/>
        <w:jc w:val="both"/>
      </w:pPr>
      <w:bookmarkStart w:id="135" w:name="Bookmark_para_36"/>
      <w:bookmarkEnd w:id="135"/>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CBPO Gonzalez testified that, as of July 2009, a person needs a passport or a birth certificate to gain entry to the United States.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 area known as "soft" secondary is where CBP processes individuals regarding minor immigration matters. The individual referred to "soft" secondary is usually free to leave and return to Mexico if they so choose.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Defendant had proper documentation (a birth certificate) for entry into the United States.</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 xml:space="preserve">This is an area where any paperwork regarding immigration is done and a more extensive investigation into citizenship is performed. People can be referred to this area for many reasons, including, but not limited to, the following: (1) they have lost their permanent resident alien card; (2) they have lost other forms </w:t>
      </w:r>
      <w:r>
        <w:rPr>
          <w:rFonts w:ascii="arial" w:eastAsia="arial" w:hAnsi="arial" w:cs="arial"/>
          <w:b/>
          <w:i w:val="0"/>
          <w:strike w:val="0"/>
          <w:noProof w:val="0"/>
          <w:color w:val="000000"/>
          <w:position w:val="0"/>
          <w:sz w:val="18"/>
          <w:u w:val="none"/>
          <w:vertAlign w:val="baseline"/>
        </w:rPr>
        <w:t> [*5] </w:t>
      </w:r>
      <w:r>
        <w:rPr>
          <w:rFonts w:ascii="arial" w:eastAsia="arial" w:hAnsi="arial" w:cs="arial"/>
          <w:b w:val="0"/>
          <w:i w:val="0"/>
          <w:strike w:val="0"/>
          <w:noProof w:val="0"/>
          <w:color w:val="000000"/>
          <w:position w:val="0"/>
          <w:sz w:val="18"/>
          <w:u w:val="none"/>
          <w:vertAlign w:val="baseline"/>
        </w:rPr>
        <w:t xml:space="preserve">of identification cards that allow admissibility into the United States; (3) they are suspected of making a false claim; (4) they are suspected of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or (5) they are being processed for removal from the United States.</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r>
        <w:rPr>
          <w:rFonts w:ascii="arial" w:eastAsia="arial" w:hAnsi="arial" w:cs="arial"/>
          <w:b w:val="0"/>
          <w:i w:val="0"/>
          <w:strike w:val="0"/>
          <w:noProof w:val="0"/>
          <w:color w:val="000000"/>
          <w:position w:val="0"/>
          <w:sz w:val="18"/>
          <w:u w:val="none"/>
          <w:vertAlign w:val="baseline"/>
        </w:rPr>
        <w:t xml:space="preserve">This area is a large and open </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room with multiple desks or work areas. On one side of the room, there are four desks (in line with each other) with a seating area in front those desks. The seating area contains benches (facing the desks), and each bench has about four seats with a set of handcuffs attached to the handrail of each seat. On the opposite side of the room is an additional work area and a wall of lockers.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Government Exhibit 3. On another side of this room, there are two smaller, windowless rooms (which are referred to as "cell rooms"), which has one door (without bars) for access.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1" w:name="Bookmark_fnpara_6"/>
      <w:bookmarkEnd w:id="21"/>
      <w:r>
        <w:rPr>
          <w:rFonts w:ascii="arial" w:eastAsia="arial" w:hAnsi="arial" w:cs="arial"/>
          <w:b w:val="0"/>
          <w:i w:val="0"/>
          <w:strike w:val="0"/>
          <w:noProof w:val="0"/>
          <w:color w:val="000000"/>
          <w:position w:val="0"/>
          <w:sz w:val="18"/>
          <w:u w:val="none"/>
          <w:vertAlign w:val="baseline"/>
        </w:rPr>
        <w:t>Officer Villarreal also noted that, on the two documents, the year of birth appeared to have been altered, where a number was changed from a "7" to an "8."</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 w:name="Bookmark_fnpara_7"/>
      <w:bookmarkEnd w:id="23"/>
      <w:r>
        <w:rPr>
          <w:rFonts w:ascii="arial" w:eastAsia="arial" w:hAnsi="arial" w:cs="arial"/>
          <w:b w:val="0"/>
          <w:i w:val="0"/>
          <w:strike w:val="0"/>
          <w:noProof w:val="0"/>
          <w:color w:val="000000"/>
          <w:position w:val="0"/>
          <w:sz w:val="18"/>
          <w:u w:val="none"/>
          <w:vertAlign w:val="baseline"/>
        </w:rPr>
        <w:t>CBPO Villarreal testified that, while she was assisting Defendant, her supervisor was present at her desk most of the time because of his concern for the young child. The child was too young to communicate in any meaningful way to assist CBP in determining her citizenship.</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5" w:name="Bookmark_fnpara_8"/>
      <w:bookmarkEnd w:id="25"/>
      <w:r>
        <w:rPr>
          <w:rFonts w:ascii="arial" w:eastAsia="arial" w:hAnsi="arial" w:cs="arial"/>
          <w:b w:val="0"/>
          <w:i w:val="0"/>
          <w:strike w:val="0"/>
          <w:noProof w:val="0"/>
          <w:color w:val="000000"/>
          <w:position w:val="0"/>
          <w:sz w:val="18"/>
          <w:u w:val="none"/>
          <w:vertAlign w:val="baseline"/>
        </w:rPr>
        <w:t>CBPO Villarreal further testified that it is very common for people to come to the port of entry at a border town without a birth certificate. Defendant was allowed to continue use of her phone because the CBPOs believed that Defendant would be able to retrieve the child's birth certificate.</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6" w:name="Bookmark_fnpara_9"/>
      <w:bookmarkEnd w:id="46"/>
      <w:bookmarkStart w:id="47" w:name="Bookmark_I52J54GM0STHNR0020000400"/>
      <w:bookmarkEnd w:id="47"/>
      <w:r>
        <w:rPr>
          <w:rFonts w:ascii="arial" w:eastAsia="arial" w:hAnsi="arial" w:cs="arial"/>
          <w:b w:val="0"/>
          <w:i w:val="0"/>
          <w:strike w:val="0"/>
          <w:noProof w:val="0"/>
          <w:color w:val="000000"/>
          <w:position w:val="0"/>
          <w:sz w:val="18"/>
          <w:u w:val="none"/>
          <w:vertAlign w:val="baseline"/>
        </w:rPr>
        <w:t xml:space="preserve">These factors are important considerations, but as the court in </w:t>
      </w:r>
      <w:r>
        <w:rPr>
          <w:rFonts w:ascii="arial" w:eastAsia="arial" w:hAnsi="arial" w:cs="arial"/>
          <w:b w:val="0"/>
          <w:i/>
          <w:strike w:val="0"/>
          <w:noProof w:val="0"/>
          <w:color w:val="000000"/>
          <w:position w:val="0"/>
          <w:sz w:val="18"/>
          <w:u w:val="none"/>
          <w:vertAlign w:val="baseline"/>
        </w:rPr>
        <w:t>Harrell</w:t>
      </w:r>
      <w:r>
        <w:rPr>
          <w:rFonts w:ascii="arial" w:eastAsia="arial" w:hAnsi="arial" w:cs="arial"/>
          <w:b w:val="0"/>
          <w:i w:val="0"/>
          <w:strike w:val="0"/>
          <w:noProof w:val="0"/>
          <w:color w:val="000000"/>
          <w:position w:val="0"/>
          <w:sz w:val="18"/>
          <w:u w:val="none"/>
          <w:vertAlign w:val="baseline"/>
        </w:rPr>
        <w:t xml:space="preserve"> illustrates, other factors may be considered by the Court. Probable cause for arrest was an explicit factor in the test abrogated by </w:t>
      </w:r>
      <w:r>
        <w:rPr>
          <w:rFonts w:ascii="arial" w:eastAsia="arial" w:hAnsi="arial" w:cs="arial"/>
          <w:b w:val="0"/>
          <w:i/>
          <w:strike w:val="0"/>
          <w:noProof w:val="0"/>
          <w:color w:val="000000"/>
          <w:position w:val="0"/>
          <w:sz w:val="18"/>
          <w:u w:val="none"/>
          <w:vertAlign w:val="baseline"/>
        </w:rPr>
        <w:t>Bengivenga</w:t>
      </w:r>
      <w:r>
        <w:rPr>
          <w:rFonts w:ascii="arial" w:eastAsia="arial" w:hAnsi="arial" w:cs="arial"/>
          <w:b w:val="0"/>
          <w:i w:val="0"/>
          <w:strike w:val="0"/>
          <w:noProof w:val="0"/>
          <w:color w:val="000000"/>
          <w:position w:val="0"/>
          <w:sz w:val="18"/>
          <w:u w:val="none"/>
          <w:vertAlign w:val="baseline"/>
        </w:rPr>
        <w:t xml:space="preserve"> in favor of the reasonable person standard. Though abrogated as an explicit factor, the court in </w:t>
      </w:r>
      <w:r>
        <w:rPr>
          <w:rFonts w:ascii="arial" w:eastAsia="arial" w:hAnsi="arial" w:cs="arial"/>
          <w:b w:val="0"/>
          <w:i/>
          <w:strike w:val="0"/>
          <w:noProof w:val="0"/>
          <w:color w:val="000000"/>
          <w:position w:val="0"/>
          <w:sz w:val="18"/>
          <w:u w:val="none"/>
          <w:vertAlign w:val="baseline"/>
        </w:rPr>
        <w:t>Bengivenga</w:t>
      </w:r>
      <w:r>
        <w:rPr>
          <w:rFonts w:ascii="arial" w:eastAsia="arial" w:hAnsi="arial" w:cs="arial"/>
          <w:b w:val="0"/>
          <w:i w:val="0"/>
          <w:strike w:val="0"/>
          <w:noProof w:val="0"/>
          <w:color w:val="000000"/>
          <w:position w:val="0"/>
          <w:sz w:val="18"/>
          <w:u w:val="none"/>
          <w:vertAlign w:val="baseline"/>
        </w:rPr>
        <w:t xml:space="preserve"> stated that probable cause to arrest as well as focus of the investigation "become[s] material to the custody inquiry only when they influence a reasonable person's perception of the situation." </w:t>
      </w:r>
      <w:bookmarkStart w:id="48" w:name="Bookmark_I52J54GM0STHNR0010000400"/>
      <w:bookmarkEnd w:id="48"/>
      <w:hyperlink r:id="rId1" w:history="1">
        <w:r>
          <w:rPr>
            <w:rFonts w:ascii="arial" w:eastAsia="arial" w:hAnsi="arial" w:cs="arial"/>
            <w:b w:val="0"/>
            <w:i/>
            <w:strike w:val="0"/>
            <w:noProof w:val="0"/>
            <w:color w:val="0077CC"/>
            <w:position w:val="0"/>
            <w:sz w:val="18"/>
            <w:u w:val="single"/>
            <w:vertAlign w:val="baseline"/>
          </w:rPr>
          <w:t>Bengivenga</w:t>
        </w:r>
      </w:hyperlink>
      <w:hyperlink r:id="rId1" w:history="1">
        <w:r>
          <w:rPr>
            <w:rFonts w:ascii="arial" w:eastAsia="arial" w:hAnsi="arial" w:cs="arial"/>
            <w:b w:val="0"/>
            <w:i/>
            <w:strike w:val="0"/>
            <w:noProof w:val="0"/>
            <w:color w:val="0077CC"/>
            <w:position w:val="0"/>
            <w:sz w:val="18"/>
            <w:u w:val="single"/>
            <w:vertAlign w:val="baseline"/>
          </w:rPr>
          <w:t>, 845 F.2d at 597</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8" w:name="Bookmark_fnpara_10"/>
      <w:bookmarkEnd w:id="58"/>
      <w:bookmarkStart w:id="59" w:name="Bookmark_I52J54GM0STHNR0040000400"/>
      <w:bookmarkEnd w:id="59"/>
      <w:bookmarkStart w:id="60" w:name="Bookmark_I52J54H10STJ450010000400"/>
      <w:bookmarkEnd w:id="60"/>
      <w:r>
        <w:rPr>
          <w:rFonts w:ascii="arial" w:eastAsia="arial" w:hAnsi="arial" w:cs="arial"/>
          <w:b w:val="0"/>
          <w:i w:val="0"/>
          <w:strike w:val="0"/>
          <w:noProof w:val="0"/>
          <w:color w:val="000000"/>
          <w:position w:val="0"/>
          <w:sz w:val="18"/>
          <w:u w:val="none"/>
          <w:vertAlign w:val="baseline"/>
        </w:rPr>
        <w:t xml:space="preserve">The Fifth Circuit has noted that the core meaning both of seizure in the </w:t>
      </w:r>
      <w:hyperlink r:id="rId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sense, and of custody in the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sense, appears to be the same: the restraint of a person's freedom to walk away from the police. </w:t>
      </w:r>
      <w:bookmarkStart w:id="61" w:name="Bookmark_I52J54GM0STHNR0030000400"/>
      <w:bookmarkEnd w:id="61"/>
      <w:hyperlink r:id="rId1" w:history="1">
        <w:r>
          <w:rPr>
            <w:rFonts w:ascii="arial" w:eastAsia="arial" w:hAnsi="arial" w:cs="arial"/>
            <w:b w:val="0"/>
            <w:i/>
            <w:strike w:val="0"/>
            <w:noProof w:val="0"/>
            <w:color w:val="0077CC"/>
            <w:position w:val="0"/>
            <w:sz w:val="18"/>
            <w:u w:val="single"/>
            <w:vertAlign w:val="baseline"/>
          </w:rPr>
          <w:t>Bengivenga</w:t>
        </w:r>
      </w:hyperlink>
      <w:hyperlink r:id="rId1" w:history="1">
        <w:r>
          <w:rPr>
            <w:rFonts w:ascii="arial" w:eastAsia="arial" w:hAnsi="arial" w:cs="arial"/>
            <w:b w:val="0"/>
            <w:i/>
            <w:strike w:val="0"/>
            <w:noProof w:val="0"/>
            <w:color w:val="0077CC"/>
            <w:position w:val="0"/>
            <w:sz w:val="18"/>
            <w:u w:val="single"/>
            <w:vertAlign w:val="baseline"/>
          </w:rPr>
          <w:t>, 845 F.2d at 598</w:t>
        </w:r>
      </w:hyperlink>
      <w:r>
        <w:rPr>
          <w:rFonts w:ascii="arial" w:eastAsia="arial" w:hAnsi="arial" w:cs="arial"/>
          <w:b w:val="0"/>
          <w:i w:val="0"/>
          <w:strike w:val="0"/>
          <w:noProof w:val="0"/>
          <w:color w:val="000000"/>
          <w:position w:val="0"/>
          <w:sz w:val="18"/>
          <w:u w:val="none"/>
          <w:vertAlign w:val="baseline"/>
        </w:rPr>
        <w:t xml:space="preserve">. (citing </w:t>
      </w:r>
      <w:bookmarkStart w:id="62" w:name="Bookmark_I52J54GM0STHNR0050000400"/>
      <w:bookmarkEnd w:id="62"/>
      <w:hyperlink r:id="rId3" w:history="1">
        <w:r>
          <w:rPr>
            <w:rFonts w:ascii="arial" w:eastAsia="arial" w:hAnsi="arial" w:cs="arial"/>
            <w:b w:val="0"/>
            <w:i/>
            <w:strike w:val="0"/>
            <w:noProof w:val="0"/>
            <w:color w:val="0077CC"/>
            <w:position w:val="0"/>
            <w:sz w:val="18"/>
            <w:u w:val="single"/>
            <w:vertAlign w:val="baseline"/>
          </w:rPr>
          <w:t>United States v. Brunson</w:t>
        </w:r>
      </w:hyperlink>
      <w:hyperlink r:id="rId3" w:history="1">
        <w:r>
          <w:rPr>
            <w:rFonts w:ascii="arial" w:eastAsia="arial" w:hAnsi="arial" w:cs="arial"/>
            <w:b w:val="0"/>
            <w:i/>
            <w:strike w:val="0"/>
            <w:noProof w:val="0"/>
            <w:color w:val="0077CC"/>
            <w:position w:val="0"/>
            <w:sz w:val="18"/>
            <w:u w:val="single"/>
            <w:vertAlign w:val="baseline"/>
          </w:rPr>
          <w:t>, 549 F.2d 348, 357 n.12 (5th Cir. 1977)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 xml:space="preserve">(quotations omitted). "The critical difference between the two concepts, however, is that custody arises only if the restraint of freedom is a certain degree—the degree associated with formal arrest." </w:t>
      </w:r>
      <w:r>
        <w:rPr>
          <w:rFonts w:ascii="arial" w:eastAsia="arial" w:hAnsi="arial" w:cs="arial"/>
          <w:b w:val="0"/>
          <w:i/>
          <w:strike w:val="0"/>
          <w:noProof w:val="0"/>
          <w:color w:val="000000"/>
          <w:position w:val="0"/>
          <w:sz w:val="18"/>
          <w:u w:val="none"/>
          <w:vertAlign w:val="baseline"/>
        </w:rPr>
        <w:t>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Saenz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CR7-Y7P0-004C-000C-00000-00&amp;context=1519360" TargetMode="External" /><Relationship Id="rId11" Type="http://schemas.openxmlformats.org/officeDocument/2006/relationships/hyperlink" Target="https://advance.lexis.com/api/document?collection=cases&amp;id=urn:contentItem:3S4X-G470-003B-S2VW-00000-00&amp;context=1519360" TargetMode="External" /><Relationship Id="rId12" Type="http://schemas.openxmlformats.org/officeDocument/2006/relationships/hyperlink" Target="https://advance.lexis.com/api/document?collection=cases&amp;id=urn:contentItem:4KS5-3CB0-0038-X466-00000-00&amp;context=1519360" TargetMode="External" /><Relationship Id="rId13" Type="http://schemas.openxmlformats.org/officeDocument/2006/relationships/hyperlink" Target="https://advance.lexis.com/api/document?collection=cases&amp;id=urn:contentItem:3S4X-0X60-001B-K3GK-00000-00&amp;context=1519360" TargetMode="External" /><Relationship Id="rId14" Type="http://schemas.openxmlformats.org/officeDocument/2006/relationships/hyperlink" Target="https://advance.lexis.com/api/document?collection=cases&amp;id=urn:contentItem:3S4X-6S40-0039-P4DR-00000-00&amp;context=1519360" TargetMode="External" /><Relationship Id="rId15" Type="http://schemas.openxmlformats.org/officeDocument/2006/relationships/hyperlink" Target="https://advance.lexis.com/api/document?collection=cases&amp;id=urn:contentItem:3S4X-72Y0-003B-52NV-00000-00&amp;context=1519360" TargetMode="External" /><Relationship Id="rId16" Type="http://schemas.openxmlformats.org/officeDocument/2006/relationships/hyperlink" Target="https://advance.lexis.com/api/document?collection=cases&amp;id=urn:contentItem:4NWV-XWY0-0038-X2C3-00000-00&amp;context=1519360" TargetMode="External" /><Relationship Id="rId17" Type="http://schemas.openxmlformats.org/officeDocument/2006/relationships/hyperlink" Target="https://advance.lexis.com/api/document?collection=cases&amp;id=urn:contentItem:3S42-KVY0-00B1-D209-00000-00&amp;context=1519360" TargetMode="External" /><Relationship Id="rId18" Type="http://schemas.openxmlformats.org/officeDocument/2006/relationships/hyperlink" Target="https://advance.lexis.com/api/document?collection=cases&amp;id=urn:contentItem:3S4X-FR00-003B-P3NT-00000-00&amp;context=1519360" TargetMode="External" /><Relationship Id="rId19" Type="http://schemas.openxmlformats.org/officeDocument/2006/relationships/hyperlink" Target="https://advance.lexis.com/api/document?collection=cases&amp;id=urn:contentItem:3S4X-24Y0-008H-V36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4C50-0039-N04H-00000-00&amp;context=1519360" TargetMode="External" /><Relationship Id="rId21" Type="http://schemas.openxmlformats.org/officeDocument/2006/relationships/hyperlink" Target="https://advance.lexis.com/api/document?collection=cases&amp;id=urn:contentItem:40K8-KF40-004C-1013-00000-00&amp;context=1519360" TargetMode="External" /><Relationship Id="rId22" Type="http://schemas.openxmlformats.org/officeDocument/2006/relationships/hyperlink" Target="https://advance.lexis.com/api/document?collection=cases&amp;id=urn:contentItem:4G7G-DCS0-0038-X179-00000-00&amp;context=1519360" TargetMode="External" /><Relationship Id="rId23" Type="http://schemas.openxmlformats.org/officeDocument/2006/relationships/hyperlink" Target="https://advance.lexis.com/api/document?collection=cases&amp;id=urn:contentItem:4C6M-0W20-0038-X3DR-00000-00&amp;context=1519360" TargetMode="External" /><Relationship Id="rId24" Type="http://schemas.openxmlformats.org/officeDocument/2006/relationships/hyperlink" Target="https://advance.lexis.com/api/document?collection=cases&amp;id=urn:contentItem:3S4X-2PK0-006F-M1DG-00000-00&amp;context=1519360" TargetMode="External" /><Relationship Id="rId25" Type="http://schemas.openxmlformats.org/officeDocument/2006/relationships/hyperlink" Target="https://advance.lexis.com/api/document?collection=cases&amp;id=urn:contentItem:4C5B-5SJ0-0038-X2XX-00000-00&amp;context=1519360" TargetMode="External" /><Relationship Id="rId26" Type="http://schemas.openxmlformats.org/officeDocument/2006/relationships/hyperlink" Target="https://advance.lexis.com/api/document?collection=statutes-legislation&amp;id=urn:contentItem:8T9R-T5M2-D6RV-H38C-00000-00&amp;context=1519360" TargetMode="External" /><Relationship Id="rId27" Type="http://schemas.openxmlformats.org/officeDocument/2006/relationships/hyperlink" Target="https://advance.lexis.com/api/document?collection=statutes-legislation&amp;id=urn:contentItem:8SG9-5HW2-D6RV-H0BK-00000-00&amp;context=1519360" TargetMode="External" /><Relationship Id="rId28" Type="http://schemas.openxmlformats.org/officeDocument/2006/relationships/hyperlink" Target="https://advance.lexis.com/api/document?collection=statutes-legislation&amp;id=urn:contentItem:5GYC-2731-FG36-1402-00000-00&amp;context=1519360" TargetMode="External" /><Relationship Id="rId29" Type="http://schemas.openxmlformats.org/officeDocument/2006/relationships/hyperlink" Target="https://advance.lexis.com/api/document?collection=cases&amp;id=urn:contentItem:3S4X-8XP0-0039-N1V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2V50-006F-M2KX-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2CP-RGM1-JCNC-N0S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0X60-001B-K3GK-00000-00&amp;context=1519360" TargetMode="External" /><Relationship Id="rId2" Type="http://schemas.openxmlformats.org/officeDocument/2006/relationships/hyperlink" Target="https://advance.lexis.com/api/document?collection=statutes-legislation&amp;id=urn:contentItem:8T9R-T3H2-D6RV-H37G-00000-00&amp;context=1519360" TargetMode="External" /><Relationship Id="rId3" Type="http://schemas.openxmlformats.org/officeDocument/2006/relationships/hyperlink" Target="https://advance.lexis.com/api/document?collection=cases&amp;id=urn:contentItem:3S4X-11T0-0039-M3Y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Saenz, 2010 U.S. Dist. LEXIS 141954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Doc::urn:hlct:5|contextualFeaturePermID::1519360</vt:lpwstr>
  </property>
  <property fmtid="{D5CDD505-2E9C-101B-9397-08002B2CF9AE}" pid="5" name="UserPermID">
    <vt:lpwstr>urn:user:PA186186298</vt:lpwstr>
  </property>
</Properties>
</file>