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Munoz-Martinez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2011,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10-40487</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435 Fed. Appx. 333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2011 U.S. App. LEXIS 15874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FERNANDO MUNOZ-MARTINEZ,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5:09-CR-2877.</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reasonable suspicion, suspicion, aliens, pickup-truck, smuggling, district court, circumstances, passenger, driving, driver, truck, exit, denial of a motion, investigatory stop, motion to suppress, suppress evidence, deny a motion, illegal alien, miles north, plea guilty, miles-per-hour, transporting, conditioned, suspicious, proximity, quotation, traveling, witnessed, Highway</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Violet LaTawn Warsaw, Esq., Assistant U.S. Attorney, U.S. Attorney's Office, Southern District of Texas, Brownsville, TX; Renata Ann Gowie, Assistant U.S. Attorney, James Lee Turner, Assistant U.S. Attorney, Eileen K. Wilson,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FERNANDO MUNOZ-MARTINEZ, Defendant - Appellant: Juan Ramon Flores,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Chief Judge, and HIGGINBOTHAM and SOUTHWICK, Circuit Judges.</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Fernando Munoz-Martinez pled guilty to transporting an illegal alien within the United States. He conditioned his plea on the outcome of a motion to suppress the evidence acquired by the Border Patrol agents who pulled over his vehicle. The district court denied the motion. We AFFIRM.</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On the evening of December 2, 2009, Fernando Munoz-Martinez was driving a pickup-truck south on Interstate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35. Near Artesia Wells, Texas, which is about 56 miles north of the border with Mexico, two Border Patrol agents observed a pickup-truck exit onto Highway 133. Ten to 15 minutes later, the agents saw what appeared to be the same truck return onto I-35 and head north. After following the vehicle for seven miles, the agents suspected that it was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We discuss the basis of their suspicion below. The agents made an investigatory stop and discovered eight illegal aliens in the truck, including the driver, Munoz-Martinez.</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Munoz-Martinez was charged in a two-count indictment with transporting aliens who were in the United States unlawfully.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Munoz-Martinez pled guilty to one count, conditioning his plea on the outcome of a motion to suppress evidence. He argued that the agents lacked reasonable suspicion to justify an investigative stop. After holding an evidentiary hearing, the district court denied the motion. Munoz-Martinez was sentenced to 12 months plus a day of imprisonment and to three years of supervised release. Munoz-Martinez filed a timely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7" w:name="Bookmark_para_7"/>
      <w:bookmarkEnd w:id="17"/>
      <w:bookmarkStart w:id="18" w:name="Bookmark_I53M74W428T4W00020000400"/>
      <w:bookmarkEnd w:id="18"/>
      <w:bookmarkStart w:id="19" w:name="Bookmark_I53M74W428T4W00040000400"/>
      <w:bookmarkEnd w:id="19"/>
      <w:r>
        <w:rPr>
          <w:rFonts w:ascii="arial" w:eastAsia="arial" w:hAnsi="arial" w:cs="arial"/>
          <w:b w:val="0"/>
          <w:i w:val="0"/>
          <w:strike w:val="0"/>
          <w:noProof w:val="0"/>
          <w:color w:val="000000"/>
          <w:position w:val="0"/>
          <w:sz w:val="20"/>
          <w:u w:val="none"/>
          <w:vertAlign w:val="baseline"/>
        </w:rPr>
        <w:t xml:space="preserve">In reviewing the denial of a motion to suppress evidence, this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court reviews the district court's factual findings for clear error and its legal conclusions </w:t>
      </w:r>
      <w:r>
        <w:rPr>
          <w:rFonts w:ascii="arial" w:eastAsia="arial" w:hAnsi="arial" w:cs="arial"/>
          <w:b w:val="0"/>
          <w:i/>
          <w:strike w:val="0"/>
          <w:noProof w:val="0"/>
          <w:color w:val="000000"/>
          <w:position w:val="0"/>
          <w:sz w:val="20"/>
          <w:u w:val="none"/>
          <w:vertAlign w:val="baseline"/>
        </w:rPr>
        <w:t xml:space="preserve">de novo. </w:t>
      </w:r>
      <w:bookmarkStart w:id="20" w:name="Bookmark_I53M74W428T4W00010000400"/>
      <w:bookmarkEnd w:id="20"/>
      <w:hyperlink r:id="rId12" w:history="1">
        <w:r>
          <w:rPr>
            <w:rFonts w:ascii="arial" w:eastAsia="arial" w:hAnsi="arial" w:cs="arial"/>
            <w:b w:val="0"/>
            <w:i/>
            <w:strike w:val="0"/>
            <w:noProof w:val="0"/>
            <w:color w:val="0077CC"/>
            <w:position w:val="0"/>
            <w:sz w:val="20"/>
            <w:u w:val="single"/>
            <w:vertAlign w:val="baseline"/>
          </w:rPr>
          <w:t>United States v. Rangel-Portillo,</w:t>
        </w:r>
      </w:hyperlink>
      <w:hyperlink r:id="rId12" w:history="1">
        <w:r>
          <w:rPr>
            <w:rFonts w:ascii="arial" w:eastAsia="arial" w:hAnsi="arial" w:cs="arial"/>
            <w:b w:val="0"/>
            <w:i/>
            <w:strike w:val="0"/>
            <w:noProof w:val="0"/>
            <w:color w:val="0077CC"/>
            <w:position w:val="0"/>
            <w:sz w:val="20"/>
            <w:u w:val="single"/>
            <w:vertAlign w:val="baseline"/>
          </w:rPr>
          <w:t xml:space="preserve"> 586 F.3d 376, 379 (5th Cir. 2009)</w:t>
        </w:r>
      </w:hyperlink>
      <w:r>
        <w:rPr>
          <w:rFonts w:ascii="arial" w:eastAsia="arial" w:hAnsi="arial" w:cs="arial"/>
          <w:b w:val="0"/>
          <w:i w:val="0"/>
          <w:strike w:val="0"/>
          <w:noProof w:val="0"/>
          <w:color w:val="000000"/>
          <w:position w:val="0"/>
          <w:sz w:val="20"/>
          <w:u w:val="none"/>
          <w:vertAlign w:val="baseline"/>
        </w:rPr>
        <w:t xml:space="preserve">. The denial of the motion is reviewed in the light most favorable to the prevailing party. </w:t>
      </w:r>
      <w:bookmarkStart w:id="21" w:name="Bookmark_I53M74W428T4W00030000400"/>
      <w:bookmarkEnd w:id="21"/>
      <w:hyperlink r:id="rId13" w:history="1">
        <w:r>
          <w:rPr>
            <w:rFonts w:ascii="arial" w:eastAsia="arial" w:hAnsi="arial" w:cs="arial"/>
            <w:b w:val="0"/>
            <w:i/>
            <w:strike w:val="0"/>
            <w:noProof w:val="0"/>
            <w:color w:val="0077CC"/>
            <w:position w:val="0"/>
            <w:sz w:val="20"/>
            <w:u w:val="single"/>
            <w:vertAlign w:val="baseline"/>
          </w:rPr>
          <w:t>United States v. Garcia,</w:t>
        </w:r>
      </w:hyperlink>
      <w:hyperlink r:id="rId13" w:history="1">
        <w:r>
          <w:rPr>
            <w:rFonts w:ascii="arial" w:eastAsia="arial" w:hAnsi="arial" w:cs="arial"/>
            <w:b w:val="0"/>
            <w:i/>
            <w:strike w:val="0"/>
            <w:noProof w:val="0"/>
            <w:color w:val="0077CC"/>
            <w:position w:val="0"/>
            <w:sz w:val="20"/>
            <w:u w:val="single"/>
            <w:vertAlign w:val="baseline"/>
          </w:rPr>
          <w:t xml:space="preserve"> 604 F.3d 186, 189-90 (5th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8"/>
      <w:bookmarkEnd w:id="22"/>
      <w:bookmarkStart w:id="23" w:name="Bookmark_I53M74W42N1RM70010000400"/>
      <w:bookmarkEnd w:id="23"/>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permits roving Border Patrol agents to "stop vehicles only if they are aware of specific articulable facts, together with rational inferences from those facts, that reasonably warrant suspicion that the vehicles contain aliens who may be illegally in the country." </w:t>
      </w:r>
      <w:bookmarkStart w:id="24" w:name="Bookmark_I53M74W428T4W00050000400"/>
      <w:bookmarkEnd w:id="24"/>
      <w:hyperlink r:id="rId15" w:history="1">
        <w:r>
          <w:rPr>
            <w:rFonts w:ascii="arial" w:eastAsia="arial" w:hAnsi="arial" w:cs="arial"/>
            <w:b w:val="0"/>
            <w:i/>
            <w:strike w:val="0"/>
            <w:noProof w:val="0"/>
            <w:color w:val="0077CC"/>
            <w:position w:val="0"/>
            <w:sz w:val="20"/>
            <w:u w:val="single"/>
            <w:vertAlign w:val="baseline"/>
          </w:rPr>
          <w:t>United States v. Brignoni-Ponce,</w:t>
        </w:r>
      </w:hyperlink>
      <w:hyperlink r:id="rId15" w:history="1">
        <w:r>
          <w:rPr>
            <w:rFonts w:ascii="arial" w:eastAsia="arial" w:hAnsi="arial" w:cs="arial"/>
            <w:b w:val="0"/>
            <w:i/>
            <w:strike w:val="0"/>
            <w:noProof w:val="0"/>
            <w:color w:val="0077CC"/>
            <w:position w:val="0"/>
            <w:sz w:val="20"/>
            <w:u w:val="single"/>
            <w:vertAlign w:val="baseline"/>
          </w:rPr>
          <w:t xml:space="preserve">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25" w:name="Bookmark_I55F10S3JBR000V5JVN00147"/>
      <w:bookmarkEnd w:id="25"/>
      <w:bookmarkStart w:id="26" w:name="Bookmark_I53M74W42N1RM70030000400"/>
      <w:bookmarkEnd w:id="26"/>
      <w:r>
        <w:rPr>
          <w:rFonts w:ascii="arial" w:eastAsia="arial" w:hAnsi="arial" w:cs="arial"/>
          <w:b w:val="0"/>
          <w:i w:val="0"/>
          <w:strike w:val="0"/>
          <w:noProof w:val="0"/>
          <w:color w:val="000000"/>
          <w:position w:val="0"/>
          <w:sz w:val="20"/>
          <w:u w:val="none"/>
          <w:vertAlign w:val="baseline"/>
        </w:rPr>
        <w:t>The following factors inform whether reasonable suspicion existed:</w:t>
      </w:r>
    </w:p>
    <w:p>
      <w:pPr>
        <w:keepNext w:val="0"/>
        <w:spacing w:before="200" w:after="0" w:line="260" w:lineRule="atLeast"/>
        <w:ind w:left="400" w:right="0" w:firstLine="0"/>
        <w:jc w:val="both"/>
      </w:pPr>
      <w:bookmarkStart w:id="27" w:name="Bookmark_para_9"/>
      <w:bookmarkEnd w:id="27"/>
      <w:bookmarkStart w:id="28" w:name="Bookmark_I53M74W42N1RM70030000400_2"/>
      <w:bookmarkEnd w:id="28"/>
      <w:bookmarkStart w:id="29" w:name="Bookmark_I53M74W42N1RM70010000400_2"/>
      <w:bookmarkEnd w:id="29"/>
      <w:bookmarkStart w:id="30" w:name="Bookmark_I53M74W42N1RM70050000400"/>
      <w:bookmarkEnd w:id="30"/>
      <w:r>
        <w:rPr>
          <w:rFonts w:ascii="arial" w:eastAsia="arial" w:hAnsi="arial" w:cs="arial"/>
          <w:b w:val="0"/>
          <w:i w:val="0"/>
          <w:strike w:val="0"/>
          <w:noProof w:val="0"/>
          <w:color w:val="000000"/>
          <w:position w:val="0"/>
          <w:sz w:val="20"/>
          <w:u w:val="none"/>
          <w:vertAlign w:val="baseline"/>
        </w:rPr>
        <w:t xml:space="preserve">(1) proximity to the border; (2) characteristics of the area; (3) usualtraffic patterns; (4) agent's previous experience in detecting illegal activity; (5) behavior of the driver; (6) particular aspects or characteristics of the vehicle; (7) information about recent illegaltrafficking in aliens or narcotics in the area; </w:t>
      </w:r>
      <w:r>
        <w:rPr>
          <w:rFonts w:ascii="arial" w:eastAsia="arial" w:hAnsi="arial" w:cs="arial"/>
          <w:b/>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and (8) the number, appearance, and behavior of the passengers.</w:t>
      </w:r>
    </w:p>
    <w:p>
      <w:pPr>
        <w:keepNext w:val="0"/>
        <w:spacing w:before="240" w:after="0" w:line="260" w:lineRule="atLeast"/>
        <w:ind w:left="0" w:right="0" w:firstLine="0"/>
        <w:jc w:val="both"/>
      </w:pPr>
      <w:bookmarkStart w:id="31" w:name="Bookmark_I53M74W42N1RM70050000400_2"/>
      <w:bookmarkEnd w:id="31"/>
      <w:bookmarkStart w:id="32" w:name="Bookmark_I53M74W42N1RM70030000400_3"/>
      <w:bookmarkEnd w:id="32"/>
      <w:bookmarkStart w:id="33" w:name="Bookmark_I53M74W42N1RM70020000400"/>
      <w:bookmarkEnd w:id="33"/>
      <w:hyperlink r:id="rId16" w:history="1">
        <w:r>
          <w:rPr>
            <w:rFonts w:ascii="arial" w:eastAsia="arial" w:hAnsi="arial" w:cs="arial"/>
            <w:b w:val="0"/>
            <w:i/>
            <w:strike w:val="0"/>
            <w:color w:val="0077CC"/>
            <w:sz w:val="20"/>
            <w:u w:val="single"/>
            <w:vertAlign w:val="baseline"/>
          </w:rPr>
          <w:t>United States v. Jacquinot,</w:t>
        </w:r>
      </w:hyperlink>
      <w:hyperlink r:id="rId16" w:history="1">
        <w:r>
          <w:rPr>
            <w:rFonts w:ascii="arial" w:eastAsia="arial" w:hAnsi="arial" w:cs="arial"/>
            <w:b w:val="0"/>
            <w:i/>
            <w:strike w:val="0"/>
            <w:color w:val="0077CC"/>
            <w:sz w:val="20"/>
            <w:u w:val="single"/>
            <w:vertAlign w:val="baseline"/>
          </w:rPr>
          <w:t xml:space="preserve"> 258 F.3d 423, 427 (5th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(citations omitted). </w:t>
      </w:r>
      <w:bookmarkStart w:id="34" w:name="Bookmark_I53M74W42D6NSC0020000400"/>
      <w:bookmarkEnd w:id="34"/>
      <w:r>
        <w:rPr>
          <w:rFonts w:ascii="arial" w:eastAsia="arial" w:hAnsi="arial" w:cs="arial"/>
          <w:b w:val="0"/>
          <w:i w:val="0"/>
          <w:strike w:val="0"/>
          <w:noProof w:val="0"/>
          <w:color w:val="000000"/>
          <w:position w:val="0"/>
          <w:sz w:val="20"/>
          <w:u w:val="none"/>
          <w:vertAlign w:val="baseline"/>
        </w:rPr>
        <w:t xml:space="preserve">"No single factor is dispositive," rather, "each case must be examined based on the totality of the circumstances known to the agents at the time of the stop and their experience in evaluating such circumstances." </w:t>
      </w:r>
      <w:bookmarkStart w:id="35" w:name="Bookmark_I53M74W42N1RM70040000400"/>
      <w:bookmarkEnd w:id="35"/>
      <w:hyperlink r:id="rId12" w:history="1">
        <w:r>
          <w:rPr>
            <w:rFonts w:ascii="arial" w:eastAsia="arial" w:hAnsi="arial" w:cs="arial"/>
            <w:b w:val="0"/>
            <w:i/>
            <w:strike w:val="0"/>
            <w:noProof w:val="0"/>
            <w:color w:val="0077CC"/>
            <w:position w:val="0"/>
            <w:sz w:val="20"/>
            <w:u w:val="single"/>
            <w:vertAlign w:val="baseline"/>
          </w:rPr>
          <w:t>Rangel-Portillo,</w:t>
        </w:r>
      </w:hyperlink>
      <w:hyperlink r:id="rId12" w:history="1">
        <w:r>
          <w:rPr>
            <w:rFonts w:ascii="arial" w:eastAsia="arial" w:hAnsi="arial" w:cs="arial"/>
            <w:b w:val="0"/>
            <w:i/>
            <w:strike w:val="0"/>
            <w:noProof w:val="0"/>
            <w:color w:val="0077CC"/>
            <w:position w:val="0"/>
            <w:sz w:val="20"/>
            <w:u w:val="single"/>
            <w:vertAlign w:val="baseline"/>
          </w:rPr>
          <w:t xml:space="preserve"> 586 F.3d at 380</w:t>
        </w:r>
      </w:hyperlink>
      <w:r>
        <w:rPr>
          <w:rFonts w:ascii="arial" w:eastAsia="arial" w:hAnsi="arial" w:cs="arial"/>
          <w:b w:val="0"/>
          <w:i w:val="0"/>
          <w:strike w:val="0"/>
          <w:noProof w:val="0"/>
          <w:color w:val="000000"/>
          <w:position w:val="0"/>
          <w:sz w:val="20"/>
          <w:u w:val="none"/>
          <w:vertAlign w:val="baseline"/>
        </w:rPr>
        <w:t xml:space="preserve"> (quotation marks and citation omitted). </w:t>
      </w:r>
      <w:bookmarkStart w:id="36" w:name="Bookmark_I53M74W42D6NSC0020000400_2"/>
      <w:bookmarkEnd w:id="36"/>
      <w:r>
        <w:rPr>
          <w:rFonts w:ascii="arial" w:eastAsia="arial" w:hAnsi="arial" w:cs="arial"/>
          <w:b w:val="0"/>
          <w:i w:val="0"/>
          <w:strike w:val="0"/>
          <w:noProof w:val="0"/>
          <w:color w:val="000000"/>
          <w:position w:val="0"/>
          <w:sz w:val="20"/>
          <w:u w:val="none"/>
          <w:vertAlign w:val="baseline"/>
        </w:rPr>
        <w:t xml:space="preserve">A collection of factors that usually constitute innocent behavior may add up to reasonable suspicion in the mind of an experienced officer. </w:t>
      </w:r>
      <w:bookmarkStart w:id="37" w:name="Bookmark_I53M74W42D6NSC0010000400"/>
      <w:bookmarkEnd w:id="37"/>
      <w:hyperlink r:id="rId16" w:history="1">
        <w:r>
          <w:rPr>
            <w:rFonts w:ascii="arial" w:eastAsia="arial" w:hAnsi="arial" w:cs="arial"/>
            <w:b w:val="0"/>
            <w:i/>
            <w:strike w:val="0"/>
            <w:noProof w:val="0"/>
            <w:color w:val="0077CC"/>
            <w:position w:val="0"/>
            <w:sz w:val="20"/>
            <w:u w:val="single"/>
            <w:vertAlign w:val="baseline"/>
          </w:rPr>
          <w:t>Jacquinot,</w:t>
        </w:r>
      </w:hyperlink>
      <w:hyperlink r:id="rId16" w:history="1">
        <w:r>
          <w:rPr>
            <w:rFonts w:ascii="arial" w:eastAsia="arial" w:hAnsi="arial" w:cs="arial"/>
            <w:b w:val="0"/>
            <w:i/>
            <w:strike w:val="0"/>
            <w:noProof w:val="0"/>
            <w:color w:val="0077CC"/>
            <w:position w:val="0"/>
            <w:sz w:val="20"/>
            <w:u w:val="single"/>
            <w:vertAlign w:val="baseline"/>
          </w:rPr>
          <w:t xml:space="preserve"> 258 F.3d at 427-28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0"/>
      <w:bookmarkEnd w:id="38"/>
      <w:bookmarkStart w:id="39" w:name="Bookmark_I53M74W42D6NSC0040000400"/>
      <w:bookmarkEnd w:id="39"/>
      <w:r>
        <w:rPr>
          <w:rFonts w:ascii="arial" w:eastAsia="arial" w:hAnsi="arial" w:cs="arial"/>
          <w:b w:val="0"/>
          <w:i w:val="0"/>
          <w:strike w:val="0"/>
          <w:noProof w:val="0"/>
          <w:color w:val="000000"/>
          <w:position w:val="0"/>
          <w:sz w:val="20"/>
          <w:u w:val="none"/>
          <w:vertAlign w:val="baseline"/>
        </w:rPr>
        <w:t xml:space="preserve">A vital element in this analysis "is whether the agents had reason to believe that the vehicle in question recently crossed the border." </w:t>
      </w:r>
      <w:bookmarkStart w:id="40" w:name="Bookmark_I53M74W42D6NSC0030000400"/>
      <w:bookmarkEnd w:id="40"/>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428</w:t>
        </w:r>
      </w:hyperlink>
      <w:r>
        <w:rPr>
          <w:rFonts w:ascii="arial" w:eastAsia="arial" w:hAnsi="arial" w:cs="arial"/>
          <w:b w:val="0"/>
          <w:i w:val="0"/>
          <w:strike w:val="0"/>
          <w:noProof w:val="0"/>
          <w:color w:val="000000"/>
          <w:position w:val="0"/>
          <w:sz w:val="20"/>
          <w:u w:val="none"/>
          <w:vertAlign w:val="baseline"/>
        </w:rPr>
        <w:t xml:space="preserve"> (citation omitted). We have generally viewed "a car traveling more than 50 miles from the border . . . as being too far from the border to support an inference that it originated its journey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Munoz-Martinez was first identified by the Border Patrol agents 56 miles north of the border. The agents testified that according to a computer check of the licence plate, Munoz-Martinez had not recently passed through the border checkpoint on I-35. In light of this information, the proximity factor does not weigh in favor of reasonable suspicion.</w:t>
      </w:r>
    </w:p>
    <w:p>
      <w:pPr>
        <w:keepNext w:val="0"/>
        <w:spacing w:before="240" w:after="0" w:line="260" w:lineRule="atLeast"/>
        <w:ind w:left="0" w:right="0" w:firstLine="0"/>
        <w:jc w:val="both"/>
      </w:pPr>
      <w:bookmarkStart w:id="41" w:name="Bookmark_para_11"/>
      <w:bookmarkEnd w:id="41"/>
      <w:bookmarkStart w:id="42" w:name="Bookmark_I53M74W42D6NSD0010000400"/>
      <w:bookmarkEnd w:id="42"/>
      <w:r>
        <w:rPr>
          <w:rFonts w:ascii="arial" w:eastAsia="arial" w:hAnsi="arial" w:cs="arial"/>
          <w:b w:val="0"/>
          <w:i w:val="0"/>
          <w:strike w:val="0"/>
          <w:noProof w:val="0"/>
          <w:color w:val="000000"/>
          <w:position w:val="0"/>
          <w:sz w:val="20"/>
          <w:u w:val="none"/>
          <w:vertAlign w:val="baseline"/>
        </w:rPr>
        <w:t xml:space="preserve">Also important is that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"a road's reputation as a smuggling route adds to the reasonableness of the agents' suspicion." </w:t>
      </w:r>
      <w:bookmarkStart w:id="43" w:name="Bookmark_I53M74W42D6NSC0050000400"/>
      <w:bookmarkEnd w:id="43"/>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429</w:t>
        </w:r>
      </w:hyperlink>
      <w:r>
        <w:rPr>
          <w:rFonts w:ascii="arial" w:eastAsia="arial" w:hAnsi="arial" w:cs="arial"/>
          <w:b w:val="0"/>
          <w:i w:val="0"/>
          <w:strike w:val="0"/>
          <w:noProof w:val="0"/>
          <w:color w:val="000000"/>
          <w:position w:val="0"/>
          <w:sz w:val="20"/>
          <w:u w:val="none"/>
          <w:vertAlign w:val="baseline"/>
        </w:rPr>
        <w:t xml:space="preserve"> (quotation marks, emphasis, and citation omitted). </w:t>
      </w:r>
      <w:bookmarkStart w:id="44" w:name="Bookmark_I53M74W42D6NSD0030000400"/>
      <w:bookmarkEnd w:id="44"/>
      <w:r>
        <w:rPr>
          <w:rFonts w:ascii="arial" w:eastAsia="arial" w:hAnsi="arial" w:cs="arial"/>
          <w:b w:val="0"/>
          <w:i w:val="0"/>
          <w:strike w:val="0"/>
          <w:noProof w:val="0"/>
          <w:color w:val="000000"/>
          <w:position w:val="0"/>
          <w:sz w:val="20"/>
          <w:u w:val="none"/>
          <w:vertAlign w:val="baseline"/>
        </w:rPr>
        <w:t xml:space="preserve">The agents testified that the area where Munoz-Martinez was stopped is notorious for drug-and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activity. Moreover, Munoz-Martinez's purple, low-riding pickup-truck aroused suspicion, as it was atypical of traffic in the area, which primarily included vehicles related to the oil industry, ranching, and hunting. </w:t>
      </w:r>
      <w:bookmarkStart w:id="45" w:name="Bookmark_I53M74W42D6NSD0030000400_2"/>
      <w:bookmarkEnd w:id="45"/>
      <w:r>
        <w:rPr>
          <w:rFonts w:ascii="arial" w:eastAsia="arial" w:hAnsi="arial" w:cs="arial"/>
          <w:b w:val="0"/>
          <w:i/>
          <w:strike w:val="0"/>
          <w:noProof w:val="0"/>
          <w:color w:val="000000"/>
          <w:position w:val="0"/>
          <w:sz w:val="20"/>
          <w:u w:val="none"/>
          <w:vertAlign w:val="baseline"/>
        </w:rPr>
        <w:t xml:space="preserve">See </w:t>
      </w:r>
      <w:bookmarkStart w:id="46" w:name="Bookmark_I53M74W42D6NSD0020000400"/>
      <w:bookmarkEnd w:id="46"/>
      <w:hyperlink r:id="rId17" w:history="1">
        <w:r>
          <w:rPr>
            <w:rFonts w:ascii="arial" w:eastAsia="arial" w:hAnsi="arial" w:cs="arial"/>
            <w:b w:val="0"/>
            <w:i/>
            <w:strike w:val="0"/>
            <w:noProof w:val="0"/>
            <w:color w:val="0077CC"/>
            <w:position w:val="0"/>
            <w:sz w:val="20"/>
            <w:u w:val="single"/>
            <w:vertAlign w:val="baseline"/>
          </w:rPr>
          <w:t>United States v. Moreno-Chaparro,</w:t>
        </w:r>
      </w:hyperlink>
      <w:hyperlink r:id="rId17" w:history="1">
        <w:r>
          <w:rPr>
            <w:rFonts w:ascii="arial" w:eastAsia="arial" w:hAnsi="arial" w:cs="arial"/>
            <w:b w:val="0"/>
            <w:i/>
            <w:strike w:val="0"/>
            <w:noProof w:val="0"/>
            <w:color w:val="0077CC"/>
            <w:position w:val="0"/>
            <w:sz w:val="20"/>
            <w:u w:val="single"/>
            <w:vertAlign w:val="baseline"/>
          </w:rPr>
          <w:t xml:space="preserve"> 180 F.3d 629, 632-33 (5th Cir. 1998)</w:t>
        </w:r>
      </w:hyperlink>
      <w:r>
        <w:rPr>
          <w:rFonts w:ascii="arial" w:eastAsia="arial" w:hAnsi="arial" w:cs="arial"/>
          <w:b w:val="0"/>
          <w:i w:val="0"/>
          <w:strike w:val="0"/>
          <w:noProof w:val="0"/>
          <w:color w:val="000000"/>
          <w:position w:val="0"/>
          <w:sz w:val="20"/>
          <w:u w:val="none"/>
          <w:vertAlign w:val="baseline"/>
        </w:rPr>
        <w:t xml:space="preserve">; </w:t>
      </w:r>
      <w:bookmarkStart w:id="47" w:name="Bookmark_I53M74W42D6NSD0040000400"/>
      <w:bookmarkEnd w:id="47"/>
      <w:hyperlink r:id="rId18" w:history="1">
        <w:r>
          <w:rPr>
            <w:rFonts w:ascii="arial" w:eastAsia="arial" w:hAnsi="arial" w:cs="arial"/>
            <w:b w:val="0"/>
            <w:i/>
            <w:strike w:val="0"/>
            <w:noProof w:val="0"/>
            <w:color w:val="0077CC"/>
            <w:position w:val="0"/>
            <w:sz w:val="20"/>
            <w:u w:val="single"/>
            <w:vertAlign w:val="baseline"/>
          </w:rPr>
          <w:t>United States v. Inocencio,</w:t>
        </w:r>
      </w:hyperlink>
      <w:hyperlink r:id="rId18" w:history="1">
        <w:r>
          <w:rPr>
            <w:rFonts w:ascii="arial" w:eastAsia="arial" w:hAnsi="arial" w:cs="arial"/>
            <w:b w:val="0"/>
            <w:i/>
            <w:strike w:val="0"/>
            <w:noProof w:val="0"/>
            <w:color w:val="0077CC"/>
            <w:position w:val="0"/>
            <w:sz w:val="20"/>
            <w:u w:val="single"/>
            <w:vertAlign w:val="baseline"/>
          </w:rPr>
          <w:t xml:space="preserve"> 40 F.3d 716, 723 (5th Cir. 1994)</w:t>
        </w:r>
      </w:hyperlink>
      <w:r>
        <w:rPr>
          <w:rFonts w:ascii="arial" w:eastAsia="arial" w:hAnsi="arial" w:cs="arial"/>
          <w:b w:val="0"/>
          <w:i w:val="0"/>
          <w:strike w:val="0"/>
          <w:noProof w:val="0"/>
          <w:color w:val="000000"/>
          <w:position w:val="0"/>
          <w:sz w:val="20"/>
          <w:u w:val="none"/>
          <w:vertAlign w:val="baseline"/>
        </w:rPr>
        <w:t>. There was testimony that a truck such as this traveling on the state highway in this area after exiting the Interstate was unusual.</w:t>
      </w:r>
    </w:p>
    <w:p>
      <w:pPr>
        <w:keepNext w:val="0"/>
        <w:spacing w:before="200" w:after="0" w:line="260" w:lineRule="atLeast"/>
        <w:ind w:left="0" w:right="0" w:firstLine="0"/>
        <w:jc w:val="both"/>
      </w:pPr>
      <w:bookmarkStart w:id="48" w:name="Bookmark_para_12"/>
      <w:bookmarkEnd w:id="48"/>
      <w:bookmarkStart w:id="49" w:name="Bookmark_I53M74W42D6NSF0020000400"/>
      <w:bookmarkEnd w:id="49"/>
      <w:r>
        <w:rPr>
          <w:rFonts w:ascii="arial" w:eastAsia="arial" w:hAnsi="arial" w:cs="arial"/>
          <w:b w:val="0"/>
          <w:i w:val="0"/>
          <w:strike w:val="0"/>
          <w:noProof w:val="0"/>
          <w:color w:val="000000"/>
          <w:position w:val="0"/>
          <w:sz w:val="20"/>
          <w:u w:val="none"/>
          <w:vertAlign w:val="baseline"/>
        </w:rPr>
        <w:t xml:space="preserve">Munoz-Martinez's driving behavior was also reasonably suspicious. </w:t>
      </w:r>
      <w:r>
        <w:rPr>
          <w:rFonts w:ascii="arial" w:eastAsia="arial" w:hAnsi="arial" w:cs="arial"/>
          <w:b w:val="0"/>
          <w:i/>
          <w:strike w:val="0"/>
          <w:noProof w:val="0"/>
          <w:color w:val="000000"/>
          <w:position w:val="0"/>
          <w:sz w:val="20"/>
          <w:u w:val="none"/>
          <w:vertAlign w:val="baseline"/>
        </w:rPr>
        <w:t xml:space="preserve">See </w:t>
      </w:r>
      <w:bookmarkStart w:id="50" w:name="Bookmark_I53M74W42D6NSF0010000400"/>
      <w:bookmarkEnd w:id="50"/>
      <w:hyperlink r:id="rId16" w:history="1">
        <w:r>
          <w:rPr>
            <w:rFonts w:ascii="arial" w:eastAsia="arial" w:hAnsi="arial" w:cs="arial"/>
            <w:b w:val="0"/>
            <w:i/>
            <w:strike w:val="0"/>
            <w:noProof w:val="0"/>
            <w:color w:val="0077CC"/>
            <w:position w:val="0"/>
            <w:sz w:val="20"/>
            <w:u w:val="single"/>
            <w:vertAlign w:val="baseline"/>
          </w:rPr>
          <w:t>Jacquinot,</w:t>
        </w:r>
      </w:hyperlink>
      <w:hyperlink r:id="rId16" w:history="1">
        <w:r>
          <w:rPr>
            <w:rFonts w:ascii="arial" w:eastAsia="arial" w:hAnsi="arial" w:cs="arial"/>
            <w:b w:val="0"/>
            <w:i/>
            <w:strike w:val="0"/>
            <w:noProof w:val="0"/>
            <w:color w:val="0077CC"/>
            <w:position w:val="0"/>
            <w:sz w:val="20"/>
            <w:u w:val="single"/>
            <w:vertAlign w:val="baseline"/>
          </w:rPr>
          <w:t xml:space="preserve"> 258 F.3d at 429-30</w:t>
        </w:r>
      </w:hyperlink>
      <w:r>
        <w:rPr>
          <w:rFonts w:ascii="arial" w:eastAsia="arial" w:hAnsi="arial" w:cs="arial"/>
          <w:b w:val="0"/>
          <w:i w:val="0"/>
          <w:strike w:val="0"/>
          <w:noProof w:val="0"/>
          <w:color w:val="000000"/>
          <w:position w:val="0"/>
          <w:sz w:val="20"/>
          <w:u w:val="none"/>
          <w:vertAlign w:val="baseline"/>
        </w:rPr>
        <w:t xml:space="preserve">. He initially drove south on I-35, exited into a rural area with no houses, then returned to I-35, northbound. While the agents were driving parallel to Munoz-Martinez's vehicle, they witnessed the head of a previously unseen third passenger "pop up" between the driver and the second passenger, and then return back down. Further, it was suspicious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that Munoz-Martinez dramatically slowed his vehicle's speed in half, to about 30 miles-perhour in a 65 miles-per-hour zone, when he became aware of the agents' presence, though he was never speeding.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51" w:name="Bookmark_para_13"/>
      <w:bookmarkEnd w:id="51"/>
      <w:r>
        <w:rPr>
          <w:rFonts w:ascii="arial" w:eastAsia="arial" w:hAnsi="arial" w:cs="arial"/>
          <w:b w:val="0"/>
          <w:i w:val="0"/>
          <w:strike w:val="0"/>
          <w:noProof w:val="0"/>
          <w:color w:val="000000"/>
          <w:position w:val="0"/>
          <w:sz w:val="20"/>
          <w:u w:val="none"/>
          <w:vertAlign w:val="baseline"/>
        </w:rPr>
        <w:t xml:space="preserve">Also to be considered is that neither agent had been employed by the Border Patrol for more than a year-and-a-half. </w:t>
      </w:r>
      <w:bookmarkStart w:id="52" w:name="Bookmark_I53M74W42D6NSF0040000400"/>
      <w:bookmarkEnd w:id="52"/>
      <w:r>
        <w:rPr>
          <w:rFonts w:ascii="arial" w:eastAsia="arial" w:hAnsi="arial" w:cs="arial"/>
          <w:b w:val="0"/>
          <w:i w:val="0"/>
          <w:strike w:val="0"/>
          <w:noProof w:val="0"/>
          <w:color w:val="000000"/>
          <w:position w:val="0"/>
          <w:sz w:val="20"/>
          <w:u w:val="none"/>
          <w:vertAlign w:val="baseline"/>
        </w:rPr>
        <w:t xml:space="preserve">One of the agents testified about his experience with smugglers' reactions to law enforcement and stated that he had been involved in smuggling stops after witnessing "bailouts" five or six times. Such testimony indicates that during his brief time as an agent, he had accumulated pertinent experience and that he was relatively knowledgeable. </w:t>
      </w:r>
      <w:bookmarkStart w:id="53" w:name="Bookmark_I53M74W42HM6C10010000400"/>
      <w:bookmarkEnd w:id="53"/>
      <w:r>
        <w:rPr>
          <w:rFonts w:ascii="arial" w:eastAsia="arial" w:hAnsi="arial" w:cs="arial"/>
          <w:b w:val="0"/>
          <w:i/>
          <w:strike w:val="0"/>
          <w:noProof w:val="0"/>
          <w:color w:val="000000"/>
          <w:position w:val="0"/>
          <w:sz w:val="20"/>
          <w:u w:val="none"/>
          <w:vertAlign w:val="baseline"/>
        </w:rPr>
        <w:t xml:space="preserve">See </w:t>
      </w:r>
      <w:bookmarkStart w:id="54" w:name="Bookmark_I53M74W42D6NSF0030000400"/>
      <w:bookmarkEnd w:id="54"/>
      <w:hyperlink r:id="rId19" w:history="1">
        <w:r>
          <w:rPr>
            <w:rFonts w:ascii="arial" w:eastAsia="arial" w:hAnsi="arial" w:cs="arial"/>
            <w:b w:val="0"/>
            <w:i/>
            <w:strike w:val="0"/>
            <w:noProof w:val="0"/>
            <w:color w:val="0077CC"/>
            <w:position w:val="0"/>
            <w:sz w:val="20"/>
            <w:u w:val="single"/>
            <w:vertAlign w:val="baseline"/>
          </w:rPr>
          <w:t>United States v. Zapata-Ibarra,</w:t>
        </w:r>
      </w:hyperlink>
      <w:hyperlink r:id="rId19" w:history="1">
        <w:r>
          <w:rPr>
            <w:rFonts w:ascii="arial" w:eastAsia="arial" w:hAnsi="arial" w:cs="arial"/>
            <w:b w:val="0"/>
            <w:i/>
            <w:strike w:val="0"/>
            <w:noProof w:val="0"/>
            <w:color w:val="0077CC"/>
            <w:position w:val="0"/>
            <w:sz w:val="20"/>
            <w:u w:val="single"/>
            <w:vertAlign w:val="baseline"/>
          </w:rPr>
          <w:t xml:space="preserve"> 212 F.3d 877, 882 (5th Cir. 2000)</w:t>
        </w:r>
      </w:hyperlink>
      <w:r>
        <w:rPr>
          <w:rFonts w:ascii="arial" w:eastAsia="arial" w:hAnsi="arial" w:cs="arial"/>
          <w:b w:val="0"/>
          <w:i w:val="0"/>
          <w:strike w:val="0"/>
          <w:noProof w:val="0"/>
          <w:color w:val="000000"/>
          <w:position w:val="0"/>
          <w:sz w:val="20"/>
          <w:u w:val="none"/>
          <w:vertAlign w:val="baseline"/>
        </w:rPr>
        <w:t xml:space="preserve">. </w:t>
      </w:r>
      <w:bookmarkStart w:id="55" w:name="Bookmark_I53M74W42HM6C10010000400_2"/>
      <w:bookmarkEnd w:id="55"/>
      <w:r>
        <w:rPr>
          <w:rFonts w:ascii="arial" w:eastAsia="arial" w:hAnsi="arial" w:cs="arial"/>
          <w:b w:val="0"/>
          <w:i w:val="0"/>
          <w:strike w:val="0"/>
          <w:noProof w:val="0"/>
          <w:color w:val="000000"/>
          <w:position w:val="0"/>
          <w:sz w:val="20"/>
          <w:u w:val="none"/>
          <w:vertAlign w:val="baseline"/>
        </w:rPr>
        <w:t xml:space="preserve">Moreover, an agent's inexperience, by itself, does not make his suspicions unreasonable. </w:t>
      </w:r>
      <w:bookmarkStart w:id="56" w:name="Bookmark_I53M74W42D6NSF0050000400"/>
      <w:bookmarkEnd w:id="56"/>
      <w:hyperlink r:id="rId20" w:history="1">
        <w:r>
          <w:rPr>
            <w:rFonts w:ascii="arial" w:eastAsia="arial" w:hAnsi="arial" w:cs="arial"/>
            <w:b w:val="0"/>
            <w:i/>
            <w:strike w:val="0"/>
            <w:noProof w:val="0"/>
            <w:color w:val="0077CC"/>
            <w:position w:val="0"/>
            <w:sz w:val="20"/>
            <w:u w:val="single"/>
            <w:vertAlign w:val="baseline"/>
          </w:rPr>
          <w:t>United States v. Neufeld-Neufeld,</w:t>
        </w:r>
      </w:hyperlink>
      <w:hyperlink r:id="rId20" w:history="1">
        <w:r>
          <w:rPr>
            <w:rFonts w:ascii="arial" w:eastAsia="arial" w:hAnsi="arial" w:cs="arial"/>
            <w:b w:val="0"/>
            <w:i/>
            <w:strike w:val="0"/>
            <w:noProof w:val="0"/>
            <w:color w:val="0077CC"/>
            <w:position w:val="0"/>
            <w:sz w:val="20"/>
            <w:u w:val="single"/>
            <w:vertAlign w:val="baseline"/>
          </w:rPr>
          <w:t xml:space="preserve"> 338 F.3d 374, 382 (5th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14"/>
      <w:bookmarkEnd w:id="57"/>
      <w:bookmarkStart w:id="58" w:name="Bookmark_I53M74W42HM6C10030000400"/>
      <w:bookmarkEnd w:id="58"/>
      <w:r>
        <w:rPr>
          <w:rFonts w:ascii="arial" w:eastAsia="arial" w:hAnsi="arial" w:cs="arial"/>
          <w:b w:val="0"/>
          <w:i w:val="0"/>
          <w:strike w:val="0"/>
          <w:noProof w:val="0"/>
          <w:color w:val="000000"/>
          <w:position w:val="0"/>
          <w:sz w:val="20"/>
          <w:u w:val="none"/>
          <w:vertAlign w:val="baseline"/>
        </w:rPr>
        <w:t xml:space="preserve">We find that the totality of these circumstances created the requisite reasonable suspicion that the occupants of the pickup-truck were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9" w:name="Bookmark_I53M74W42HM6C10020000400"/>
      <w:bookmarkEnd w:id="59"/>
      <w:hyperlink r:id="rId16" w:history="1">
        <w:r>
          <w:rPr>
            <w:rFonts w:ascii="arial" w:eastAsia="arial" w:hAnsi="arial" w:cs="arial"/>
            <w:b w:val="0"/>
            <w:i/>
            <w:strike w:val="0"/>
            <w:noProof w:val="0"/>
            <w:color w:val="0077CC"/>
            <w:position w:val="0"/>
            <w:sz w:val="20"/>
            <w:u w:val="single"/>
            <w:vertAlign w:val="baseline"/>
          </w:rPr>
          <w:t>Jacquinot,</w:t>
        </w:r>
      </w:hyperlink>
      <w:hyperlink r:id="rId16" w:history="1">
        <w:r>
          <w:rPr>
            <w:rFonts w:ascii="arial" w:eastAsia="arial" w:hAnsi="arial" w:cs="arial"/>
            <w:b w:val="0"/>
            <w:i/>
            <w:strike w:val="0"/>
            <w:noProof w:val="0"/>
            <w:color w:val="0077CC"/>
            <w:position w:val="0"/>
            <w:sz w:val="20"/>
            <w:u w:val="single"/>
            <w:vertAlign w:val="baseline"/>
          </w:rPr>
          <w:t xml:space="preserve"> 258 F.3d at 430</w:t>
        </w:r>
      </w:hyperlink>
      <w:r>
        <w:rPr>
          <w:rFonts w:ascii="arial" w:eastAsia="arial" w:hAnsi="arial" w:cs="arial"/>
          <w:b w:val="0"/>
          <w:i w:val="0"/>
          <w:strike w:val="0"/>
          <w:noProof w:val="0"/>
          <w:color w:val="000000"/>
          <w:position w:val="0"/>
          <w:sz w:val="20"/>
          <w:u w:val="none"/>
          <w:vertAlign w:val="baseline"/>
        </w:rPr>
        <w:t xml:space="preserve">. The district </w:t>
      </w:r>
      <w:r>
        <w:rPr>
          <w:rFonts w:ascii="arial" w:eastAsia="arial" w:hAnsi="arial" w:cs="arial"/>
          <w:b/>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court did not err when it denied Munoz-Martinez's motion to suppress the evidence.</w:t>
      </w:r>
    </w:p>
    <w:p>
      <w:pPr>
        <w:keepNext w:val="0"/>
        <w:spacing w:before="200" w:after="0" w:line="260" w:lineRule="atLeast"/>
        <w:ind w:left="0" w:right="0" w:firstLine="0"/>
        <w:jc w:val="both"/>
      </w:pPr>
      <w:bookmarkStart w:id="60" w:name="Bookmark_para_15"/>
      <w:bookmarkEnd w:id="60"/>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Munoz-Martinez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9-5032-D6RV-H4XK-00000-00&amp;context=1519360" TargetMode="External" /><Relationship Id="rId12" Type="http://schemas.openxmlformats.org/officeDocument/2006/relationships/hyperlink" Target="https://advance.lexis.com/api/document?collection=cases&amp;id=urn:contentItem:4XJG-T5N0-TXFX-72FN-00000-00&amp;context=1519360" TargetMode="External" /><Relationship Id="rId13" Type="http://schemas.openxmlformats.org/officeDocument/2006/relationships/hyperlink" Target="https://advance.lexis.com/api/document?collection=cases&amp;id=urn:contentItem:7Y7N-RR30-YB0V-H0D3-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3S4X-BDV0-003B-S1TF-00000-00&amp;context=1519360" TargetMode="External" /><Relationship Id="rId16" Type="http://schemas.openxmlformats.org/officeDocument/2006/relationships/hyperlink" Target="https://advance.lexis.com/api/document?collection=cases&amp;id=urn:contentItem:43J1-M2F0-0038-X1HJ-00000-00&amp;context=1519360" TargetMode="External" /><Relationship Id="rId17" Type="http://schemas.openxmlformats.org/officeDocument/2006/relationships/hyperlink" Target="https://advance.lexis.com/api/document?collection=cases&amp;id=urn:contentItem:3YDW-G0S0-0038-X3K7-00000-00&amp;context=1519360" TargetMode="External" /><Relationship Id="rId18" Type="http://schemas.openxmlformats.org/officeDocument/2006/relationships/hyperlink" Target="https://advance.lexis.com/api/document?collection=cases&amp;id=urn:contentItem:3S4X-0FY0-003B-P3FV-00000-00&amp;context=1519360" TargetMode="External" /><Relationship Id="rId19" Type="http://schemas.openxmlformats.org/officeDocument/2006/relationships/hyperlink" Target="https://advance.lexis.com/api/document?collection=cases&amp;id=urn:contentItem:409B-CVT0-0038-X4S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91J-J540-0038-X0W2-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82V0-BWY1-652R-31T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Munoz-Martinez, 435 Fed. Appx. 333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urn:user:PA186186298</vt:lpwstr>
  </property>
</Properties>
</file>