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Abundis-Carreon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Corpus Christi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2012, Decided; March 15,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NO. C-12-169</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2012 U.S. Dist. LEXIS 58650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1223838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LEONEL ALVARO ABUNDIS-CARREON</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material witness, deposition, alien, detention, failure of justice, detained, continued detention, status conference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Leonel Alvaro Abundis-Carreon, Defendant: Gerardo Carlos Flores, LEAD ATTORNEY, Office of the Federal Public Defender,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Marcos Reinal Ramirez-Amaya, Jaime Alberto Rios-Benitez, Interested Parties: Simon Brian Purnell, LEAD ATTORNEY,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Elvin Osmar Sorto, Juan Alberto Salmeron-Reyes, Norberto Leonel Mejia-Morales, Interested Parties: Carlos Alberto Villarreal, LEAD ATTORNEY, McKibben, Woolsey &amp; Villarreal,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EAQC, ESUR, PACB, Interested Parties: Evelyn Huerta Gonzalez, LEAD ATTORNEY, Attorney at Law,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Bryan Gonzalo Ipina-Cordon, Adan Escobar, William Velenzuela, Interested Parties: Jeanette Cantu-Bazar, LEAD ATTORNEY, Attorney at Law,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Victor Javie Salmeron-Benitez, Interested Party: Carlos Alberto Villarreal, LEAD ATTORNEY, McKibben, Woolsey &amp; Villarreal, Corpus Christi, TX; Simon Brian Purnell, LEAD ATTORNEY,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Hugo Ricardo Martinez, LEAD ATTORNEY, United States Attorneys Office, Corpus Christi, TX; Financial Litigation, U S Attorney's Office, Southern District of Texas, Houston, TX; US Marshal - CC, Corpus Christi, TX; US Pretrial Svcs-CC,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Corpus Christi, TX; US Probation - CC, Corpus Christi,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 L. OWSLEY,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L. OWSLEY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GRANTING MOTIONS FOR DEPOSITIONS OF MATERIAL WITNESSES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Defendant Leonel Alvaro Abundis-Carreon is indicted for one count of "knowingly and in reckless disregard of the fact that aliens had come to, entered, and remained in the United States in violation of law, did knowingly conspire and agree together, with each other, and with other persons known and unknown to the Grand Jury, to transport, move, attempt to transport, and attempt to move such aliens within the United States in furtherance of such violation of law by means of a motor vehicle" in violation of </w:t>
      </w:r>
      <w:hyperlink r:id="rId10"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(D.E. 39, at 1). He was also indicted for twelve counts of "knowingly and in reckless disregard of the fact that [the material witness] was an alien who had come to, entered, and remained in the United States in violation of law, transport and move such alien within the United States in furtherance of such violation of law by means of a motor vehicle" in violation of </w:t>
      </w:r>
      <w:hyperlink r:id="rId10"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 Each of the thirteen counts that allege the "violation caused serious bodily injury to, and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placed in jeopardy the life of another person."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March 14, 2012, a status conference was held regarding the material witnesses. During that conference, counsel for the material witnesses filed motions for depositions consistent with </w:t>
      </w:r>
      <w:hyperlink r:id="rId11" w:history="1">
        <w:r>
          <w:rPr>
            <w:rFonts w:ascii="arial" w:eastAsia="arial" w:hAnsi="arial" w:cs="arial"/>
            <w:b w:val="0"/>
            <w:i/>
            <w:strike w:val="0"/>
            <w:noProof w:val="0"/>
            <w:color w:val="0077CC"/>
            <w:position w:val="0"/>
            <w:sz w:val="20"/>
            <w:u w:val="single"/>
            <w:vertAlign w:val="baseline"/>
          </w:rPr>
          <w:t>18 U.S.C. § 3144</w:t>
        </w:r>
      </w:hyperlink>
      <w:r>
        <w:rPr>
          <w:rFonts w:ascii="arial" w:eastAsia="arial" w:hAnsi="arial" w:cs="arial"/>
          <w:b w:val="0"/>
          <w:i w:val="0"/>
          <w:strike w:val="0"/>
          <w:noProof w:val="0"/>
          <w:color w:val="000000"/>
          <w:position w:val="0"/>
          <w:sz w:val="20"/>
          <w:u w:val="none"/>
          <w:vertAlign w:val="baseline"/>
        </w:rPr>
        <w:t>. The Government flatly indicated that it would not enter stipulations concerning any of the material witnesses and would oppose depositions of any material witnesses.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February 9, 2012, defendant was arrested driving a white Chevrolet pickup near Falfurrias, Texas with thirteen undocumented aliens. One of the aliens died as a result of an accident in which there was an attempt to elude law enforcement. Numerous of the aliens were injured requiring medical treatment. Twelve material witnesses, including three juveniles, were arrested and detained.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During their initial appearance, each material witness was appointed counsel. After the Government moved for detention for each material witness, a detention hearing was set for each material witness. On February 15, 2012, material witness Adan Escobar waived his detention hearing without prejudice. His counsel, Jeanette Cantu-Bazar, indicated that she was attempting to verify information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from family members willing to assist with a bond.</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On that same day, material witnesses Marcos Reinaldo Ramirez-Amaya, Jaime Alberto Rios-Benitez, and Victor Javier Salmeron-Benitez sought a bond through their counsel, Simon Purnell. The Government opposed a bond for each material witness and called Agent Antonino Gonzalez to testify. He acknowledged that many of the material witnesses could not identify the driver. After argument, a $5,000 bond with a $500 cash deposit and a co-surety was set for each of these three material witnesses with family members who have legal status to be in the United States and who are willing to pick them up and ensure that they return for all necessary criminal proceedings.</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During this February 15, 2012 hearing, Agent Gonzalez was ordered to investigate whether Immigration and Customs Enforcement will grant permission for the material witnesses to stay in the country on bond. Moreover, assistant United States Attorney Hugo Martinez, the assigned prosecutor to this action, was ordered to attend all future hearings in this action.</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Later on February 15, 2012, material witnesses Elvin Osmar Sorto, Norberto Leonel Mejia-Morales, and Juan Alberto Salmeron-Reyes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sought a bond through their counsel, Carlos Villarreal. The Government again opposed a bond for each material witness. After argument, a $5,000 bond with a $500 cash deposit and a co-surety was set for each of these three material witnesses with family members who have legal status to be in the United States and who are willing to pick them up and ensure that they return for all necessary criminal proceedings.</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On February 22, 2012, material witness William Valenzuela sought a bond through his counsel, Ms. Cantu-Bazar. The Government also opposed a bond for this material witness. After argument, a $5,000 bond with a $500 cash deposit and a co-surety was set for him with family members who have legal status to be in the United States and who are willing to pick them up and ensure that they return for all necessary criminal proceedings.</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All of the material witnesses are still in custody. The three juvenile material witnesses are in custody at a local juvenile facility. They are all from El Salvador and sixteen years old. Counsel Evelyn Huerta-Gonzalez represents each one of them.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remaining nine are in custody at a local jail. With the exception of Mr. Mejia-Morales, who is Guatemalan,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they are all from El Salvador. </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At the March 14, 2012 status conference, the assistant United States Attorney indicated that the Government would not enter into any stipulations because of the injuries of the material witnesses. Moreover, she opposed any depositions. She was unaware of the fact that this prosecution involved a fatality. She also did not address the previous court order regarding having a determination of whether Immigration and Customs Enforcement would allow the material witnesses to remain free on bond without fear of deportation or continued detention in an immigration facility. Assistant United States Attorney Hugo Martinez failed to appear for the status conference notwithstanding a previous court order that he attend all future proceedings. Each counsel for material witnesses sought bond for their clients or, in the alternative, filed motions to set depositions.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Congress has mandated that "[n]o material witness may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be detained because of inability to comply with any condition of release if the testimony of such witness can adequately be secured by deposition and if further detention is not necessary to prevent a failure of justice. Release of a material witness may be delayed for a reasonable period of time until the deposition of the witness can be taken pursuant to the Federal Rules of Criminal Procedure." </w:t>
      </w:r>
      <w:hyperlink r:id="rId11" w:history="1">
        <w:r>
          <w:rPr>
            <w:rFonts w:ascii="arial" w:eastAsia="arial" w:hAnsi="arial" w:cs="arial"/>
            <w:b w:val="0"/>
            <w:i/>
            <w:strike w:val="0"/>
            <w:noProof w:val="0"/>
            <w:color w:val="0077CC"/>
            <w:position w:val="0"/>
            <w:sz w:val="20"/>
            <w:u w:val="single"/>
            <w:vertAlign w:val="baseline"/>
          </w:rPr>
          <w:t>18 U.S.C. § 3144</w:t>
        </w:r>
      </w:hyperlink>
      <w:r>
        <w:rPr>
          <w:rFonts w:ascii="arial" w:eastAsia="arial" w:hAnsi="arial" w:cs="arial"/>
          <w:b w:val="0"/>
          <w:i w:val="0"/>
          <w:strike w:val="0"/>
          <w:noProof w:val="0"/>
          <w:color w:val="000000"/>
          <w:position w:val="0"/>
          <w:sz w:val="20"/>
          <w:u w:val="none"/>
          <w:vertAlign w:val="baseline"/>
        </w:rPr>
        <w:t xml:space="preserve">. Furthermore, Congress has directly addressed the taking and use of a deposition of material witnesses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Notwithstanding any provision of the Federal Rules of Evidence, the videotaped (or otherwise audiovisually preserved) deposition of a witness to a violation of subsection (a) of this section who has been deported or otherwise expelled from the United States, or is otherwise unable to testify, may be admitted into evidence in an action brought for that violation if the witness was available for cross examination and the deposition otherwise complies with the Federal Rules of Evidence.</w:t>
      </w:r>
    </w:p>
    <w:p>
      <w:pPr>
        <w:keepNext w:val="0"/>
        <w:spacing w:before="240" w:after="0" w:line="260" w:lineRule="atLeast"/>
        <w:ind w:left="0" w:right="0" w:firstLine="0"/>
        <w:jc w:val="both"/>
      </w:pPr>
      <w:bookmarkStart w:id="21" w:name="Bookmark_I55NKB1D2HM5R80020000400"/>
      <w:bookmarkEnd w:id="21"/>
      <w:hyperlink r:id="rId10" w:history="1">
        <w:r>
          <w:rPr>
            <w:rFonts w:ascii="arial" w:eastAsia="arial" w:hAnsi="arial" w:cs="arial"/>
            <w:b w:val="0"/>
            <w:i/>
            <w:strike w:val="0"/>
            <w:color w:val="0077CC"/>
            <w:sz w:val="20"/>
            <w:u w:val="single"/>
            <w:vertAlign w:val="baseline"/>
          </w:rPr>
          <w:t>8 U.S.C. § 1324(d)</w:t>
        </w:r>
      </w:hyperlink>
      <w:r>
        <w:rPr>
          <w:rFonts w:ascii="arial" w:eastAsia="arial" w:hAnsi="arial" w:cs="arial"/>
          <w:b w:val="0"/>
          <w:i w:val="0"/>
          <w:strike w:val="0"/>
          <w:noProof w:val="0"/>
          <w:color w:val="000000"/>
          <w:position w:val="0"/>
          <w:sz w:val="20"/>
          <w:u w:val="none"/>
          <w:vertAlign w:val="baseline"/>
        </w:rPr>
        <w:t xml:space="preserve">. The Fifth Circuit has upheld constitutional challenges to </w:t>
      </w:r>
      <w:hyperlink r:id="rId10" w:history="1">
        <w:r>
          <w:rPr>
            <w:rFonts w:ascii="arial" w:eastAsia="arial" w:hAnsi="arial" w:cs="arial"/>
            <w:b w:val="0"/>
            <w:i/>
            <w:strike w:val="0"/>
            <w:noProof w:val="0"/>
            <w:color w:val="0077CC"/>
            <w:position w:val="0"/>
            <w:sz w:val="20"/>
            <w:u w:val="single"/>
            <w:vertAlign w:val="baseline"/>
          </w:rPr>
          <w:t>subsection (d)</w:t>
        </w:r>
      </w:hyperlink>
      <w:r>
        <w:rPr>
          <w:rFonts w:ascii="arial" w:eastAsia="arial" w:hAnsi="arial" w:cs="arial"/>
          <w:b w:val="0"/>
          <w:i w:val="0"/>
          <w:strike w:val="0"/>
          <w:noProof w:val="0"/>
          <w:color w:val="000000"/>
          <w:position w:val="0"/>
          <w:sz w:val="20"/>
          <w:u w:val="none"/>
          <w:vertAlign w:val="baseline"/>
        </w:rPr>
        <w:t xml:space="preserve">. </w:t>
      </w:r>
      <w:bookmarkStart w:id="22" w:name="Bookmark_I55NKB1D2HM5R80010000400"/>
      <w:bookmarkEnd w:id="22"/>
      <w:hyperlink r:id="rId12" w:history="1">
        <w:r>
          <w:rPr>
            <w:rFonts w:ascii="arial" w:eastAsia="arial" w:hAnsi="arial" w:cs="arial"/>
            <w:b w:val="0"/>
            <w:i/>
            <w:strike w:val="0"/>
            <w:noProof w:val="0"/>
            <w:color w:val="0077CC"/>
            <w:position w:val="0"/>
            <w:sz w:val="20"/>
            <w:u w:val="single"/>
            <w:vertAlign w:val="baseline"/>
          </w:rPr>
          <w:t>United States v. Tirado-Tirado</w:t>
        </w:r>
      </w:hyperlink>
      <w:hyperlink r:id="rId12" w:history="1">
        <w:r>
          <w:rPr>
            <w:rFonts w:ascii="arial" w:eastAsia="arial" w:hAnsi="arial" w:cs="arial"/>
            <w:b w:val="0"/>
            <w:i/>
            <w:strike w:val="0"/>
            <w:noProof w:val="0"/>
            <w:color w:val="0077CC"/>
            <w:position w:val="0"/>
            <w:sz w:val="20"/>
            <w:u w:val="single"/>
            <w:vertAlign w:val="baseline"/>
          </w:rPr>
          <w:t>, 563 F.3d 117, 121 n.1 (5th Cir. 2009)</w:t>
        </w:r>
      </w:hyperlink>
      <w:r>
        <w:rPr>
          <w:rFonts w:ascii="arial" w:eastAsia="arial" w:hAnsi="arial" w:cs="arial"/>
          <w:b w:val="0"/>
          <w:i w:val="0"/>
          <w:strike w:val="0"/>
          <w:noProof w:val="0"/>
          <w:color w:val="000000"/>
          <w:position w:val="0"/>
          <w:sz w:val="20"/>
          <w:u w:val="none"/>
          <w:vertAlign w:val="baseline"/>
        </w:rPr>
        <w:t xml:space="preserve">; </w:t>
      </w:r>
      <w:bookmarkStart w:id="23" w:name="Bookmark_I55NKB1D2HM5R80030000400"/>
      <w:bookmarkEnd w:id="23"/>
      <w:hyperlink r:id="rId13" w:history="1">
        <w:r>
          <w:rPr>
            <w:rFonts w:ascii="arial" w:eastAsia="arial" w:hAnsi="arial" w:cs="arial"/>
            <w:b w:val="0"/>
            <w:i/>
            <w:strike w:val="0"/>
            <w:noProof w:val="0"/>
            <w:color w:val="0077CC"/>
            <w:position w:val="0"/>
            <w:sz w:val="20"/>
            <w:u w:val="single"/>
            <w:vertAlign w:val="baseline"/>
          </w:rPr>
          <w:t>United States v. Aguilar-Tamayo</w:t>
        </w:r>
      </w:hyperlink>
      <w:hyperlink r:id="rId13" w:history="1">
        <w:r>
          <w:rPr>
            <w:rFonts w:ascii="arial" w:eastAsia="arial" w:hAnsi="arial" w:cs="arial"/>
            <w:b w:val="0"/>
            <w:i/>
            <w:strike w:val="0"/>
            <w:noProof w:val="0"/>
            <w:color w:val="0077CC"/>
            <w:position w:val="0"/>
            <w:sz w:val="20"/>
            <w:u w:val="single"/>
            <w:vertAlign w:val="baseline"/>
          </w:rPr>
          <w:t>, 300 F.3d 562, 564-65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 </w:t>
      </w:r>
      <w:bookmarkStart w:id="24" w:name="Bookmark_I55NKB1D2HM5R80050000400"/>
      <w:bookmarkEnd w:id="24"/>
      <w:hyperlink r:id="rId14" w:history="1">
        <w:r>
          <w:rPr>
            <w:rFonts w:ascii="arial" w:eastAsia="arial" w:hAnsi="arial" w:cs="arial"/>
            <w:b w:val="0"/>
            <w:i/>
            <w:strike w:val="0"/>
            <w:noProof w:val="0"/>
            <w:color w:val="0077CC"/>
            <w:position w:val="0"/>
            <w:sz w:val="20"/>
            <w:u w:val="single"/>
            <w:vertAlign w:val="baseline"/>
          </w:rPr>
          <w:t>United States v. Calderon-Lopez</w:t>
        </w:r>
      </w:hyperlink>
      <w:hyperlink r:id="rId14" w:history="1">
        <w:r>
          <w:rPr>
            <w:rFonts w:ascii="arial" w:eastAsia="arial" w:hAnsi="arial" w:cs="arial"/>
            <w:b w:val="0"/>
            <w:i/>
            <w:strike w:val="0"/>
            <w:noProof w:val="0"/>
            <w:color w:val="0077CC"/>
            <w:position w:val="0"/>
            <w:sz w:val="20"/>
            <w:u w:val="single"/>
            <w:vertAlign w:val="baseline"/>
          </w:rPr>
          <w:t>, 268 F. App'x 279, 288-89 (5th Cir. 2008)</w:t>
        </w:r>
      </w:hyperlink>
      <w:r>
        <w:rPr>
          <w:rFonts w:ascii="arial" w:eastAsia="arial" w:hAnsi="arial" w:cs="arial"/>
          <w:b w:val="0"/>
          <w:i w:val="0"/>
          <w:strike w:val="0"/>
          <w:noProof w:val="0"/>
          <w:color w:val="000000"/>
          <w:position w:val="0"/>
          <w:sz w:val="20"/>
          <w:u w:val="none"/>
          <w:vertAlign w:val="baseline"/>
        </w:rPr>
        <w:t xml:space="preserve"> (unpublished).</w:t>
      </w:r>
    </w:p>
    <w:p>
      <w:pPr>
        <w:keepNext w:val="0"/>
        <w:spacing w:before="200" w:after="0" w:line="260" w:lineRule="atLeast"/>
        <w:ind w:left="0" w:right="0" w:firstLine="0"/>
        <w:jc w:val="both"/>
      </w:pPr>
      <w:bookmarkStart w:id="25" w:name="Bookmark_para_13"/>
      <w:bookmarkEnd w:id="25"/>
      <w:bookmarkStart w:id="26" w:name="Bookmark_I55NKB1D2N1R3W0030000400"/>
      <w:bookmarkEnd w:id="26"/>
      <w:r>
        <w:rPr>
          <w:rFonts w:ascii="arial" w:eastAsia="arial" w:hAnsi="arial" w:cs="arial"/>
          <w:b w:val="0"/>
          <w:i w:val="0"/>
          <w:strike w:val="0"/>
          <w:noProof w:val="0"/>
          <w:color w:val="000000"/>
          <w:position w:val="0"/>
          <w:sz w:val="20"/>
          <w:u w:val="none"/>
          <w:vertAlign w:val="baseline"/>
        </w:rPr>
        <w:t xml:space="preserve">An order scheduling a deposition does not dictate that the material witness will then automatically be released. </w:t>
      </w:r>
      <w:r>
        <w:rPr>
          <w:rFonts w:ascii="arial" w:eastAsia="arial" w:hAnsi="arial" w:cs="arial"/>
          <w:b w:val="0"/>
          <w:i w:val="0"/>
          <w:strike w:val="0"/>
          <w:noProof w:val="0"/>
          <w:color w:val="000000"/>
          <w:position w:val="0"/>
          <w:sz w:val="20"/>
          <w:u w:val="single"/>
          <w:vertAlign w:val="baseline"/>
        </w:rPr>
        <w:t xml:space="preserve">See </w:t>
      </w:r>
      <w:bookmarkStart w:id="27" w:name="Bookmark_I55NKB1D2N1R3W0020000400"/>
      <w:bookmarkEnd w:id="27"/>
      <w:hyperlink r:id="rId15" w:history="1">
        <w:r>
          <w:rPr>
            <w:rFonts w:ascii="arial" w:eastAsia="arial" w:hAnsi="arial" w:cs="arial"/>
            <w:b w:val="0"/>
            <w:i/>
            <w:strike w:val="0"/>
            <w:noProof w:val="0"/>
            <w:color w:val="0077CC"/>
            <w:position w:val="0"/>
            <w:sz w:val="20"/>
            <w:u w:val="single"/>
            <w:vertAlign w:val="baseline"/>
          </w:rPr>
          <w:t>United States v. Lai Fa Chen</w:t>
        </w:r>
      </w:hyperlink>
      <w:hyperlink r:id="rId15" w:history="1">
        <w:r>
          <w:rPr>
            <w:rFonts w:ascii="arial" w:eastAsia="arial" w:hAnsi="arial" w:cs="arial"/>
            <w:b w:val="0"/>
            <w:i/>
            <w:strike w:val="0"/>
            <w:noProof w:val="0"/>
            <w:color w:val="0077CC"/>
            <w:position w:val="0"/>
            <w:sz w:val="20"/>
            <w:u w:val="single"/>
            <w:vertAlign w:val="baseline"/>
          </w:rPr>
          <w:t>, 214 F.R.D. 578, 582 (N.D. Cal. 2003)</w:t>
        </w:r>
      </w:hyperlink>
      <w:r>
        <w:rPr>
          <w:rFonts w:ascii="arial" w:eastAsia="arial" w:hAnsi="arial" w:cs="arial"/>
          <w:b w:val="0"/>
          <w:i w:val="0"/>
          <w:strike w:val="0"/>
          <w:noProof w:val="0"/>
          <w:color w:val="000000"/>
          <w:position w:val="0"/>
          <w:sz w:val="20"/>
          <w:u w:val="none"/>
          <w:vertAlign w:val="baseline"/>
        </w:rPr>
        <w:t xml:space="preserve"> ("Although </w:t>
      </w:r>
      <w:hyperlink r:id="rId16" w:history="1">
        <w:r>
          <w:rPr>
            <w:rFonts w:ascii="arial" w:eastAsia="arial" w:hAnsi="arial" w:cs="arial"/>
            <w:b w:val="0"/>
            <w:i/>
            <w:strike w:val="0"/>
            <w:noProof w:val="0"/>
            <w:color w:val="0077CC"/>
            <w:position w:val="0"/>
            <w:sz w:val="20"/>
            <w:u w:val="single"/>
            <w:vertAlign w:val="baseline"/>
          </w:rPr>
          <w:t>Rule 15(a) [of the Federal Rules of Criminal Procedure</w:t>
        </w:r>
      </w:hyperlink>
      <w:r>
        <w:rPr>
          <w:rFonts w:ascii="arial" w:eastAsia="arial" w:hAnsi="arial" w:cs="arial"/>
          <w:b w:val="0"/>
          <w:i w:val="0"/>
          <w:strike w:val="0"/>
          <w:noProof w:val="0"/>
          <w:color w:val="000000"/>
          <w:position w:val="0"/>
          <w:sz w:val="20"/>
          <w:u w:val="none"/>
          <w:vertAlign w:val="baseline"/>
        </w:rPr>
        <w:t xml:space="preserve">] in conjunction with </w:t>
      </w:r>
      <w:hyperlink r:id="rId11" w:history="1">
        <w:r>
          <w:rPr>
            <w:rFonts w:ascii="arial" w:eastAsia="arial" w:hAnsi="arial" w:cs="arial"/>
            <w:b w:val="0"/>
            <w:i/>
            <w:strike w:val="0"/>
            <w:noProof w:val="0"/>
            <w:color w:val="0077CC"/>
            <w:position w:val="0"/>
            <w:sz w:val="20"/>
            <w:u w:val="single"/>
            <w:vertAlign w:val="baseline"/>
          </w:rPr>
          <w:t>18 U.S.C. § 3144</w:t>
        </w:r>
      </w:hyperlink>
      <w:r>
        <w:rPr>
          <w:rFonts w:ascii="arial" w:eastAsia="arial" w:hAnsi="arial" w:cs="arial"/>
          <w:b w:val="0"/>
          <w:i w:val="0"/>
          <w:strike w:val="0"/>
          <w:noProof w:val="0"/>
          <w:color w:val="000000"/>
          <w:position w:val="0"/>
          <w:sz w:val="20"/>
          <w:u w:val="none"/>
          <w:vertAlign w:val="baseline"/>
        </w:rPr>
        <w:t xml:space="preserve"> evinces a strong policy that material witnesses should be released from detention after the completion of criminal depositions, a court need not contemporaneously order automatic and immediate release."). </w:t>
      </w:r>
      <w:bookmarkStart w:id="28" w:name="Bookmark_I55NKB1D2N1R3W0050000400"/>
      <w:bookmarkEnd w:id="28"/>
      <w:r>
        <w:rPr>
          <w:rFonts w:ascii="arial" w:eastAsia="arial" w:hAnsi="arial" w:cs="arial"/>
          <w:b w:val="0"/>
          <w:i w:val="0"/>
          <w:strike w:val="0"/>
          <w:noProof w:val="0"/>
          <w:color w:val="000000"/>
          <w:position w:val="0"/>
          <w:sz w:val="20"/>
          <w:u w:val="none"/>
          <w:vertAlign w:val="baseline"/>
        </w:rPr>
        <w:t xml:space="preserve">Instead, it simply complies with the statutory requirements that Congress established in </w:t>
      </w:r>
      <w:hyperlink r:id="rId11" w:history="1">
        <w:r>
          <w:rPr>
            <w:rFonts w:ascii="arial" w:eastAsia="arial" w:hAnsi="arial" w:cs="arial"/>
            <w:b w:val="0"/>
            <w:i/>
            <w:strike w:val="0"/>
            <w:noProof w:val="0"/>
            <w:color w:val="0077CC"/>
            <w:position w:val="0"/>
            <w:sz w:val="20"/>
            <w:u w:val="single"/>
            <w:vertAlign w:val="baseline"/>
          </w:rPr>
          <w:t>§ 3144</w:t>
        </w:r>
      </w:hyperlink>
      <w:r>
        <w:rPr>
          <w:rFonts w:ascii="arial" w:eastAsia="arial" w:hAnsi="arial" w:cs="arial"/>
          <w:b w:val="0"/>
          <w:i w:val="0"/>
          <w:strike w:val="0"/>
          <w:noProof w:val="0"/>
          <w:color w:val="000000"/>
          <w:position w:val="0"/>
          <w:sz w:val="20"/>
          <w:u w:val="none"/>
          <w:vertAlign w:val="baseline"/>
        </w:rPr>
        <w:t xml:space="preserve">. </w:t>
      </w:r>
      <w:bookmarkStart w:id="29" w:name="Bookmark_I55NKB1D2N1R3W0050000400_2"/>
      <w:bookmarkEnd w:id="29"/>
      <w:r>
        <w:rPr>
          <w:rFonts w:ascii="arial" w:eastAsia="arial" w:hAnsi="arial" w:cs="arial"/>
          <w:b w:val="0"/>
          <w:i w:val="0"/>
          <w:strike w:val="0"/>
          <w:noProof w:val="0"/>
          <w:color w:val="000000"/>
          <w:position w:val="0"/>
          <w:sz w:val="20"/>
          <w:u w:val="none"/>
          <w:vertAlign w:val="baseline"/>
        </w:rPr>
        <w:t xml:space="preserve">Interpreting a local rule of the Western District of Texas, the Fifth Circuit concluded that </w:t>
      </w:r>
      <w:hyperlink r:id="rId11" w:history="1">
        <w:r>
          <w:rPr>
            <w:rFonts w:ascii="arial" w:eastAsia="arial" w:hAnsi="arial" w:cs="arial"/>
            <w:b w:val="0"/>
            <w:i/>
            <w:strike w:val="0"/>
            <w:noProof w:val="0"/>
            <w:color w:val="0077CC"/>
            <w:position w:val="0"/>
            <w:sz w:val="20"/>
            <w:u w:val="single"/>
            <w:vertAlign w:val="baseline"/>
          </w:rPr>
          <w:t>§ 3144</w:t>
        </w:r>
      </w:hyperlink>
      <w:r>
        <w:rPr>
          <w:rFonts w:ascii="arial" w:eastAsia="arial" w:hAnsi="arial" w:cs="arial"/>
          <w:b w:val="0"/>
          <w:i w:val="0"/>
          <w:strike w:val="0"/>
          <w:noProof w:val="0"/>
          <w:color w:val="000000"/>
          <w:position w:val="0"/>
          <w:sz w:val="20"/>
          <w:u w:val="none"/>
          <w:vertAlign w:val="baseline"/>
        </w:rPr>
        <w:t xml:space="preserve"> requires a deposition as an initial step to continued holding of material witnesses. </w:t>
      </w:r>
      <w:r>
        <w:rPr>
          <w:rFonts w:ascii="arial" w:eastAsia="arial" w:hAnsi="arial" w:cs="arial"/>
          <w:b w:val="0"/>
          <w:i w:val="0"/>
          <w:strike w:val="0"/>
          <w:noProof w:val="0"/>
          <w:color w:val="000000"/>
          <w:position w:val="0"/>
          <w:sz w:val="20"/>
          <w:u w:val="single"/>
          <w:vertAlign w:val="baseline"/>
        </w:rPr>
        <w:t xml:space="preserve">See </w:t>
      </w:r>
      <w:bookmarkStart w:id="30" w:name="Bookmark_I55NKB1D2N1R3W0040000400"/>
      <w:bookmarkEnd w:id="30"/>
      <w:hyperlink r:id="rId17" w:history="1">
        <w:r>
          <w:rPr>
            <w:rFonts w:ascii="arial" w:eastAsia="arial" w:hAnsi="arial" w:cs="arial"/>
            <w:b w:val="0"/>
            <w:i/>
            <w:strike w:val="0"/>
            <w:noProof w:val="0"/>
            <w:color w:val="0077CC"/>
            <w:position w:val="0"/>
            <w:sz w:val="20"/>
            <w:u w:val="single"/>
            <w:vertAlign w:val="baseline"/>
          </w:rPr>
          <w:t>United States v. Allie</w:t>
        </w:r>
      </w:hyperlink>
      <w:hyperlink r:id="rId17" w:history="1">
        <w:r>
          <w:rPr>
            <w:rFonts w:ascii="arial" w:eastAsia="arial" w:hAnsi="arial" w:cs="arial"/>
            <w:b w:val="0"/>
            <w:i/>
            <w:strike w:val="0"/>
            <w:noProof w:val="0"/>
            <w:color w:val="0077CC"/>
            <w:position w:val="0"/>
            <w:sz w:val="20"/>
            <w:u w:val="single"/>
            <w:vertAlign w:val="baseline"/>
          </w:rPr>
          <w:t>, 978 F.2d 1401, 1405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1" w:name="Bookmark_I55NKB1D2HM5R90010000400"/>
      <w:bookmarkEnd w:id="31"/>
      <w:hyperlink r:id="rId18" w:history="1">
        <w:r>
          <w:rPr>
            <w:rFonts w:ascii="arial" w:eastAsia="arial" w:hAnsi="arial" w:cs="arial"/>
            <w:b w:val="0"/>
            <w:i/>
            <w:strike w:val="0"/>
            <w:noProof w:val="0"/>
            <w:color w:val="0077CC"/>
            <w:position w:val="0"/>
            <w:sz w:val="20"/>
            <w:u w:val="single"/>
            <w:vertAlign w:val="baseline"/>
          </w:rPr>
          <w:t>Torres-Ruiz v. U.S. Dist. Court for the S. Dist. of Cal.</w:t>
        </w:r>
      </w:hyperlink>
      <w:hyperlink r:id="rId18" w:history="1">
        <w:r>
          <w:rPr>
            <w:rFonts w:ascii="arial" w:eastAsia="arial" w:hAnsi="arial" w:cs="arial"/>
            <w:b w:val="0"/>
            <w:i/>
            <w:strike w:val="0"/>
            <w:noProof w:val="0"/>
            <w:color w:val="0077CC"/>
            <w:position w:val="0"/>
            <w:sz w:val="20"/>
            <w:u w:val="single"/>
            <w:vertAlign w:val="baseline"/>
          </w:rPr>
          <w:t>, 120 F.3d 933, 935-36 (9th Cir. 1997)</w:t>
        </w:r>
      </w:hyperlink>
      <w:r>
        <w:rPr>
          <w:rFonts w:ascii="arial" w:eastAsia="arial" w:hAnsi="arial" w:cs="arial"/>
          <w:b w:val="0"/>
          <w:i w:val="0"/>
          <w:strike w:val="0"/>
          <w:noProof w:val="0"/>
          <w:color w:val="000000"/>
          <w:position w:val="0"/>
          <w:sz w:val="20"/>
          <w:u w:val="none"/>
          <w:vertAlign w:val="baseline"/>
        </w:rPr>
        <w:t xml:space="preserve"> (per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curiam) (material witnesses were entitled to have their depositions taken). The Fifth Circuit has explained that continued detention of material witnesses is not favored:</w:t>
      </w:r>
    </w:p>
    <w:p>
      <w:pPr>
        <w:keepNext w:val="0"/>
        <w:spacing w:before="240" w:after="0" w:line="260" w:lineRule="atLeast"/>
        <w:ind w:left="40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 xml:space="preserve">A material witness may not be detained, however, if a deposition would suffice as an adequate alternative to the witness' live testimony at the proceeding. </w:t>
      </w:r>
      <w:bookmarkStart w:id="33" w:name="Bookmark_I55NKB1D2HM5R90040000400"/>
      <w:bookmarkEnd w:id="33"/>
      <w:r>
        <w:rPr>
          <w:rFonts w:ascii="arial" w:eastAsia="arial" w:hAnsi="arial" w:cs="arial"/>
          <w:b w:val="0"/>
          <w:i w:val="0"/>
          <w:strike w:val="0"/>
          <w:noProof w:val="0"/>
          <w:color w:val="000000"/>
          <w:position w:val="0"/>
          <w:sz w:val="20"/>
          <w:u w:val="none"/>
          <w:vertAlign w:val="baseline"/>
        </w:rPr>
        <w:t xml:space="preserve">That means, of course, that the deposition testimony must be admissible notwithstanding any objections by the parties (the government or the criminal defendant). </w:t>
      </w:r>
      <w:bookmarkStart w:id="34" w:name="Bookmark_I6WK4PRHK00000YKD1800395"/>
      <w:bookmarkEnd w:id="34"/>
      <w:bookmarkStart w:id="35" w:name="Bookmark_I55NKB1D2HM5RB0030000400"/>
      <w:bookmarkEnd w:id="35"/>
      <w:r>
        <w:rPr>
          <w:rFonts w:ascii="arial" w:eastAsia="arial" w:hAnsi="arial" w:cs="arial"/>
          <w:b/>
          <w:i w:val="0"/>
          <w:strike w:val="0"/>
          <w:noProof w:val="0"/>
          <w:color w:val="000000"/>
          <w:position w:val="0"/>
          <w:sz w:val="20"/>
          <w:u w:val="none"/>
          <w:vertAlign w:val="baseline"/>
        </w:rPr>
        <w:t xml:space="preserve">If the deposition would prove admissible over any objection under the </w:t>
      </w:r>
      <w:hyperlink r:id="rId19" w:history="1">
        <w:r>
          <w:rPr>
            <w:rFonts w:ascii="arial" w:eastAsia="arial" w:hAnsi="arial" w:cs="arial"/>
            <w:b/>
            <w:i/>
            <w:strike w:val="0"/>
            <w:noProof w:val="0"/>
            <w:color w:val="0077CC"/>
            <w:position w:val="0"/>
            <w:sz w:val="20"/>
            <w:u w:val="single"/>
            <w:vertAlign w:val="baseline"/>
          </w:rPr>
          <w:t>Confrontation Clause of the United States Constitution</w:t>
        </w:r>
      </w:hyperlink>
      <w:r>
        <w:rPr>
          <w:rFonts w:ascii="arial" w:eastAsia="arial" w:hAnsi="arial" w:cs="arial"/>
          <w:b/>
          <w:i w:val="0"/>
          <w:strike w:val="0"/>
          <w:noProof w:val="0"/>
          <w:color w:val="000000"/>
          <w:position w:val="0"/>
          <w:sz w:val="20"/>
          <w:u w:val="none"/>
          <w:vertAlign w:val="baseline"/>
        </w:rPr>
        <w:t xml:space="preserve"> or the Federal Rules of Evidence, then the material witness must be deposed rather than detained.</w:t>
      </w:r>
    </w:p>
    <w:p>
      <w:pPr>
        <w:keepNext w:val="0"/>
        <w:spacing w:before="240" w:after="0" w:line="260" w:lineRule="atLeast"/>
        <w:ind w:left="0" w:right="0" w:firstLine="0"/>
        <w:jc w:val="both"/>
      </w:pPr>
      <w:bookmarkStart w:id="36" w:name="Bookmark_I55NKB1D2HM5RB0030000400_2"/>
      <w:bookmarkEnd w:id="36"/>
      <w:bookmarkStart w:id="37" w:name="Bookmark_I55NKB1D2HM5R90040000400_2"/>
      <w:bookmarkEnd w:id="37"/>
      <w:bookmarkStart w:id="38" w:name="Bookmark_I55NKB1D2HM5R90030000400"/>
      <w:bookmarkEnd w:id="38"/>
      <w:hyperlink r:id="rId20" w:history="1">
        <w:r>
          <w:rPr>
            <w:rFonts w:ascii="arial" w:eastAsia="arial" w:hAnsi="arial" w:cs="arial"/>
            <w:b w:val="0"/>
            <w:i/>
            <w:strike w:val="0"/>
            <w:color w:val="0077CC"/>
            <w:sz w:val="20"/>
            <w:u w:val="single"/>
            <w:vertAlign w:val="baseline"/>
          </w:rPr>
          <w:t>Aguilar-Ayala v. Ruiz</w:t>
        </w:r>
      </w:hyperlink>
      <w:hyperlink r:id="rId20" w:history="1">
        <w:r>
          <w:rPr>
            <w:rFonts w:ascii="arial" w:eastAsia="arial" w:hAnsi="arial" w:cs="arial"/>
            <w:b w:val="0"/>
            <w:i/>
            <w:strike w:val="0"/>
            <w:color w:val="0077CC"/>
            <w:sz w:val="20"/>
            <w:u w:val="single"/>
            <w:vertAlign w:val="baseline"/>
          </w:rPr>
          <w:t>, 973 F.2d 411, 413 (5th Cir. 1992)</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 xml:space="preserve">see also </w:t>
      </w:r>
      <w:bookmarkStart w:id="39" w:name="Bookmark_I55NKB1D2HM5R90050000400"/>
      <w:bookmarkEnd w:id="39"/>
      <w:hyperlink r:id="rId13" w:history="1">
        <w:r>
          <w:rPr>
            <w:rFonts w:ascii="arial" w:eastAsia="arial" w:hAnsi="arial" w:cs="arial"/>
            <w:b w:val="0"/>
            <w:i/>
            <w:strike w:val="0"/>
            <w:noProof w:val="0"/>
            <w:color w:val="0077CC"/>
            <w:position w:val="0"/>
            <w:sz w:val="20"/>
            <w:u w:val="single"/>
            <w:vertAlign w:val="baseline"/>
          </w:rPr>
          <w:t>Aguilar-Tamayo</w:t>
        </w:r>
      </w:hyperlink>
      <w:hyperlink r:id="rId13" w:history="1">
        <w:r>
          <w:rPr>
            <w:rFonts w:ascii="arial" w:eastAsia="arial" w:hAnsi="arial" w:cs="arial"/>
            <w:b w:val="0"/>
            <w:i/>
            <w:strike w:val="0"/>
            <w:noProof w:val="0"/>
            <w:color w:val="0077CC"/>
            <w:position w:val="0"/>
            <w:sz w:val="20"/>
            <w:u w:val="single"/>
            <w:vertAlign w:val="baseline"/>
          </w:rPr>
          <w:t>, 300 F.3d at 565</w:t>
        </w:r>
      </w:hyperlink>
      <w:r>
        <w:rPr>
          <w:rFonts w:ascii="arial" w:eastAsia="arial" w:hAnsi="arial" w:cs="arial"/>
          <w:b w:val="0"/>
          <w:i w:val="0"/>
          <w:strike w:val="0"/>
          <w:noProof w:val="0"/>
          <w:color w:val="000000"/>
          <w:position w:val="0"/>
          <w:sz w:val="20"/>
          <w:u w:val="none"/>
          <w:vertAlign w:val="baseline"/>
        </w:rPr>
        <w:t xml:space="preserve"> (statutory scheme encourages the release of material witnesses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This Court has issued a standing order ruling "that a deposition shall be ordered absent conclusive proof that the release of the material witness would result in a failure of justice." </w:t>
      </w:r>
      <w:bookmarkStart w:id="40" w:name="Bookmark_I55NKB1D2HM5RB0020000400"/>
      <w:bookmarkEnd w:id="40"/>
      <w:hyperlink r:id="rId20" w:history="1">
        <w:r>
          <w:rPr>
            <w:rFonts w:ascii="arial" w:eastAsia="arial" w:hAnsi="arial" w:cs="arial"/>
            <w:b w:val="0"/>
            <w:i/>
            <w:strike w:val="0"/>
            <w:noProof w:val="0"/>
            <w:color w:val="0077CC"/>
            <w:position w:val="0"/>
            <w:sz w:val="20"/>
            <w:u w:val="single"/>
            <w:vertAlign w:val="baseline"/>
          </w:rPr>
          <w:t>Aguilar-Ayala</w:t>
        </w:r>
      </w:hyperlink>
      <w:hyperlink r:id="rId20" w:history="1">
        <w:r>
          <w:rPr>
            <w:rFonts w:ascii="arial" w:eastAsia="arial" w:hAnsi="arial" w:cs="arial"/>
            <w:b w:val="0"/>
            <w:i/>
            <w:strike w:val="0"/>
            <w:noProof w:val="0"/>
            <w:color w:val="0077CC"/>
            <w:position w:val="0"/>
            <w:sz w:val="20"/>
            <w:u w:val="single"/>
            <w:vertAlign w:val="baseline"/>
          </w:rPr>
          <w:t>, 973 F.2d at 415</w:t>
        </w:r>
      </w:hyperlink>
      <w:r>
        <w:rPr>
          <w:rFonts w:ascii="arial" w:eastAsia="arial" w:hAnsi="arial" w:cs="arial"/>
          <w:b w:val="0"/>
          <w:i w:val="0"/>
          <w:strike w:val="0"/>
          <w:noProof w:val="0"/>
          <w:color w:val="000000"/>
          <w:position w:val="0"/>
          <w:sz w:val="20"/>
          <w:u w:val="none"/>
          <w:vertAlign w:val="baseline"/>
        </w:rPr>
        <w:t xml:space="preserve"> (quoting a July 15, 1988 standing order governing the handling of material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witnesses in this Court's Brownsville Division). </w:t>
      </w:r>
      <w:bookmarkStart w:id="41" w:name="Bookmark_I55NKB1D2HM5RB0050000400"/>
      <w:bookmarkEnd w:id="41"/>
      <w:r>
        <w:rPr>
          <w:rFonts w:ascii="arial" w:eastAsia="arial" w:hAnsi="arial" w:cs="arial"/>
          <w:b w:val="0"/>
          <w:i w:val="0"/>
          <w:strike w:val="0"/>
          <w:noProof w:val="0"/>
          <w:color w:val="000000"/>
          <w:position w:val="0"/>
          <w:sz w:val="20"/>
          <w:u w:val="none"/>
          <w:vertAlign w:val="baseline"/>
        </w:rPr>
        <w:t xml:space="preserve">At the status conference, the Government offered no such conclusive proof. The potential violation of a defendant's </w:t>
      </w:r>
      <w:hyperlink r:id="rId19"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 is not sufficient to deny the taking of a deposition. </w:t>
      </w:r>
      <w:r>
        <w:rPr>
          <w:rFonts w:ascii="arial" w:eastAsia="arial" w:hAnsi="arial" w:cs="arial"/>
          <w:b w:val="0"/>
          <w:i w:val="0"/>
          <w:strike w:val="0"/>
          <w:noProof w:val="0"/>
          <w:color w:val="000000"/>
          <w:position w:val="0"/>
          <w:sz w:val="20"/>
          <w:u w:val="single"/>
          <w:vertAlign w:val="baseline"/>
        </w:rPr>
        <w:t xml:space="preserve">See </w:t>
      </w:r>
      <w:bookmarkStart w:id="42" w:name="Bookmark_I55NKB1D2HM5RB0040000400"/>
      <w:bookmarkEnd w:id="42"/>
      <w:hyperlink r:id="rId21" w:history="1">
        <w:r>
          <w:rPr>
            <w:rFonts w:ascii="arial" w:eastAsia="arial" w:hAnsi="arial" w:cs="arial"/>
            <w:b w:val="0"/>
            <w:i/>
            <w:strike w:val="0"/>
            <w:noProof w:val="0"/>
            <w:color w:val="0077CC"/>
            <w:position w:val="0"/>
            <w:sz w:val="20"/>
            <w:u w:val="single"/>
            <w:vertAlign w:val="baseline"/>
          </w:rPr>
          <w:t>United States v. Drogoul</w:t>
        </w:r>
      </w:hyperlink>
      <w:hyperlink r:id="rId21" w:history="1">
        <w:r>
          <w:rPr>
            <w:rFonts w:ascii="arial" w:eastAsia="arial" w:hAnsi="arial" w:cs="arial"/>
            <w:b w:val="0"/>
            <w:i/>
            <w:strike w:val="0"/>
            <w:noProof w:val="0"/>
            <w:color w:val="0077CC"/>
            <w:position w:val="0"/>
            <w:sz w:val="20"/>
            <w:u w:val="single"/>
            <w:vertAlign w:val="baseline"/>
          </w:rPr>
          <w:t>, 1 F.3d 1546, 1554-55 (11th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Aguilar-Ayala</w:t>
      </w:r>
      <w:r>
        <w:rPr>
          <w:rFonts w:ascii="arial" w:eastAsia="arial" w:hAnsi="arial" w:cs="arial"/>
          <w:b w:val="0"/>
          <w:i w:val="0"/>
          <w:strike w:val="0"/>
          <w:noProof w:val="0"/>
          <w:color w:val="000000"/>
          <w:position w:val="0"/>
          <w:sz w:val="20"/>
          <w:u w:val="none"/>
          <w:vertAlign w:val="baseline"/>
        </w:rPr>
        <w:t>, the Fifth Circuit explained that the Government is less likely to have a legitimate failure of justice claim:</w:t>
      </w:r>
    </w:p>
    <w:p>
      <w:pPr>
        <w:keepNext w:val="0"/>
        <w:spacing w:before="240" w:after="0" w:line="260" w:lineRule="atLeast"/>
        <w:ind w:left="40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 xml:space="preserve">[A] "failure of justice" is more likely to ensue when the criminal defendant, as opposed to the government, is denied the guarantee of having the witness present at trial. </w:t>
      </w:r>
      <w:bookmarkStart w:id="45" w:name="Bookmark_I55NKB1D28T4WC0020000400"/>
      <w:bookmarkEnd w:id="45"/>
      <w:r>
        <w:rPr>
          <w:rFonts w:ascii="arial" w:eastAsia="arial" w:hAnsi="arial" w:cs="arial"/>
          <w:b/>
          <w:i w:val="0"/>
          <w:strike w:val="0"/>
          <w:noProof w:val="0"/>
          <w:color w:val="000000"/>
          <w:position w:val="0"/>
          <w:sz w:val="20"/>
          <w:u w:val="none"/>
          <w:vertAlign w:val="baseline"/>
        </w:rPr>
        <w:t xml:space="preserve">It would be the rare case, indeed, in which </w:t>
      </w:r>
      <w:r>
        <w:rPr>
          <w:rFonts w:ascii="arial" w:eastAsia="arial" w:hAnsi="arial" w:cs="arial"/>
          <w:b/>
          <w:i/>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xml:space="preserve"> could establish the inadequacy of the deposition procedure and hence the potentiality of a "failure of justice."</w:t>
      </w:r>
      <w:r>
        <w:rPr>
          <w:rFonts w:ascii="arial" w:eastAsia="arial" w:hAnsi="arial" w:cs="arial"/>
          <w:b w:val="0"/>
          <w:i w:val="0"/>
          <w:strike w:val="0"/>
          <w:noProof w:val="0"/>
          <w:color w:val="000000"/>
          <w:position w:val="0"/>
          <w:sz w:val="20"/>
          <w:u w:val="none"/>
          <w:vertAlign w:val="baseline"/>
        </w:rPr>
        <w:t xml:space="preserve"> After all, the criminal defendant, not the government, has a </w:t>
      </w:r>
      <w:r>
        <w:rPr>
          <w:rFonts w:ascii="arial" w:eastAsia="arial" w:hAnsi="arial" w:cs="arial"/>
          <w:b w:val="0"/>
          <w:i/>
          <w:strike w:val="0"/>
          <w:noProof w:val="0"/>
          <w:color w:val="000000"/>
          <w:position w:val="0"/>
          <w:sz w:val="20"/>
          <w:u w:val="none"/>
          <w:vertAlign w:val="baseline"/>
        </w:rPr>
        <w:t>constitutional</w:t>
      </w:r>
      <w:r>
        <w:rPr>
          <w:rFonts w:ascii="arial" w:eastAsia="arial" w:hAnsi="arial" w:cs="arial"/>
          <w:b w:val="0"/>
          <w:i w:val="0"/>
          <w:strike w:val="0"/>
          <w:noProof w:val="0"/>
          <w:color w:val="000000"/>
          <w:position w:val="0"/>
          <w:sz w:val="20"/>
          <w:u w:val="none"/>
          <w:vertAlign w:val="baseline"/>
        </w:rPr>
        <w:t xml:space="preserve"> right to confrontation. The government, to be sure, only objects to the deposition procedure on account of the risk that the deposition testimony will not be admitted over the defendant's </w:t>
      </w:r>
      <w:hyperlink r:id="rId19"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objection.</w:t>
      </w:r>
    </w:p>
    <w:p>
      <w:pPr>
        <w:keepNext w:val="0"/>
        <w:spacing w:before="200" w:after="0" w:line="260" w:lineRule="atLeast"/>
        <w:ind w:left="0" w:right="0" w:firstLine="0"/>
        <w:jc w:val="both"/>
      </w:pPr>
      <w:bookmarkStart w:id="46" w:name="Bookmark_I55NKB1D28T4WC0020000400_2"/>
      <w:bookmarkEnd w:id="46"/>
      <w:bookmarkStart w:id="47" w:name="Bookmark_I55NKB1D28T4WC0010000400"/>
      <w:bookmarkEnd w:id="47"/>
      <w:hyperlink r:id="rId20" w:history="1">
        <w:r>
          <w:rPr>
            <w:rFonts w:ascii="arial" w:eastAsia="arial" w:hAnsi="arial" w:cs="arial"/>
            <w:b w:val="0"/>
            <w:i/>
            <w:strike w:val="0"/>
            <w:color w:val="0077CC"/>
            <w:sz w:val="20"/>
            <w:u w:val="single"/>
            <w:vertAlign w:val="baseline"/>
          </w:rPr>
          <w:t>973 F.2d at 419</w:t>
        </w:r>
      </w:hyperlink>
      <w:r>
        <w:rPr>
          <w:rFonts w:ascii="arial" w:eastAsia="arial" w:hAnsi="arial" w:cs="arial"/>
          <w:b w:val="0"/>
          <w:i w:val="0"/>
          <w:strike w:val="0"/>
          <w:noProof w:val="0"/>
          <w:color w:val="000000"/>
          <w:position w:val="0"/>
          <w:sz w:val="20"/>
          <w:u w:val="none"/>
          <w:vertAlign w:val="baseline"/>
        </w:rPr>
        <w:t xml:space="preserve"> (italics in original) (emphasis added). Moreover, the court downplayed the Government's right to object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to the deposition of a material witness:</w:t>
      </w:r>
    </w:p>
    <w:p>
      <w:pPr>
        <w:keepNext w:val="0"/>
        <w:spacing w:after="0" w:line="260" w:lineRule="atLeast"/>
        <w:ind w:left="400" w:right="0" w:firstLine="0"/>
        <w:jc w:val="both"/>
      </w:pPr>
      <w:bookmarkStart w:id="48" w:name="Bookmark_para_17"/>
      <w:bookmarkEnd w:id="48"/>
      <w:bookmarkStart w:id="49" w:name="Bookmark_I55NKB1D28T4WC0040000400"/>
      <w:bookmarkEnd w:id="49"/>
      <w:r>
        <w:rPr>
          <w:rFonts w:ascii="arial" w:eastAsia="arial" w:hAnsi="arial" w:cs="arial"/>
          <w:b w:val="0"/>
          <w:i w:val="0"/>
          <w:strike w:val="0"/>
          <w:noProof w:val="0"/>
          <w:color w:val="000000"/>
          <w:position w:val="0"/>
          <w:sz w:val="20"/>
          <w:u w:val="none"/>
          <w:vertAlign w:val="baseline"/>
        </w:rPr>
        <w:t>[U]ndocumented aliens have an overriding liberty interest in not being detained as material witnesses, when the deposition procedure serves as an adequate alternative to prolonged detention.</w:t>
      </w:r>
    </w:p>
    <w:p>
      <w:pPr>
        <w:keepNext w:val="0"/>
        <w:spacing w:before="200" w:after="0" w:line="260" w:lineRule="atLeast"/>
        <w:ind w:left="400" w:right="0" w:firstLine="0"/>
        <w:jc w:val="both"/>
      </w:pPr>
      <w:bookmarkStart w:id="50" w:name="Bookmark_para_18"/>
      <w:bookmarkEnd w:id="50"/>
      <w:bookmarkStart w:id="51" w:name="Bookmark_I55NKB1D28T4WC0040000400_2"/>
      <w:bookmarkEnd w:id="51"/>
      <w:bookmarkStart w:id="52" w:name="Bookmark_I55NKB1D2HM5RC0020000400"/>
      <w:bookmarkEnd w:id="52"/>
      <w:r>
        <w:rPr>
          <w:rFonts w:ascii="arial" w:eastAsia="arial" w:hAnsi="arial" w:cs="arial"/>
          <w:b/>
          <w:i w:val="0"/>
          <w:strike w:val="0"/>
          <w:noProof w:val="0"/>
          <w:color w:val="000000"/>
          <w:position w:val="0"/>
          <w:sz w:val="20"/>
          <w:u w:val="none"/>
          <w:vertAlign w:val="baseline"/>
        </w:rPr>
        <w:t xml:space="preserve">When a witness has been detained solely at the insistence of </w:t>
      </w:r>
      <w:r>
        <w:rPr>
          <w:rFonts w:ascii="arial" w:eastAsia="arial" w:hAnsi="arial" w:cs="arial"/>
          <w:b/>
          <w:i/>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xml:space="preserve">, we can conceive of comparably few instances in which </w:t>
      </w:r>
      <w:r>
        <w:rPr>
          <w:rFonts w:ascii="arial" w:eastAsia="arial" w:hAnsi="arial" w:cs="arial"/>
          <w:b/>
          <w:i/>
          <w:strike w:val="0"/>
          <w:noProof w:val="0"/>
          <w:color w:val="000000"/>
          <w:position w:val="0"/>
          <w:sz w:val="20"/>
          <w:u w:val="none"/>
          <w:vertAlign w:val="baseline"/>
        </w:rPr>
        <w:t>the government's</w:t>
      </w:r>
      <w:r>
        <w:rPr>
          <w:rFonts w:ascii="arial" w:eastAsia="arial" w:hAnsi="arial" w:cs="arial"/>
          <w:b/>
          <w:i w:val="0"/>
          <w:strike w:val="0"/>
          <w:noProof w:val="0"/>
          <w:color w:val="000000"/>
          <w:position w:val="0"/>
          <w:sz w:val="20"/>
          <w:u w:val="none"/>
          <w:vertAlign w:val="baseline"/>
        </w:rPr>
        <w:t xml:space="preserve"> preference for live testimony over deposition testimony would outweigh the witness' right to be free from continued detention.</w:t>
      </w:r>
    </w:p>
    <w:p>
      <w:pPr>
        <w:keepNext w:val="0"/>
        <w:spacing w:before="240" w:after="0" w:line="260" w:lineRule="atLeast"/>
        <w:ind w:left="0" w:right="0" w:firstLine="0"/>
        <w:jc w:val="both"/>
      </w:pPr>
      <w:bookmarkStart w:id="53" w:name="Bookmark_I55NKB1D2HM5RC0020000400_2"/>
      <w:bookmarkEnd w:id="53"/>
      <w:bookmarkStart w:id="54" w:name="Bookmark_I55NKB1D28T4WC0040000400_3"/>
      <w:bookmarkEnd w:id="54"/>
      <w:bookmarkStart w:id="55" w:name="Bookmark_I55NKB1D28T4WC0030000400"/>
      <w:bookmarkEnd w:id="55"/>
      <w:hyperlink r:id="rId20" w:history="1">
        <w:r>
          <w:rPr>
            <w:rFonts w:ascii="arial" w:eastAsia="arial" w:hAnsi="arial" w:cs="arial"/>
            <w:b w:val="0"/>
            <w:i/>
            <w:strike w:val="0"/>
            <w:color w:val="0077CC"/>
            <w:sz w:val="20"/>
            <w:u w:val="single"/>
            <w:vertAlign w:val="baseline"/>
          </w:rPr>
          <w:t>Id.</w:t>
        </w:r>
      </w:hyperlink>
      <w:hyperlink r:id="rId20" w:history="1">
        <w:r>
          <w:rPr>
            <w:rFonts w:ascii="arial" w:eastAsia="arial" w:hAnsi="arial" w:cs="arial"/>
            <w:b w:val="0"/>
            <w:i/>
            <w:strike w:val="0"/>
            <w:color w:val="0077CC"/>
            <w:sz w:val="20"/>
            <w:u w:val="single"/>
            <w:vertAlign w:val="baseline"/>
          </w:rPr>
          <w:t xml:space="preserve"> at 419-20</w:t>
        </w:r>
      </w:hyperlink>
      <w:r>
        <w:rPr>
          <w:rFonts w:ascii="arial" w:eastAsia="arial" w:hAnsi="arial" w:cs="arial"/>
          <w:b w:val="0"/>
          <w:i w:val="0"/>
          <w:strike w:val="0"/>
          <w:noProof w:val="0"/>
          <w:color w:val="000000"/>
          <w:position w:val="0"/>
          <w:sz w:val="20"/>
          <w:u w:val="none"/>
          <w:vertAlign w:val="baseline"/>
        </w:rPr>
        <w:t xml:space="preserve"> (italics in original) (emphasis added); </w:t>
      </w:r>
      <w:r>
        <w:rPr>
          <w:rFonts w:ascii="arial" w:eastAsia="arial" w:hAnsi="arial" w:cs="arial"/>
          <w:b w:val="0"/>
          <w:i w:val="0"/>
          <w:strike w:val="0"/>
          <w:noProof w:val="0"/>
          <w:color w:val="000000"/>
          <w:position w:val="0"/>
          <w:sz w:val="20"/>
          <w:u w:val="single"/>
          <w:vertAlign w:val="baseline"/>
        </w:rPr>
        <w:t xml:space="preserve">accord </w:t>
      </w:r>
      <w:bookmarkStart w:id="56" w:name="Bookmark_I55NKB1D28T4WC0050000400"/>
      <w:bookmarkEnd w:id="56"/>
      <w:hyperlink r:id="rId22" w:history="1">
        <w:r>
          <w:rPr>
            <w:rFonts w:ascii="arial" w:eastAsia="arial" w:hAnsi="arial" w:cs="arial"/>
            <w:b w:val="0"/>
            <w:i/>
            <w:strike w:val="0"/>
            <w:noProof w:val="0"/>
            <w:color w:val="0077CC"/>
            <w:position w:val="0"/>
            <w:sz w:val="20"/>
            <w:u w:val="single"/>
            <w:vertAlign w:val="baseline"/>
          </w:rPr>
          <w:t>United States v. Yida</w:t>
        </w:r>
      </w:hyperlink>
      <w:hyperlink r:id="rId22" w:history="1">
        <w:r>
          <w:rPr>
            <w:rFonts w:ascii="arial" w:eastAsia="arial" w:hAnsi="arial" w:cs="arial"/>
            <w:b w:val="0"/>
            <w:i/>
            <w:strike w:val="0"/>
            <w:noProof w:val="0"/>
            <w:color w:val="0077CC"/>
            <w:position w:val="0"/>
            <w:sz w:val="20"/>
            <w:u w:val="single"/>
            <w:vertAlign w:val="baseline"/>
          </w:rPr>
          <w:t>, 498 F.3d 945, 958 n.12 (9th Cir. 2007)</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55NKB1D28T4WD0020000400"/>
      <w:bookmarkEnd w:id="57"/>
      <w:hyperlink r:id="rId20" w:history="1">
        <w:r>
          <w:rPr>
            <w:rFonts w:ascii="arial" w:eastAsia="arial" w:hAnsi="arial" w:cs="arial"/>
            <w:b w:val="0"/>
            <w:i/>
            <w:strike w:val="0"/>
            <w:noProof w:val="0"/>
            <w:color w:val="0077CC"/>
            <w:position w:val="0"/>
            <w:sz w:val="20"/>
            <w:u w:val="single"/>
            <w:vertAlign w:val="baseline"/>
          </w:rPr>
          <w:t>Aguilar-Ayala</w:t>
        </w:r>
      </w:hyperlink>
      <w:hyperlink r:id="rId20" w:history="1">
        <w:r>
          <w:rPr>
            <w:rFonts w:ascii="arial" w:eastAsia="arial" w:hAnsi="arial" w:cs="arial"/>
            <w:b w:val="0"/>
            <w:i/>
            <w:strike w:val="0"/>
            <w:noProof w:val="0"/>
            <w:color w:val="0077CC"/>
            <w:position w:val="0"/>
            <w:sz w:val="20"/>
            <w:u w:val="single"/>
            <w:vertAlign w:val="baseline"/>
          </w:rPr>
          <w:t>, 973 F.2d at 419-20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8" w:name="Bookmark_I55NKB1D28T4WD0040000400"/>
      <w:bookmarkEnd w:id="58"/>
      <w:hyperlink r:id="rId18" w:history="1">
        <w:r>
          <w:rPr>
            <w:rFonts w:ascii="arial" w:eastAsia="arial" w:hAnsi="arial" w:cs="arial"/>
            <w:b w:val="0"/>
            <w:i/>
            <w:strike w:val="0"/>
            <w:noProof w:val="0"/>
            <w:color w:val="0077CC"/>
            <w:position w:val="0"/>
            <w:sz w:val="20"/>
            <w:u w:val="single"/>
            <w:vertAlign w:val="baseline"/>
          </w:rPr>
          <w:t>Torres-Ruiz</w:t>
        </w:r>
      </w:hyperlink>
      <w:hyperlink r:id="rId18" w:history="1">
        <w:r>
          <w:rPr>
            <w:rFonts w:ascii="arial" w:eastAsia="arial" w:hAnsi="arial" w:cs="arial"/>
            <w:b w:val="0"/>
            <w:i/>
            <w:strike w:val="0"/>
            <w:noProof w:val="0"/>
            <w:color w:val="0077CC"/>
            <w:position w:val="0"/>
            <w:sz w:val="20"/>
            <w:u w:val="single"/>
            <w:vertAlign w:val="baseline"/>
          </w:rPr>
          <w:t>, 120 F.3d at 936</w:t>
        </w:r>
      </w:hyperlink>
      <w:r>
        <w:rPr>
          <w:rFonts w:ascii="arial" w:eastAsia="arial" w:hAnsi="arial" w:cs="arial"/>
          <w:b w:val="0"/>
          <w:i w:val="0"/>
          <w:strike w:val="0"/>
          <w:noProof w:val="0"/>
          <w:color w:val="000000"/>
          <w:position w:val="0"/>
          <w:sz w:val="20"/>
          <w:u w:val="none"/>
          <w:vertAlign w:val="baseline"/>
        </w:rPr>
        <w:t xml:space="preserve"> ("The continued detention of these material witnesses, whose testimony could be adequately preserved by videotaped deposition and whose families are suffering extreme hardship as a result of petitioners' continued detention, is an exceptional circumstance justifying the extraordinary remedy of mandamus."). The Government must consider the rights of the material witness: "The United States Attorney had a dual responsibility in this case. It was his duty to consider the rights of the witnesses,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as well as the right of the appellant...." </w:t>
      </w:r>
      <w:bookmarkStart w:id="59" w:name="Bookmark_I55NKB1D2HM5RC0010000400"/>
      <w:bookmarkEnd w:id="59"/>
      <w:hyperlink r:id="rId23" w:history="1">
        <w:r>
          <w:rPr>
            <w:rFonts w:ascii="arial" w:eastAsia="arial" w:hAnsi="arial" w:cs="arial"/>
            <w:b w:val="0"/>
            <w:i/>
            <w:strike w:val="0"/>
            <w:noProof w:val="0"/>
            <w:color w:val="0077CC"/>
            <w:position w:val="0"/>
            <w:sz w:val="20"/>
            <w:u w:val="single"/>
            <w:vertAlign w:val="baseline"/>
          </w:rPr>
          <w:t>United States v. Rivera</w:t>
        </w:r>
      </w:hyperlink>
      <w:hyperlink r:id="rId23" w:history="1">
        <w:r>
          <w:rPr>
            <w:rFonts w:ascii="arial" w:eastAsia="arial" w:hAnsi="arial" w:cs="arial"/>
            <w:b w:val="0"/>
            <w:i/>
            <w:strike w:val="0"/>
            <w:noProof w:val="0"/>
            <w:color w:val="0077CC"/>
            <w:position w:val="0"/>
            <w:sz w:val="20"/>
            <w:u w:val="single"/>
            <w:vertAlign w:val="baseline"/>
          </w:rPr>
          <w:t>, 859 F.2d 1204, 1207 (4th Cir. 1988)</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55NKB1D2HM5RC0030000400"/>
      <w:bookmarkEnd w:id="60"/>
      <w:hyperlink r:id="rId24" w:history="1">
        <w:r>
          <w:rPr>
            <w:rFonts w:ascii="arial" w:eastAsia="arial" w:hAnsi="arial" w:cs="arial"/>
            <w:b w:val="0"/>
            <w:i/>
            <w:strike w:val="0"/>
            <w:noProof w:val="0"/>
            <w:color w:val="0077CC"/>
            <w:position w:val="0"/>
            <w:sz w:val="20"/>
            <w:u w:val="single"/>
            <w:vertAlign w:val="baseline"/>
          </w:rPr>
          <w:t>United States v. Valenzuela-Bernal</w:t>
        </w:r>
      </w:hyperlink>
      <w:hyperlink r:id="rId24" w:history="1">
        <w:r>
          <w:rPr>
            <w:rFonts w:ascii="arial" w:eastAsia="arial" w:hAnsi="arial" w:cs="arial"/>
            <w:b w:val="0"/>
            <w:i/>
            <w:strike w:val="0"/>
            <w:noProof w:val="0"/>
            <w:color w:val="0077CC"/>
            <w:position w:val="0"/>
            <w:sz w:val="20"/>
            <w:u w:val="single"/>
            <w:vertAlign w:val="baseline"/>
          </w:rPr>
          <w:t>, 458 U.S. 858, 864, 102 S. Ct. 3440, 73 L. Ed. 2d 1193 (1982))</w:t>
        </w:r>
      </w:hyperlink>
    </w:p>
    <w:p>
      <w:pPr>
        <w:keepNext w:val="0"/>
        <w:spacing w:before="200" w:after="0" w:line="260" w:lineRule="atLeast"/>
        <w:ind w:left="0" w:right="0" w:firstLine="0"/>
        <w:jc w:val="both"/>
      </w:pPr>
      <w:bookmarkStart w:id="61" w:name="Bookmark_para_19"/>
      <w:bookmarkEnd w:id="61"/>
      <w:bookmarkStart w:id="62" w:name="Bookmark_I55NKB1D2N1R3X0010000400"/>
      <w:bookmarkEnd w:id="62"/>
      <w:r>
        <w:rPr>
          <w:rFonts w:ascii="arial" w:eastAsia="arial" w:hAnsi="arial" w:cs="arial"/>
          <w:b w:val="0"/>
          <w:i w:val="0"/>
          <w:strike w:val="0"/>
          <w:noProof w:val="0"/>
          <w:color w:val="000000"/>
          <w:position w:val="0"/>
          <w:sz w:val="20"/>
          <w:u w:val="none"/>
          <w:vertAlign w:val="baseline"/>
        </w:rPr>
        <w:t xml:space="preserve">As the Fifth Circuit has explained, "the government can 'parole' the alien-witness into the community (rather than deport him) so that he will remain within the reach of judicial process." </w:t>
      </w:r>
      <w:bookmarkStart w:id="63" w:name="Bookmark_I55NKB1D2HM5RC0050000400"/>
      <w:bookmarkEnd w:id="63"/>
      <w:hyperlink r:id="rId20" w:history="1">
        <w:r>
          <w:rPr>
            <w:rFonts w:ascii="arial" w:eastAsia="arial" w:hAnsi="arial" w:cs="arial"/>
            <w:b w:val="0"/>
            <w:i/>
            <w:strike w:val="0"/>
            <w:noProof w:val="0"/>
            <w:color w:val="0077CC"/>
            <w:position w:val="0"/>
            <w:sz w:val="20"/>
            <w:u w:val="single"/>
            <w:vertAlign w:val="baseline"/>
          </w:rPr>
          <w:t>Aguilar-Ayala</w:t>
        </w:r>
      </w:hyperlink>
      <w:hyperlink r:id="rId20" w:history="1">
        <w:r>
          <w:rPr>
            <w:rFonts w:ascii="arial" w:eastAsia="arial" w:hAnsi="arial" w:cs="arial"/>
            <w:b w:val="0"/>
            <w:i/>
            <w:strike w:val="0"/>
            <w:noProof w:val="0"/>
            <w:color w:val="0077CC"/>
            <w:position w:val="0"/>
            <w:sz w:val="20"/>
            <w:u w:val="single"/>
            <w:vertAlign w:val="baseline"/>
          </w:rPr>
          <w:t>, 973 F.2d at 419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4" w:name="Bookmark_I55NKB1D2N1R3X0020000400"/>
      <w:bookmarkEnd w:id="64"/>
      <w:hyperlink r:id="rId17" w:history="1">
        <w:r>
          <w:rPr>
            <w:rFonts w:ascii="arial" w:eastAsia="arial" w:hAnsi="arial" w:cs="arial"/>
            <w:b w:val="0"/>
            <w:i/>
            <w:strike w:val="0"/>
            <w:noProof w:val="0"/>
            <w:color w:val="0077CC"/>
            <w:position w:val="0"/>
            <w:sz w:val="20"/>
            <w:u w:val="single"/>
            <w:vertAlign w:val="baseline"/>
          </w:rPr>
          <w:t>Allie</w:t>
        </w:r>
      </w:hyperlink>
      <w:hyperlink r:id="rId17" w:history="1">
        <w:r>
          <w:rPr>
            <w:rFonts w:ascii="arial" w:eastAsia="arial" w:hAnsi="arial" w:cs="arial"/>
            <w:b w:val="0"/>
            <w:i/>
            <w:strike w:val="0"/>
            <w:noProof w:val="0"/>
            <w:color w:val="0077CC"/>
            <w:position w:val="0"/>
            <w:sz w:val="20"/>
            <w:u w:val="single"/>
            <w:vertAlign w:val="baseline"/>
          </w:rPr>
          <w:t>, 978 F.2d at 1403</w:t>
        </w:r>
      </w:hyperlink>
      <w:r>
        <w:rPr>
          <w:rFonts w:ascii="arial" w:eastAsia="arial" w:hAnsi="arial" w:cs="arial"/>
          <w:b w:val="0"/>
          <w:i w:val="0"/>
          <w:strike w:val="0"/>
          <w:noProof w:val="0"/>
          <w:color w:val="000000"/>
          <w:position w:val="0"/>
          <w:sz w:val="20"/>
          <w:u w:val="none"/>
          <w:vertAlign w:val="baseline"/>
        </w:rPr>
        <w:t xml:space="preserve"> ("The alien witnesses were given the option of remaining in the United States with a work permit pending trial...."). Such an approach obviates the need for a deposition, limits expenses to the taxpayers, and reduces lengthy detentions of the material witness. Indeed, material witnesses are routinely released on bond in this Court's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in a program in which they always return for any necessary court appearances concerning the criminal prosecution.</w:t>
      </w:r>
    </w:p>
    <w:p>
      <w:pPr>
        <w:keepNext w:val="0"/>
        <w:spacing w:before="200" w:after="0" w:line="260" w:lineRule="atLeast"/>
        <w:ind w:left="0" w:right="0" w:firstLine="0"/>
        <w:jc w:val="both"/>
      </w:pPr>
      <w:bookmarkStart w:id="65" w:name="Bookmark_para_20"/>
      <w:bookmarkEnd w:id="65"/>
      <w:r>
        <w:rPr>
          <w:rFonts w:ascii="arial" w:eastAsia="arial" w:hAnsi="arial" w:cs="arial"/>
          <w:b w:val="0"/>
          <w:i w:val="0"/>
          <w:strike w:val="0"/>
          <w:noProof w:val="0"/>
          <w:color w:val="000000"/>
          <w:position w:val="0"/>
          <w:sz w:val="20"/>
          <w:u w:val="none"/>
          <w:vertAlign w:val="baseline"/>
        </w:rPr>
        <w:t xml:space="preserve">Here, the Government has chosen not to make this option available despite the fact that Pretrial Services has taken the unusual step of preparing reports and making bond recommendations for most of the material witnesses. Indeed, notwithstanding the order that the special agent assigned to this case investigate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whether his agency would grant permission for the material witnesses to stay in the country on bond pending the prosecution in this case, the Government has taken no steps to facilitate the bond of the material witnesses. Bond is particularly appropriate in a case such as this one where any resolution will likely be delayed due to decisions about whether or not to seek the death penalty in this case. In addition to a likely lengthy delay, as Pretrial Services has explained, a lengthy detention on top of the trauma that the material witnesses have already experienced based on injuries, witnessing the death of another alien, or the fact that three material witnesses are minors makes bond appropriate. </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67" w:name="Bookmark_para_21"/>
      <w:bookmarkEnd w:id="67"/>
      <w:bookmarkStart w:id="68" w:name="Bookmark_I6WK4PRHVM8000YKD1800397"/>
      <w:bookmarkEnd w:id="68"/>
      <w:bookmarkStart w:id="69" w:name="Bookmark_I55NKB1D2N1R3X0050000400"/>
      <w:bookmarkEnd w:id="69"/>
      <w:r>
        <w:rPr>
          <w:rFonts w:ascii="arial" w:eastAsia="arial" w:hAnsi="arial" w:cs="arial"/>
          <w:b w:val="0"/>
          <w:i w:val="0"/>
          <w:strike w:val="0"/>
          <w:noProof w:val="0"/>
          <w:color w:val="000000"/>
          <w:position w:val="0"/>
          <w:sz w:val="20"/>
          <w:u w:val="none"/>
          <w:vertAlign w:val="baseline"/>
        </w:rPr>
        <w:t xml:space="preserve">The Government routinely argues that a deposition would not adequately secure the testimony of the material witness and that further detention is necessary to prevent a failure of justice in this case. This argument puts the proverbial cart before the horse. The Government cannot know whether a deposition is adequate unless one is taken. Moreover, it ignores the precedent provided by the Fifth Circuit in </w:t>
      </w:r>
      <w:bookmarkStart w:id="70" w:name="Bookmark_I55NKB1D2N1R3X0040000400"/>
      <w:bookmarkEnd w:id="70"/>
      <w:hyperlink r:id="rId20" w:history="1">
        <w:r>
          <w:rPr>
            <w:rFonts w:ascii="arial" w:eastAsia="arial" w:hAnsi="arial" w:cs="arial"/>
            <w:b w:val="0"/>
            <w:i/>
            <w:strike w:val="0"/>
            <w:noProof w:val="0"/>
            <w:color w:val="0077CC"/>
            <w:position w:val="0"/>
            <w:sz w:val="20"/>
            <w:u w:val="single"/>
            <w:vertAlign w:val="baseline"/>
          </w:rPr>
          <w:t>Aguilar-Ayala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2"/>
      <w:bookmarkEnd w:id="71"/>
      <w:r>
        <w:rPr>
          <w:rFonts w:ascii="arial" w:eastAsia="arial" w:hAnsi="arial" w:cs="arial"/>
          <w:b w:val="0"/>
          <w:i w:val="0"/>
          <w:strike w:val="0"/>
          <w:noProof w:val="0"/>
          <w:color w:val="000000"/>
          <w:position w:val="0"/>
          <w:sz w:val="20"/>
          <w:u w:val="none"/>
          <w:vertAlign w:val="baseline"/>
        </w:rPr>
        <w:t xml:space="preserve">The material witness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deposition could potentially alter the parties' view of this prosecution. They may testify in such a manner that definitely defendant decides not to proceed to trial and instead pleads guilty. Alternatively, when they are under oath, it may become clear that the material witness does not have any information to support the Government's prosecution or that the information is not beneficial. This is particularly likely in this case in light of the acknowledgment by Agent Gonzalez that many material witnesses do not have much relevant information regarding the offense. If either result were to happen, then a trial may not be necessary and the material witness may no longer be needed. Indeed, experience indicates that such results regularly occur.</w:t>
      </w:r>
    </w:p>
    <w:p>
      <w:pPr>
        <w:keepNext w:val="0"/>
        <w:spacing w:before="240" w:after="0" w:line="260" w:lineRule="atLeast"/>
        <w:ind w:left="0" w:right="0" w:firstLine="0"/>
        <w:jc w:val="both"/>
      </w:pPr>
      <w:bookmarkStart w:id="72" w:name="Bookmark_para_23"/>
      <w:bookmarkEnd w:id="72"/>
      <w:bookmarkStart w:id="73" w:name="Bookmark_I55NKB1D2N1R3Y0020000400"/>
      <w:bookmarkEnd w:id="73"/>
      <w:r>
        <w:rPr>
          <w:rFonts w:ascii="arial" w:eastAsia="arial" w:hAnsi="arial" w:cs="arial"/>
          <w:b w:val="0"/>
          <w:i w:val="0"/>
          <w:strike w:val="0"/>
          <w:noProof w:val="0"/>
          <w:color w:val="000000"/>
          <w:position w:val="0"/>
          <w:sz w:val="20"/>
          <w:u w:val="none"/>
          <w:vertAlign w:val="baseline"/>
        </w:rPr>
        <w:t xml:space="preserve">The Government also often raises the </w:t>
      </w:r>
      <w:hyperlink r:id="rId19"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as a basis for denying the deposition. This argument is premature as </w:t>
      </w:r>
      <w:hyperlink r:id="rId11" w:history="1">
        <w:r>
          <w:rPr>
            <w:rFonts w:ascii="arial" w:eastAsia="arial" w:hAnsi="arial" w:cs="arial"/>
            <w:b w:val="0"/>
            <w:i/>
            <w:strike w:val="0"/>
            <w:noProof w:val="0"/>
            <w:color w:val="0077CC"/>
            <w:position w:val="0"/>
            <w:sz w:val="20"/>
            <w:u w:val="single"/>
            <w:vertAlign w:val="baseline"/>
          </w:rPr>
          <w:t>§ 3144</w:t>
        </w:r>
      </w:hyperlink>
      <w:r>
        <w:rPr>
          <w:rFonts w:ascii="arial" w:eastAsia="arial" w:hAnsi="arial" w:cs="arial"/>
          <w:b w:val="0"/>
          <w:i w:val="0"/>
          <w:strike w:val="0"/>
          <w:noProof w:val="0"/>
          <w:color w:val="000000"/>
          <w:position w:val="0"/>
          <w:sz w:val="20"/>
          <w:u w:val="none"/>
          <w:vertAlign w:val="baseline"/>
        </w:rPr>
        <w:t xml:space="preserve"> requires the deposition of material witnesses, but does not require they be automatically released after such deposition. </w:t>
      </w:r>
      <w:bookmarkStart w:id="74" w:name="Bookmark_I55NKB1D2N1R3Y0040000400"/>
      <w:bookmarkEnd w:id="74"/>
      <w:r>
        <w:rPr>
          <w:rFonts w:ascii="arial" w:eastAsia="arial" w:hAnsi="arial" w:cs="arial"/>
          <w:b w:val="0"/>
          <w:i w:val="0"/>
          <w:strike w:val="0"/>
          <w:noProof w:val="0"/>
          <w:color w:val="000000"/>
          <w:position w:val="0"/>
          <w:sz w:val="20"/>
          <w:u w:val="single"/>
          <w:vertAlign w:val="baseline"/>
        </w:rPr>
        <w:t xml:space="preserve">See </w:t>
      </w:r>
      <w:bookmarkStart w:id="75" w:name="Bookmark_I55NKB1D2N1R3Y0010000400"/>
      <w:bookmarkEnd w:id="75"/>
      <w:hyperlink r:id="rId15" w:history="1">
        <w:r>
          <w:rPr>
            <w:rFonts w:ascii="arial" w:eastAsia="arial" w:hAnsi="arial" w:cs="arial"/>
            <w:b w:val="0"/>
            <w:i/>
            <w:strike w:val="0"/>
            <w:noProof w:val="0"/>
            <w:color w:val="0077CC"/>
            <w:position w:val="0"/>
            <w:sz w:val="20"/>
            <w:u w:val="single"/>
            <w:vertAlign w:val="baseline"/>
          </w:rPr>
          <w:t>Lai Fa Chen</w:t>
        </w:r>
      </w:hyperlink>
      <w:hyperlink r:id="rId15" w:history="1">
        <w:r>
          <w:rPr>
            <w:rFonts w:ascii="arial" w:eastAsia="arial" w:hAnsi="arial" w:cs="arial"/>
            <w:b w:val="0"/>
            <w:i/>
            <w:strike w:val="0"/>
            <w:noProof w:val="0"/>
            <w:color w:val="0077CC"/>
            <w:position w:val="0"/>
            <w:sz w:val="20"/>
            <w:u w:val="single"/>
            <w:vertAlign w:val="baseline"/>
          </w:rPr>
          <w:t>, 214 F.R.D. at 582</w:t>
        </w:r>
      </w:hyperlink>
      <w:r>
        <w:rPr>
          <w:rFonts w:ascii="arial" w:eastAsia="arial" w:hAnsi="arial" w:cs="arial"/>
          <w:b w:val="0"/>
          <w:i w:val="0"/>
          <w:strike w:val="0"/>
          <w:noProof w:val="0"/>
          <w:color w:val="000000"/>
          <w:position w:val="0"/>
          <w:sz w:val="20"/>
          <w:u w:val="none"/>
          <w:vertAlign w:val="baseline"/>
        </w:rPr>
        <w:t xml:space="preserve">. </w:t>
      </w:r>
      <w:bookmarkStart w:id="76" w:name="Bookmark_I55NKB1D2N1R3Y0040000400_2"/>
      <w:bookmarkEnd w:id="76"/>
      <w:r>
        <w:rPr>
          <w:rFonts w:ascii="arial" w:eastAsia="arial" w:hAnsi="arial" w:cs="arial"/>
          <w:b w:val="0"/>
          <w:i w:val="0"/>
          <w:strike w:val="0"/>
          <w:noProof w:val="0"/>
          <w:color w:val="000000"/>
          <w:position w:val="0"/>
          <w:sz w:val="20"/>
          <w:u w:val="none"/>
          <w:vertAlign w:val="baseline"/>
        </w:rPr>
        <w:t xml:space="preserve">The Fifth Circuit has rejected defendant's challenges to their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convictions based on </w:t>
      </w:r>
      <w:hyperlink r:id="rId19"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violations in which material witness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depositions were used instead of live testimony. </w:t>
      </w:r>
      <w:bookmarkStart w:id="77" w:name="Bookmark_I55NKB1D2N1R3Y0030000400"/>
      <w:bookmarkEnd w:id="77"/>
      <w:hyperlink r:id="rId13" w:history="1">
        <w:r>
          <w:rPr>
            <w:rFonts w:ascii="arial" w:eastAsia="arial" w:hAnsi="arial" w:cs="arial"/>
            <w:b w:val="0"/>
            <w:i/>
            <w:strike w:val="0"/>
            <w:noProof w:val="0"/>
            <w:color w:val="0077CC"/>
            <w:position w:val="0"/>
            <w:sz w:val="20"/>
            <w:u w:val="single"/>
            <w:vertAlign w:val="baseline"/>
          </w:rPr>
          <w:t>Aguilar-Tamayo</w:t>
        </w:r>
      </w:hyperlink>
      <w:hyperlink r:id="rId13" w:history="1">
        <w:r>
          <w:rPr>
            <w:rFonts w:ascii="arial" w:eastAsia="arial" w:hAnsi="arial" w:cs="arial"/>
            <w:b w:val="0"/>
            <w:i/>
            <w:strike w:val="0"/>
            <w:noProof w:val="0"/>
            <w:color w:val="0077CC"/>
            <w:position w:val="0"/>
            <w:sz w:val="20"/>
            <w:u w:val="single"/>
            <w:vertAlign w:val="baseline"/>
          </w:rPr>
          <w:t>, 300 F.3d 562, 564-66</w:t>
        </w:r>
      </w:hyperlink>
      <w:r>
        <w:rPr>
          <w:rFonts w:ascii="arial" w:eastAsia="arial" w:hAnsi="arial" w:cs="arial"/>
          <w:b w:val="0"/>
          <w:i w:val="0"/>
          <w:strike w:val="0"/>
          <w:noProof w:val="0"/>
          <w:color w:val="000000"/>
          <w:position w:val="0"/>
          <w:sz w:val="20"/>
          <w:u w:val="none"/>
          <w:vertAlign w:val="baseline"/>
        </w:rPr>
        <w:t xml:space="preserve">; </w:t>
      </w:r>
      <w:bookmarkStart w:id="78" w:name="Bookmark_I55NKB1D2N1R3Y0050000400"/>
      <w:bookmarkEnd w:id="78"/>
      <w:hyperlink r:id="rId14" w:history="1">
        <w:r>
          <w:rPr>
            <w:rFonts w:ascii="arial" w:eastAsia="arial" w:hAnsi="arial" w:cs="arial"/>
            <w:b w:val="0"/>
            <w:i/>
            <w:strike w:val="0"/>
            <w:noProof w:val="0"/>
            <w:color w:val="0077CC"/>
            <w:position w:val="0"/>
            <w:sz w:val="20"/>
            <w:u w:val="single"/>
            <w:vertAlign w:val="baseline"/>
          </w:rPr>
          <w:t>Calderon-Lopez</w:t>
        </w:r>
      </w:hyperlink>
      <w:hyperlink r:id="rId14" w:history="1">
        <w:r>
          <w:rPr>
            <w:rFonts w:ascii="arial" w:eastAsia="arial" w:hAnsi="arial" w:cs="arial"/>
            <w:b w:val="0"/>
            <w:i/>
            <w:strike w:val="0"/>
            <w:noProof w:val="0"/>
            <w:color w:val="0077CC"/>
            <w:position w:val="0"/>
            <w:sz w:val="20"/>
            <w:u w:val="single"/>
            <w:vertAlign w:val="baseline"/>
          </w:rPr>
          <w:t>, 268 F. App'x at 288-89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24"/>
      <w:bookmarkEnd w:id="79"/>
      <w:r>
        <w:rPr>
          <w:rFonts w:ascii="arial" w:eastAsia="arial" w:hAnsi="arial" w:cs="arial"/>
          <w:b w:val="0"/>
          <w:i w:val="0"/>
          <w:strike w:val="0"/>
          <w:noProof w:val="0"/>
          <w:color w:val="000000"/>
          <w:position w:val="0"/>
          <w:sz w:val="20"/>
          <w:u w:val="none"/>
          <w:vertAlign w:val="baseline"/>
        </w:rPr>
        <w:t xml:space="preserve">The Government also typically argues that the deposition would be expensive, draining its resources. It failed to provide any case law to support the proposition that a material witness deposition should not proceed because of the expense. Moreover, this expense is only about $1,000 per day for depositions. This argument ignores the costs to the Government of holding a material witness every day at taxpayer's expense.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While the expense of detention is borne by the United States Marshal Service as opposed to the United States Attorney, in cases in which the material witnesses detention is lengthy, the cost to the taxpayers is potentially reduced by the use of depositions. Indeed, the deposition may obviate the need for a trial, which would not only render it unnecessary to continue holding the material witness, but would also save the Government the considerable expense of a trial.</w:t>
      </w:r>
    </w:p>
    <w:p>
      <w:pPr>
        <w:keepNext w:val="0"/>
        <w:spacing w:before="200" w:after="0" w:line="260" w:lineRule="atLeast"/>
        <w:ind w:left="0" w:right="0" w:firstLine="0"/>
        <w:jc w:val="both"/>
      </w:pPr>
      <w:bookmarkStart w:id="81" w:name="Bookmark_para_25"/>
      <w:bookmarkEnd w:id="81"/>
      <w:r>
        <w:rPr>
          <w:rFonts w:ascii="arial" w:eastAsia="arial" w:hAnsi="arial" w:cs="arial"/>
          <w:b w:val="0"/>
          <w:i w:val="0"/>
          <w:strike w:val="0"/>
          <w:noProof w:val="0"/>
          <w:color w:val="000000"/>
          <w:position w:val="0"/>
          <w:sz w:val="20"/>
          <w:u w:val="none"/>
          <w:vertAlign w:val="baseline"/>
        </w:rPr>
        <w:t xml:space="preserve">Finally, the Government's role is to seek justice not only for the citizens and the taxpayers of the United States, but also for the victims of this offense, including the material witnesses.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Its knee-jerk reaction against depositions here undercuts its promotion of justice. This failure is further exacerbated by the assigned assistant United States Attorney who failed to appear as ordered and the assistant United States Attorney present for the status conference being so unprepared that she did not know the prosecution involved a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fatality during the commission of the alleged offense. Indeed, the Government could have avoided the need for depositions by facilitating bonds for the material witnesses, but also opposes bonds and has failed to have the assigned special agent present information whether his agency would facilitate in releasing material witnesses on bond.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 xml:space="preserve">The Government has not demonstrated any basis for barring the depositions, including the statutory requirement that it be barred to prevent a failure of justice. Accordingly, the motions for depositions of the material witnesses are GRANTED. The depositions are set for March 27, 2012 at 8:00 a.m. First, the three juvenile material witnesses represented by Ms. Huerta-Gonzalez. Then the three material witnesses represented by Mr. Purnell will be deposed next. Finally,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the three material witnesses represented by Mr. Villarreal will be deposed. The three material witnesses represented by Ms. Cantu-Bazar will be deposed on April 3, 2012 at 8:00 a.m. along with any material witnesses whose depositions could not be completed on March 27, 2012.</w:t>
      </w:r>
    </w:p>
    <w:p>
      <w:pPr>
        <w:keepNext w:val="0"/>
        <w:spacing w:before="200" w:after="0" w:line="260" w:lineRule="atLeast"/>
        <w:ind w:left="0" w:right="0" w:firstLine="0"/>
        <w:jc w:val="both"/>
      </w:pPr>
      <w:bookmarkStart w:id="84" w:name="Bookmark_para_27"/>
      <w:bookmarkEnd w:id="84"/>
      <w:r>
        <w:rPr>
          <w:rFonts w:ascii="arial" w:eastAsia="arial" w:hAnsi="arial" w:cs="arial"/>
          <w:b w:val="0"/>
          <w:i w:val="0"/>
          <w:strike w:val="0"/>
          <w:noProof w:val="0"/>
          <w:color w:val="000000"/>
          <w:position w:val="0"/>
          <w:sz w:val="20"/>
          <w:u w:val="none"/>
          <w:vertAlign w:val="baseline"/>
        </w:rPr>
        <w:t>ORDERED this 15th day of March 2012.</w:t>
      </w:r>
    </w:p>
    <w:p>
      <w:pPr>
        <w:keepNext w:val="0"/>
        <w:spacing w:before="200" w:after="0" w:line="260" w:lineRule="atLeast"/>
        <w:ind w:left="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/s/ Brian L. Owsley</w:t>
      </w:r>
    </w:p>
    <w:p>
      <w:pPr>
        <w:keepNext w:val="0"/>
        <w:spacing w:before="200" w:after="0" w:line="260" w:lineRule="atLeast"/>
        <w:ind w:left="0" w:right="0" w:firstLine="0"/>
        <w:jc w:val="both"/>
      </w:pPr>
      <w:bookmarkStart w:id="86" w:name="Bookmark_para_29"/>
      <w:bookmarkEnd w:id="86"/>
      <w:r>
        <w:rPr>
          <w:rFonts w:ascii="arial" w:eastAsia="arial" w:hAnsi="arial" w:cs="arial"/>
          <w:b w:val="0"/>
          <w:i w:val="0"/>
          <w:strike w:val="0"/>
          <w:noProof w:val="0"/>
          <w:color w:val="000000"/>
          <w:position w:val="0"/>
          <w:sz w:val="20"/>
          <w:u w:val="none"/>
          <w:vertAlign w:val="baseline"/>
        </w:rPr>
        <w:t>BRIAN L. OWSLEY</w:t>
      </w:r>
    </w:p>
    <w:p>
      <w:pPr>
        <w:keepNext w:val="0"/>
        <w:spacing w:before="200" w:after="0" w:line="260" w:lineRule="atLeast"/>
        <w:ind w:left="0" w:right="0" w:firstLine="0"/>
        <w:jc w:val="both"/>
      </w:pPr>
      <w:bookmarkStart w:id="87" w:name="Bookmark_para_30"/>
      <w:bookmarkEnd w:id="8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The record does not reflect that a bond was set for any of the three juvenile material witnesses.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The record does not reflect a bond was set for the twelfth material witness Bryan Gonzalo Ipina-Cordon, who is represented by Ms. Cantu-Bazar.</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6" w:name="Bookmark_fnpara_3"/>
      <w:bookmarkEnd w:id="66"/>
      <w:r>
        <w:rPr>
          <w:rFonts w:ascii="arial" w:eastAsia="arial" w:hAnsi="arial" w:cs="arial"/>
          <w:b w:val="0"/>
          <w:i w:val="0"/>
          <w:strike w:val="0"/>
          <w:noProof w:val="0"/>
          <w:color w:val="000000"/>
          <w:position w:val="0"/>
          <w:sz w:val="18"/>
          <w:u w:val="none"/>
          <w:vertAlign w:val="baseline"/>
        </w:rPr>
        <w:t>Indeed, one material witness is still hospitalized.</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0" w:name="Bookmark_fnpara_4"/>
      <w:bookmarkEnd w:id="80"/>
      <w:r>
        <w:rPr>
          <w:rFonts w:ascii="arial" w:eastAsia="arial" w:hAnsi="arial" w:cs="arial"/>
          <w:b w:val="0"/>
          <w:i w:val="0"/>
          <w:strike w:val="0"/>
          <w:noProof w:val="0"/>
          <w:color w:val="000000"/>
          <w:position w:val="0"/>
          <w:sz w:val="18"/>
          <w:u w:val="none"/>
          <w:vertAlign w:val="baseline"/>
        </w:rPr>
        <w:t xml:space="preserve">At an expense of about $50 per day, the material witness has already cost about $20,000, not including medical care and attorney expenses. Moreover, if the material witnesses are </w:t>
      </w:r>
      <w:r>
        <w:rPr>
          <w:rFonts w:ascii="arial" w:eastAsia="arial" w:hAnsi="arial" w:cs="arial"/>
          <w:b/>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held until trial set for May 1, 2012, (D.E. 43), the additional cost will be about $27,000. That figure will likely increase because there was a death involved in this offense, the Government typically will await a decision from the United States Department of Justice as to whether to seek the death penalty in this case. Awaiting this decision will delay any trial for at least several months at a cost of $18,000 per month. This cost is significantly more than the cost of video-deposition, but is not borne directly by the Office of the United States Attorney, which is one of the major reasons the Government routinely opposes material witness depositions.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2" w:name="Bookmark_fnpara_5"/>
      <w:bookmarkEnd w:id="82"/>
      <w:r>
        <w:rPr>
          <w:rFonts w:ascii="arial" w:eastAsia="arial" w:hAnsi="arial" w:cs="arial"/>
          <w:b w:val="0"/>
          <w:i w:val="0"/>
          <w:strike w:val="0"/>
          <w:noProof w:val="0"/>
          <w:color w:val="000000"/>
          <w:position w:val="0"/>
          <w:sz w:val="18"/>
          <w:u w:val="none"/>
          <w:vertAlign w:val="baseline"/>
        </w:rPr>
        <w:t xml:space="preserve">Clearly, the material witnesses have no legal status to be in the United States and violated the law in order to come here,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8 U.S.C. § 1325</w:t>
        </w:r>
      </w:hyperlink>
      <w:r>
        <w:rPr>
          <w:rFonts w:ascii="arial" w:eastAsia="arial" w:hAnsi="arial" w:cs="arial"/>
          <w:b w:val="0"/>
          <w:i w:val="0"/>
          <w:strike w:val="0"/>
          <w:noProof w:val="0"/>
          <w:color w:val="000000"/>
          <w:position w:val="0"/>
          <w:sz w:val="18"/>
          <w:u w:val="none"/>
          <w:vertAlign w:val="baseline"/>
        </w:rPr>
        <w:t>, but none of them came here seeking to be injured and hospitalized. Moreover, Congress recognizes them as victims in part for heightened penalties based on the injuries or deaths caused to them during the commission of the alleged offense.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Abundis-Carreon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9-5042-D6RV-H14H-00000-00&amp;context=1519360" TargetMode="External" /><Relationship Id="rId12" Type="http://schemas.openxmlformats.org/officeDocument/2006/relationships/hyperlink" Target="https://advance.lexis.com/api/document?collection=cases&amp;id=urn:contentItem:4WBC-6GW0-TXFX-72H0-00000-00&amp;context=1519360" TargetMode="External" /><Relationship Id="rId13" Type="http://schemas.openxmlformats.org/officeDocument/2006/relationships/hyperlink" Target="https://advance.lexis.com/api/document?collection=cases&amp;id=urn:contentItem:46C5-HW90-0038-X4WP-00000-00&amp;context=1519360" TargetMode="External" /><Relationship Id="rId14" Type="http://schemas.openxmlformats.org/officeDocument/2006/relationships/hyperlink" Target="https://advance.lexis.com/api/document?collection=cases&amp;id=urn:contentItem:4S02-HXM0-TXFX-729D-00000-00&amp;context=1519360" TargetMode="External" /><Relationship Id="rId15" Type="http://schemas.openxmlformats.org/officeDocument/2006/relationships/hyperlink" Target="https://advance.lexis.com/api/document?collection=cases&amp;id=urn:contentItem:48CP-Y0P0-0038-Y20T-00000-00&amp;context=1519360" TargetMode="External" /><Relationship Id="rId16" Type="http://schemas.openxmlformats.org/officeDocument/2006/relationships/hyperlink" Target="https://advance.lexis.com/api/document?collection=statutes-legislation&amp;id=urn:contentItem:5GYC-2731-FG36-13V0-00000-00&amp;context=1519360" TargetMode="External" /><Relationship Id="rId17" Type="http://schemas.openxmlformats.org/officeDocument/2006/relationships/hyperlink" Target="https://advance.lexis.com/api/document?collection=cases&amp;id=urn:contentItem:3S4W-YYP0-008H-V4Y3-00000-00&amp;context=1519360" TargetMode="External" /><Relationship Id="rId18" Type="http://schemas.openxmlformats.org/officeDocument/2006/relationships/hyperlink" Target="https://advance.lexis.com/api/document?collection=cases&amp;id=urn:contentItem:3S4X-FKB0-00B1-D1JB-00000-00&amp;context=1519360" TargetMode="External" /><Relationship Id="rId19"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0VJ0-008H-V1KY-00000-00&amp;context=1519360" TargetMode="External" /><Relationship Id="rId21" Type="http://schemas.openxmlformats.org/officeDocument/2006/relationships/hyperlink" Target="https://advance.lexis.com/api/document?collection=cases&amp;id=urn:contentItem:3S4X-D3T0-003B-P4WB-00000-00&amp;context=1519360" TargetMode="External" /><Relationship Id="rId22" Type="http://schemas.openxmlformats.org/officeDocument/2006/relationships/hyperlink" Target="https://advance.lexis.com/api/document?collection=cases&amp;id=urn:contentItem:4PF8-J6M0-TXFX-D2RF-00000-00&amp;context=1519360" TargetMode="External" /><Relationship Id="rId23" Type="http://schemas.openxmlformats.org/officeDocument/2006/relationships/hyperlink" Target="https://advance.lexis.com/api/document?collection=cases&amp;id=urn:contentItem:3S4W-XV20-001B-K4H9-00000-00&amp;context=1519360" TargetMode="External" /><Relationship Id="rId24" Type="http://schemas.openxmlformats.org/officeDocument/2006/relationships/hyperlink" Target="https://advance.lexis.com/api/document?collection=cases&amp;id=urn:contentItem:3S4X-5D80-003B-S4C9-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5H5-7CT1-F04F-C1B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B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Abundis-Carreon, 2012 U.S. Dist. LEXIS 58650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urn:user:PA186186298</vt:lpwstr>
  </property>
</Properties>
</file>