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Gutierrez-Castro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11-40744 Summary Calendar</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466 Fed. Appx. 363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U.S. App. LEXIS 7550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WL 1255118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MOISES GUTIERREZ-CASTRO,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5:10-CR-2499-1.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illegal alien, transportation, financial gain, witnesses</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Julia Bowen Stern, Assistant U.S. Attorney, Renata Ann Gowie,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MOISES GUTIERREZ-CASTRO, Defendant - Appellant: Eduardo Romero, Esq., Villareal &amp; Romero, P.L.L.C.,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REAVLEY, SMITH, and PRADO,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Moises Gutierrez-Castro appeals his conviction for transporting and bringing illegal aliens into the United States for the purpose of private financial gain in violation of </w:t>
      </w:r>
      <w:hyperlink r:id="rId10"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Gutierrez-Castro avers that the evidence was insufficient to show that he knowingly or recklessly disregarded the fact that the aliens with whose transportation he was charged were illegally present in the United States or that he transported them with the intent to further their illegal presence in the United States.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He also contends that there is insufficient evidence that he intended to commit a criminal act by bringing them into the United States or that he committed the offenses for commercial advantage or private financial gain.</w:t>
      </w:r>
    </w:p>
    <w:p>
      <w:pPr>
        <w:keepNext w:val="0"/>
        <w:spacing w:before="240" w:after="0" w:line="260" w:lineRule="atLeast"/>
        <w:ind w:left="0" w:right="0" w:firstLine="0"/>
        <w:jc w:val="both"/>
      </w:pPr>
      <w:bookmarkStart w:id="13" w:name="Bookmark_para_5"/>
      <w:bookmarkEnd w:id="13"/>
      <w:bookmarkStart w:id="14" w:name="Bookmark_I55KFDJF2N1RFC0020000400"/>
      <w:bookmarkEnd w:id="14"/>
      <w:r>
        <w:rPr>
          <w:rFonts w:ascii="arial" w:eastAsia="arial" w:hAnsi="arial" w:cs="arial"/>
          <w:b w:val="0"/>
          <w:i w:val="0"/>
          <w:strike w:val="0"/>
          <w:noProof w:val="0"/>
          <w:color w:val="000000"/>
          <w:position w:val="0"/>
          <w:sz w:val="20"/>
          <w:u w:val="none"/>
          <w:vertAlign w:val="baseline"/>
        </w:rPr>
        <w:t xml:space="preserve">We conclude that the evidence was sufficient to support Gutierrez-Castro's conviction. </w:t>
      </w:r>
      <w:r>
        <w:rPr>
          <w:rFonts w:ascii="arial" w:eastAsia="arial" w:hAnsi="arial" w:cs="arial"/>
          <w:b w:val="0"/>
          <w:i/>
          <w:strike w:val="0"/>
          <w:noProof w:val="0"/>
          <w:color w:val="000000"/>
          <w:position w:val="0"/>
          <w:sz w:val="20"/>
          <w:u w:val="none"/>
          <w:vertAlign w:val="baseline"/>
        </w:rPr>
        <w:t xml:space="preserve">See </w:t>
      </w:r>
      <w:bookmarkStart w:id="15" w:name="Bookmark_I55KFDJF2N1RFC0010000400"/>
      <w:bookmarkEnd w:id="15"/>
      <w:hyperlink r:id="rId12" w:history="1">
        <w:r>
          <w:rPr>
            <w:rFonts w:ascii="arial" w:eastAsia="arial" w:hAnsi="arial" w:cs="arial"/>
            <w:b w:val="0"/>
            <w:i/>
            <w:strike w:val="0"/>
            <w:noProof w:val="0"/>
            <w:color w:val="0077CC"/>
            <w:position w:val="0"/>
            <w:sz w:val="20"/>
            <w:u w:val="single"/>
            <w:vertAlign w:val="baseline"/>
          </w:rPr>
          <w:t>United States v. Moser,</w:t>
        </w:r>
      </w:hyperlink>
      <w:hyperlink r:id="rId12" w:history="1">
        <w:r>
          <w:rPr>
            <w:rFonts w:ascii="arial" w:eastAsia="arial" w:hAnsi="arial" w:cs="arial"/>
            <w:b w:val="0"/>
            <w:i/>
            <w:strike w:val="0"/>
            <w:noProof w:val="0"/>
            <w:color w:val="0077CC"/>
            <w:position w:val="0"/>
            <w:sz w:val="20"/>
            <w:u w:val="single"/>
            <w:vertAlign w:val="baseline"/>
          </w:rPr>
          <w:t xml:space="preserve"> 123 F.3d 813, 819 (5th Cir. 1997)</w:t>
        </w:r>
      </w:hyperlink>
      <w:r>
        <w:rPr>
          <w:rFonts w:ascii="arial" w:eastAsia="arial" w:hAnsi="arial" w:cs="arial"/>
          <w:b w:val="0"/>
          <w:i w:val="0"/>
          <w:strike w:val="0"/>
          <w:noProof w:val="0"/>
          <w:color w:val="000000"/>
          <w:position w:val="0"/>
          <w:sz w:val="20"/>
          <w:u w:val="none"/>
          <w:vertAlign w:val="baseline"/>
        </w:rPr>
        <w:t xml:space="preserve">. </w:t>
      </w:r>
      <w:bookmarkStart w:id="16" w:name="Bookmark_I55KFDJF2N1RFC0040000400"/>
      <w:bookmarkEnd w:id="16"/>
      <w:r>
        <w:rPr>
          <w:rFonts w:ascii="arial" w:eastAsia="arial" w:hAnsi="arial" w:cs="arial"/>
          <w:b w:val="0"/>
          <w:i w:val="0"/>
          <w:strike w:val="0"/>
          <w:noProof w:val="0"/>
          <w:color w:val="000000"/>
          <w:position w:val="0"/>
          <w:sz w:val="20"/>
          <w:u w:val="none"/>
          <w:vertAlign w:val="baseline"/>
        </w:rPr>
        <w:t xml:space="preserve">The evidence showed that the Government's material witnesses, Maria Dolores Erazo-Munoz and Otto Rene Castro-Vasquez, admitted that they entered the United States illegally and identified Gutierrez-Castro as the guide who helped them in their effort to enter the United States. </w:t>
      </w:r>
      <w:bookmarkStart w:id="17" w:name="Bookmark_I55KFDJF2N1RFC0040000400_2"/>
      <w:bookmarkEnd w:id="17"/>
      <w:r>
        <w:rPr>
          <w:rFonts w:ascii="arial" w:eastAsia="arial" w:hAnsi="arial" w:cs="arial"/>
          <w:b w:val="0"/>
          <w:i w:val="0"/>
          <w:strike w:val="0"/>
          <w:noProof w:val="0"/>
          <w:color w:val="000000"/>
          <w:position w:val="0"/>
          <w:sz w:val="20"/>
          <w:u w:val="none"/>
          <w:vertAlign w:val="baseline"/>
        </w:rPr>
        <w:t xml:space="preserve">The evidence </w:t>
      </w:r>
      <w:r>
        <w:rPr>
          <w:rFonts w:ascii="arial" w:eastAsia="arial" w:hAnsi="arial" w:cs="arial"/>
          <w:b/>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demonstrated that Gutierrez-Castro directed the movement and actions of these witnesses and facilitated their entry into and presence in the United States. </w:t>
      </w:r>
      <w:bookmarkStart w:id="18" w:name="Bookmark_I55KFDJF2HM67C0030000400"/>
      <w:bookmarkEnd w:id="18"/>
      <w:r>
        <w:rPr>
          <w:rFonts w:ascii="arial" w:eastAsia="arial" w:hAnsi="arial" w:cs="arial"/>
          <w:b w:val="0"/>
          <w:i/>
          <w:strike w:val="0"/>
          <w:noProof w:val="0"/>
          <w:color w:val="000000"/>
          <w:position w:val="0"/>
          <w:sz w:val="20"/>
          <w:u w:val="none"/>
          <w:vertAlign w:val="baseline"/>
        </w:rPr>
        <w:t xml:space="preserve">See </w:t>
      </w:r>
      <w:bookmarkStart w:id="19" w:name="Bookmark_I55KFDJF2N1RFC0030000400"/>
      <w:bookmarkEnd w:id="19"/>
      <w:hyperlink r:id="rId13" w:history="1">
        <w:r>
          <w:rPr>
            <w:rFonts w:ascii="arial" w:eastAsia="arial" w:hAnsi="arial" w:cs="arial"/>
            <w:b w:val="0"/>
            <w:i/>
            <w:strike w:val="0"/>
            <w:noProof w:val="0"/>
            <w:color w:val="0077CC"/>
            <w:position w:val="0"/>
            <w:sz w:val="20"/>
            <w:u w:val="single"/>
            <w:vertAlign w:val="baseline"/>
          </w:rPr>
          <w:t>United States v. Villanueva,</w:t>
        </w:r>
      </w:hyperlink>
      <w:hyperlink r:id="rId13" w:history="1">
        <w:r>
          <w:rPr>
            <w:rFonts w:ascii="arial" w:eastAsia="arial" w:hAnsi="arial" w:cs="arial"/>
            <w:b w:val="0"/>
            <w:i/>
            <w:strike w:val="0"/>
            <w:noProof w:val="0"/>
            <w:color w:val="0077CC"/>
            <w:position w:val="0"/>
            <w:sz w:val="20"/>
            <w:u w:val="single"/>
            <w:vertAlign w:val="baseline"/>
          </w:rPr>
          <w:t xml:space="preserve"> 408 F.3d 193, 201 n.8 (5th Cir. 2005)</w:t>
        </w:r>
      </w:hyperlink>
      <w:r>
        <w:rPr>
          <w:rFonts w:ascii="arial" w:eastAsia="arial" w:hAnsi="arial" w:cs="arial"/>
          <w:b w:val="0"/>
          <w:i w:val="0"/>
          <w:strike w:val="0"/>
          <w:noProof w:val="0"/>
          <w:color w:val="000000"/>
          <w:position w:val="0"/>
          <w:sz w:val="20"/>
          <w:u w:val="none"/>
          <w:vertAlign w:val="baseline"/>
        </w:rPr>
        <w:t xml:space="preserve">; </w:t>
      </w:r>
      <w:bookmarkStart w:id="20" w:name="Bookmark_I55KFDJF2N1RFC0050000400"/>
      <w:bookmarkEnd w:id="20"/>
      <w:hyperlink r:id="rId14" w:history="1">
        <w:r>
          <w:rPr>
            <w:rFonts w:ascii="arial" w:eastAsia="arial" w:hAnsi="arial" w:cs="arial"/>
            <w:b w:val="0"/>
            <w:i/>
            <w:strike w:val="0"/>
            <w:noProof w:val="0"/>
            <w:color w:val="0077CC"/>
            <w:position w:val="0"/>
            <w:sz w:val="20"/>
            <w:u w:val="single"/>
            <w:vertAlign w:val="baseline"/>
          </w:rPr>
          <w:t>United States v. Nolasco-Rosas,</w:t>
        </w:r>
      </w:hyperlink>
      <w:hyperlink r:id="rId14" w:history="1">
        <w:r>
          <w:rPr>
            <w:rFonts w:ascii="arial" w:eastAsia="arial" w:hAnsi="arial" w:cs="arial"/>
            <w:b w:val="0"/>
            <w:i/>
            <w:strike w:val="0"/>
            <w:noProof w:val="0"/>
            <w:color w:val="0077CC"/>
            <w:position w:val="0"/>
            <w:sz w:val="20"/>
            <w:u w:val="single"/>
            <w:vertAlign w:val="baseline"/>
          </w:rPr>
          <w:t xml:space="preserve"> 286 F.3d 762, 765 (5th Cir. 2002)</w:t>
        </w:r>
      </w:hyperlink>
      <w:r>
        <w:rPr>
          <w:rFonts w:ascii="arial" w:eastAsia="arial" w:hAnsi="arial" w:cs="arial"/>
          <w:b w:val="0"/>
          <w:i w:val="0"/>
          <w:strike w:val="0"/>
          <w:noProof w:val="0"/>
          <w:color w:val="000000"/>
          <w:position w:val="0"/>
          <w:sz w:val="20"/>
          <w:u w:val="none"/>
          <w:vertAlign w:val="baseline"/>
        </w:rPr>
        <w:t xml:space="preserve">. </w:t>
      </w:r>
      <w:bookmarkStart w:id="21" w:name="Bookmark_I55KFDJF2HM67C0030000400_2"/>
      <w:bookmarkEnd w:id="21"/>
      <w:r>
        <w:rPr>
          <w:rFonts w:ascii="arial" w:eastAsia="arial" w:hAnsi="arial" w:cs="arial"/>
          <w:b w:val="0"/>
          <w:i w:val="0"/>
          <w:strike w:val="0"/>
          <w:noProof w:val="0"/>
          <w:color w:val="000000"/>
          <w:position w:val="0"/>
          <w:sz w:val="20"/>
          <w:u w:val="none"/>
          <w:vertAlign w:val="baseline"/>
        </w:rPr>
        <w:t xml:space="preserve">We also conclude that the evidence was sufficient to establish that Gutierrez-Castro participated in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and that members of the operation received sums of money to help the illegal aliens enter the United States.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strike w:val="0"/>
          <w:noProof w:val="0"/>
          <w:color w:val="000000"/>
          <w:position w:val="0"/>
          <w:sz w:val="20"/>
          <w:u w:val="none"/>
          <w:vertAlign w:val="baseline"/>
        </w:rPr>
        <w:t xml:space="preserve">See </w:t>
      </w:r>
      <w:bookmarkStart w:id="22" w:name="Bookmark_I55KFDJF2HM67C0020000400"/>
      <w:bookmarkEnd w:id="22"/>
      <w:hyperlink r:id="rId15" w:history="1">
        <w:r>
          <w:rPr>
            <w:rFonts w:ascii="arial" w:eastAsia="arial" w:hAnsi="arial" w:cs="arial"/>
            <w:b w:val="0"/>
            <w:i/>
            <w:strike w:val="0"/>
            <w:noProof w:val="0"/>
            <w:color w:val="0077CC"/>
            <w:position w:val="0"/>
            <w:sz w:val="20"/>
            <w:u w:val="single"/>
            <w:vertAlign w:val="baseline"/>
          </w:rPr>
          <w:t>United States v. Allende-Garcia,</w:t>
        </w:r>
      </w:hyperlink>
      <w:hyperlink r:id="rId15" w:history="1">
        <w:r>
          <w:rPr>
            <w:rFonts w:ascii="arial" w:eastAsia="arial" w:hAnsi="arial" w:cs="arial"/>
            <w:b w:val="0"/>
            <w:i/>
            <w:strike w:val="0"/>
            <w:noProof w:val="0"/>
            <w:color w:val="0077CC"/>
            <w:position w:val="0"/>
            <w:sz w:val="20"/>
            <w:u w:val="single"/>
            <w:vertAlign w:val="baseline"/>
          </w:rPr>
          <w:t xml:space="preserve"> 407 F. App'x 829, 835 (5th Cir. 2011)</w:t>
        </w:r>
      </w:hyperlink>
      <w:r>
        <w:rPr>
          <w:rFonts w:ascii="arial" w:eastAsia="arial" w:hAnsi="arial" w:cs="arial"/>
          <w:b w:val="0"/>
          <w:i w:val="0"/>
          <w:strike w:val="0"/>
          <w:noProof w:val="0"/>
          <w:color w:val="000000"/>
          <w:position w:val="0"/>
          <w:sz w:val="20"/>
          <w:u w:val="none"/>
          <w:vertAlign w:val="baseline"/>
        </w:rPr>
        <w:t xml:space="preserve">; </w:t>
      </w:r>
      <w:bookmarkStart w:id="23" w:name="Bookmark_I55KFDJF2HM67C0040000400"/>
      <w:bookmarkEnd w:id="23"/>
      <w:hyperlink r:id="rId16" w:history="1">
        <w:r>
          <w:rPr>
            <w:rFonts w:ascii="arial" w:eastAsia="arial" w:hAnsi="arial" w:cs="arial"/>
            <w:b w:val="0"/>
            <w:i/>
            <w:strike w:val="0"/>
            <w:noProof w:val="0"/>
            <w:color w:val="0077CC"/>
            <w:position w:val="0"/>
            <w:sz w:val="20"/>
            <w:u w:val="single"/>
            <w:vertAlign w:val="baseline"/>
          </w:rPr>
          <w:t>United States v. Smarr,</w:t>
        </w:r>
      </w:hyperlink>
      <w:hyperlink r:id="rId16" w:history="1">
        <w:r>
          <w:rPr>
            <w:rFonts w:ascii="arial" w:eastAsia="arial" w:hAnsi="arial" w:cs="arial"/>
            <w:b w:val="0"/>
            <w:i/>
            <w:strike w:val="0"/>
            <w:noProof w:val="0"/>
            <w:color w:val="0077CC"/>
            <w:position w:val="0"/>
            <w:sz w:val="20"/>
            <w:u w:val="single"/>
            <w:vertAlign w:val="baseline"/>
          </w:rPr>
          <w:t xml:space="preserve"> 207 F. App'x 499, 500 (5th Cir. 2006)</w:t>
        </w:r>
      </w:hyperlink>
      <w:r>
        <w:rPr>
          <w:rFonts w:ascii="arial" w:eastAsia="arial" w:hAnsi="arial" w:cs="arial"/>
          <w:b w:val="0"/>
          <w:i w:val="0"/>
          <w:strike w:val="0"/>
          <w:noProof w:val="0"/>
          <w:color w:val="000000"/>
          <w:position w:val="0"/>
          <w:sz w:val="20"/>
          <w:u w:val="none"/>
          <w:vertAlign w:val="baseline"/>
        </w:rPr>
        <w:t>. The judgment of the district court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Gutierrez-Castro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9-5032-D6RV-H4XK-00000-00&amp;context=1519360" TargetMode="External" /><Relationship Id="rId12" Type="http://schemas.openxmlformats.org/officeDocument/2006/relationships/hyperlink" Target="https://advance.lexis.com/api/document?collection=cases&amp;id=urn:contentItem:3S4P-8B00-00B1-D25N-00000-00&amp;context=1519360" TargetMode="External" /><Relationship Id="rId13" Type="http://schemas.openxmlformats.org/officeDocument/2006/relationships/hyperlink" Target="https://advance.lexis.com/api/document?collection=cases&amp;id=urn:contentItem:4G1Y-5830-0038-X4RB-00000-00&amp;context=1519360" TargetMode="External" /><Relationship Id="rId14" Type="http://schemas.openxmlformats.org/officeDocument/2006/relationships/hyperlink" Target="https://advance.lexis.com/api/document?collection=cases&amp;id=urn:contentItem:45D8-D7C0-0038-X1J9-00000-00&amp;context=1519360" TargetMode="External" /><Relationship Id="rId15" Type="http://schemas.openxmlformats.org/officeDocument/2006/relationships/hyperlink" Target="https://advance.lexis.com/api/document?collection=cases&amp;id=urn:contentItem:51XH-JPK1-652R-3001-00000-00&amp;context=1519360" TargetMode="External" /><Relationship Id="rId16" Type="http://schemas.openxmlformats.org/officeDocument/2006/relationships/hyperlink" Target="https://advance.lexis.com/api/document?collection=cases&amp;id=urn:contentItem:4MH8-72Y0-0038-X0H9-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5DT-YGY1-F04K-N05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Gutierrez-Castro, 466 Fed. Appx. 363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urn:user:PA186186298</vt:lpwstr>
  </property>
</Properties>
</file>