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Gonzalez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2016,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15-41529 Summary Calendar</w:t>
      </w:r>
    </w:p>
    <w:p>
      <w:pPr>
        <w:keepNext w:val="0"/>
        <w:spacing w:after="0" w:line="240" w:lineRule="atLeast"/>
        <w:ind w:right="0"/>
        <w:jc w:val="both"/>
      </w:pPr>
      <w:bookmarkStart w:id="0" w:name="Bookmark_4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657 Fed. Appx. 324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2016 U.S. App. LEXIS 13096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2016 WL 3902230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YVONNE DENISE GONZALEZ,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Southern District of Texas. USDC No. 5:15-CR-500-1.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Gonzalez, 2015 U.S. Dist. LEXIS 184891 (S.D. Tex., July 13, 2015)</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criminal history, financial gain, illegal alien, plain error, imprisonment, Challenging, transport, factors</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Amy Howell Alaniz, Assistant U.S. Attorney, Renata Ann Gowie,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YVONNE DENISE GONZALEZ, Defendant - Appellant: Oscar A. Vela, Jr., Esq.,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DAVIS, JONES, and GRAVES, Circuit Judges.</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i w:val="0"/>
          <w:strike w:val="0"/>
          <w:noProof w:val="0"/>
          <w:color w:val="000000"/>
          <w:position w:val="0"/>
          <w:sz w:val="20"/>
          <w:u w:val="none"/>
          <w:vertAlign w:val="baseline"/>
        </w:rPr>
        <w:t> [*325]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Yvonne Denise Gonzalez pleaded guilty to conspiracy to transport an illegal alien within the United States for financial gain and two substantive counts of transporting an illegal alien within the United States for financial gain. Gonzalez was sentenced to 18 months of imprisonment to be followed by three years of supervised release, and she now appeals that sentence.</w:t>
      </w:r>
    </w:p>
    <w:p>
      <w:pPr>
        <w:keepNext w:val="0"/>
        <w:spacing w:before="240" w:after="0" w:line="260" w:lineRule="atLeast"/>
        <w:ind w:left="0" w:right="0" w:firstLine="0"/>
        <w:jc w:val="both"/>
      </w:pPr>
      <w:bookmarkStart w:id="15" w:name="Bookmark_para_5"/>
      <w:bookmarkEnd w:id="15"/>
      <w:bookmarkStart w:id="16" w:name="Bookmark_I5KFGC7M2SF8RF0020000400"/>
      <w:bookmarkEnd w:id="16"/>
      <w:r>
        <w:rPr>
          <w:rFonts w:ascii="arial" w:eastAsia="arial" w:hAnsi="arial" w:cs="arial"/>
          <w:b w:val="0"/>
          <w:i w:val="0"/>
          <w:strike w:val="0"/>
          <w:noProof w:val="0"/>
          <w:color w:val="000000"/>
          <w:position w:val="0"/>
          <w:sz w:val="20"/>
          <w:u w:val="none"/>
          <w:vertAlign w:val="baseline"/>
        </w:rPr>
        <w:t xml:space="preserve">Challenging the procedural reasonableness of her sentence, Gonzalez argues that the district court failed to fully consider the </w:t>
      </w:r>
      <w:hyperlink r:id="rId11" w:history="1">
        <w:r>
          <w:rPr>
            <w:rFonts w:ascii="arial" w:eastAsia="arial" w:hAnsi="arial" w:cs="arial"/>
            <w:b w:val="0"/>
            <w:i/>
            <w:strike w:val="0"/>
            <w:noProof w:val="0"/>
            <w:color w:val="0077CC"/>
            <w:position w:val="0"/>
            <w:sz w:val="20"/>
            <w:u w:val="single"/>
            <w:vertAlign w:val="baseline"/>
          </w:rPr>
          <w:t>18 U.S.C. § 3553</w:t>
        </w:r>
      </w:hyperlink>
      <w:r>
        <w:rPr>
          <w:rFonts w:ascii="arial" w:eastAsia="arial" w:hAnsi="arial" w:cs="arial"/>
          <w:b w:val="0"/>
          <w:i w:val="0"/>
          <w:strike w:val="0"/>
          <w:noProof w:val="0"/>
          <w:color w:val="000000"/>
          <w:position w:val="0"/>
          <w:sz w:val="20"/>
          <w:u w:val="none"/>
          <w:vertAlign w:val="baseline"/>
        </w:rPr>
        <w:t xml:space="preserve"> factors before imposing her sentence. Because Gonzalez did not object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district court on this basis, her argument is reviewed only for plain error. </w:t>
      </w:r>
      <w:r>
        <w:rPr>
          <w:rFonts w:ascii="arial" w:eastAsia="arial" w:hAnsi="arial" w:cs="arial"/>
          <w:b w:val="0"/>
          <w:i/>
          <w:strike w:val="0"/>
          <w:noProof w:val="0"/>
          <w:color w:val="000000"/>
          <w:position w:val="0"/>
          <w:sz w:val="20"/>
          <w:u w:val="none"/>
          <w:vertAlign w:val="baseline"/>
        </w:rPr>
        <w:t xml:space="preserve">See </w:t>
      </w:r>
      <w:bookmarkStart w:id="17" w:name="Bookmark_I5KFGC7M2SF8RF0010000400"/>
      <w:bookmarkEnd w:id="17"/>
      <w:hyperlink r:id="rId12" w:history="1">
        <w:r>
          <w:rPr>
            <w:rFonts w:ascii="arial" w:eastAsia="arial" w:hAnsi="arial" w:cs="arial"/>
            <w:b w:val="0"/>
            <w:i/>
            <w:strike w:val="0"/>
            <w:noProof w:val="0"/>
            <w:color w:val="0077CC"/>
            <w:position w:val="0"/>
            <w:sz w:val="20"/>
            <w:u w:val="single"/>
            <w:vertAlign w:val="baseline"/>
          </w:rPr>
          <w:t>United States v. Mondragon-Santiago</w:t>
        </w:r>
      </w:hyperlink>
      <w:hyperlink r:id="rId12" w:history="1">
        <w:r>
          <w:rPr>
            <w:rFonts w:ascii="arial" w:eastAsia="arial" w:hAnsi="arial" w:cs="arial"/>
            <w:b w:val="0"/>
            <w:i/>
            <w:strike w:val="0"/>
            <w:noProof w:val="0"/>
            <w:color w:val="0077CC"/>
            <w:position w:val="0"/>
            <w:sz w:val="20"/>
            <w:u w:val="single"/>
            <w:vertAlign w:val="baseline"/>
          </w:rPr>
          <w:t>, 564 F.3d 357, 361 (5th Cir. 2009)</w:t>
        </w:r>
      </w:hyperlink>
      <w:r>
        <w:rPr>
          <w:rFonts w:ascii="arial" w:eastAsia="arial" w:hAnsi="arial" w:cs="arial"/>
          <w:b w:val="0"/>
          <w:i w:val="0"/>
          <w:strike w:val="0"/>
          <w:noProof w:val="0"/>
          <w:color w:val="000000"/>
          <w:position w:val="0"/>
          <w:sz w:val="20"/>
          <w:u w:val="none"/>
          <w:vertAlign w:val="baseline"/>
        </w:rPr>
        <w:t xml:space="preserve">. However, there is no error as the record shows that the district court considered each of the mitigating arguments presented here by Gonzalez, and the district court expressly stated that it had considered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bookmarkStart w:id="18" w:name="Bookmark_I5KFGC7M2SF8RF0040000400"/>
      <w:bookmarkEnd w:id="18"/>
      <w:r>
        <w:rPr>
          <w:rFonts w:ascii="arial" w:eastAsia="arial" w:hAnsi="arial" w:cs="arial"/>
          <w:b w:val="0"/>
          <w:i w:val="0"/>
          <w:strike w:val="0"/>
          <w:noProof w:val="0"/>
          <w:color w:val="000000"/>
          <w:position w:val="0"/>
          <w:sz w:val="20"/>
          <w:u w:val="none"/>
          <w:vertAlign w:val="baseline"/>
        </w:rPr>
        <w:t xml:space="preserve">Gonzalez also renews her argument that her prior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conviction was impermissibly double-counted when it was used both to increase her offense level and her criminal history score. This argument is unavailing. </w:t>
      </w:r>
      <w:r>
        <w:rPr>
          <w:rFonts w:ascii="arial" w:eastAsia="arial" w:hAnsi="arial" w:cs="arial"/>
          <w:b w:val="0"/>
          <w:i/>
          <w:strike w:val="0"/>
          <w:noProof w:val="0"/>
          <w:color w:val="000000"/>
          <w:position w:val="0"/>
          <w:sz w:val="20"/>
          <w:u w:val="none"/>
          <w:vertAlign w:val="baseline"/>
        </w:rPr>
        <w:t xml:space="preserve">See </w:t>
      </w:r>
      <w:bookmarkStart w:id="19" w:name="Bookmark_I5KFGC7M2SF8RF0030000400"/>
      <w:bookmarkEnd w:id="19"/>
      <w:hyperlink r:id="rId13" w:history="1">
        <w:r>
          <w:rPr>
            <w:rFonts w:ascii="arial" w:eastAsia="arial" w:hAnsi="arial" w:cs="arial"/>
            <w:b w:val="0"/>
            <w:i/>
            <w:strike w:val="0"/>
            <w:noProof w:val="0"/>
            <w:color w:val="0077CC"/>
            <w:position w:val="0"/>
            <w:sz w:val="20"/>
            <w:u w:val="single"/>
            <w:vertAlign w:val="baseline"/>
          </w:rPr>
          <w:t>United States v. Duarte</w:t>
        </w:r>
      </w:hyperlink>
      <w:hyperlink r:id="rId13" w:history="1">
        <w:r>
          <w:rPr>
            <w:rFonts w:ascii="arial" w:eastAsia="arial" w:hAnsi="arial" w:cs="arial"/>
            <w:b w:val="0"/>
            <w:i/>
            <w:strike w:val="0"/>
            <w:noProof w:val="0"/>
            <w:color w:val="0077CC"/>
            <w:position w:val="0"/>
            <w:sz w:val="20"/>
            <w:u w:val="single"/>
            <w:vertAlign w:val="baseline"/>
          </w:rPr>
          <w:t>, 569 F.3d 528, 529-31 (5th Cir. 2009)</w:t>
        </w:r>
      </w:hyperlink>
      <w:r>
        <w:rPr>
          <w:rFonts w:ascii="arial" w:eastAsia="arial" w:hAnsi="arial" w:cs="arial"/>
          <w:b w:val="0"/>
          <w:i w:val="0"/>
          <w:strike w:val="0"/>
          <w:noProof w:val="0"/>
          <w:color w:val="000000"/>
          <w:position w:val="0"/>
          <w:sz w:val="20"/>
          <w:u w:val="none"/>
          <w:vertAlign w:val="baseline"/>
        </w:rPr>
        <w:t xml:space="preserve">; </w:t>
      </w:r>
      <w:bookmarkStart w:id="20" w:name="Bookmark_I5KFGC7M2SF8RF0050000400"/>
      <w:bookmarkEnd w:id="20"/>
      <w:hyperlink r:id="rId14" w:history="1">
        <w:r>
          <w:rPr>
            <w:rFonts w:ascii="arial" w:eastAsia="arial" w:hAnsi="arial" w:cs="arial"/>
            <w:b w:val="0"/>
            <w:i/>
            <w:strike w:val="0"/>
            <w:noProof w:val="0"/>
            <w:color w:val="0077CC"/>
            <w:position w:val="0"/>
            <w:sz w:val="20"/>
            <w:u w:val="single"/>
            <w:vertAlign w:val="baseline"/>
          </w:rPr>
          <w:t>United States v. Calbat</w:t>
        </w:r>
      </w:hyperlink>
      <w:hyperlink r:id="rId14" w:history="1">
        <w:r>
          <w:rPr>
            <w:rFonts w:ascii="arial" w:eastAsia="arial" w:hAnsi="arial" w:cs="arial"/>
            <w:b w:val="0"/>
            <w:i/>
            <w:strike w:val="0"/>
            <w:noProof w:val="0"/>
            <w:color w:val="0077CC"/>
            <w:position w:val="0"/>
            <w:sz w:val="20"/>
            <w:u w:val="single"/>
            <w:vertAlign w:val="baseline"/>
          </w:rPr>
          <w:t>, 266 F.3d 358, 364 (5th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6"/>
      <w:bookmarkEnd w:id="21"/>
      <w:bookmarkStart w:id="22" w:name="Bookmark_I5KFGC7M2HM5YD0030000400"/>
      <w:bookmarkEnd w:id="22"/>
      <w:r>
        <w:rPr>
          <w:rFonts w:ascii="arial" w:eastAsia="arial" w:hAnsi="arial" w:cs="arial"/>
          <w:b w:val="0"/>
          <w:i w:val="0"/>
          <w:strike w:val="0"/>
          <w:noProof w:val="0"/>
          <w:color w:val="000000"/>
          <w:position w:val="0"/>
          <w:sz w:val="20"/>
          <w:u w:val="none"/>
          <w:vertAlign w:val="baseline"/>
        </w:rPr>
        <w:t xml:space="preserve">Gonzalez also challenges her sentence as being substantively unreasonable. Her argument in the district court for a lesser sentence did not preserve this issue for review, and we review it only for plain error. </w:t>
      </w:r>
      <w:bookmarkStart w:id="23" w:name="Bookmark_I5KFGC7M2HM5YF0020000400"/>
      <w:bookmarkEnd w:id="23"/>
      <w:r>
        <w:rPr>
          <w:rFonts w:ascii="arial" w:eastAsia="arial" w:hAnsi="arial" w:cs="arial"/>
          <w:b w:val="0"/>
          <w:i/>
          <w:strike w:val="0"/>
          <w:noProof w:val="0"/>
          <w:color w:val="000000"/>
          <w:position w:val="0"/>
          <w:sz w:val="20"/>
          <w:u w:val="none"/>
          <w:vertAlign w:val="baseline"/>
        </w:rPr>
        <w:t xml:space="preserve">See </w:t>
      </w:r>
      <w:bookmarkStart w:id="24" w:name="Bookmark_I5KFGC7M2HM5YD0020000400"/>
      <w:bookmarkEnd w:id="24"/>
      <w:hyperlink r:id="rId15" w:history="1">
        <w:r>
          <w:rPr>
            <w:rFonts w:ascii="arial" w:eastAsia="arial" w:hAnsi="arial" w:cs="arial"/>
            <w:b w:val="0"/>
            <w:i/>
            <w:strike w:val="0"/>
            <w:noProof w:val="0"/>
            <w:color w:val="0077CC"/>
            <w:position w:val="0"/>
            <w:sz w:val="20"/>
            <w:u w:val="single"/>
            <w:vertAlign w:val="baseline"/>
          </w:rPr>
          <w:t>United States v. Heard</w:t>
        </w:r>
      </w:hyperlink>
      <w:hyperlink r:id="rId15" w:history="1">
        <w:r>
          <w:rPr>
            <w:rFonts w:ascii="arial" w:eastAsia="arial" w:hAnsi="arial" w:cs="arial"/>
            <w:b w:val="0"/>
            <w:i/>
            <w:strike w:val="0"/>
            <w:noProof w:val="0"/>
            <w:color w:val="0077CC"/>
            <w:position w:val="0"/>
            <w:sz w:val="20"/>
            <w:u w:val="single"/>
            <w:vertAlign w:val="baseline"/>
          </w:rPr>
          <w:t>, 709 F.3d 413, 425 (5th Cir. 2013)</w:t>
        </w:r>
      </w:hyperlink>
      <w:r>
        <w:rPr>
          <w:rFonts w:ascii="arial" w:eastAsia="arial" w:hAnsi="arial" w:cs="arial"/>
          <w:b w:val="0"/>
          <w:i w:val="0"/>
          <w:strike w:val="0"/>
          <w:noProof w:val="0"/>
          <w:color w:val="000000"/>
          <w:position w:val="0"/>
          <w:sz w:val="20"/>
          <w:u w:val="none"/>
          <w:vertAlign w:val="baseline"/>
        </w:rPr>
        <w:t xml:space="preserve">; </w:t>
      </w:r>
      <w:bookmarkStart w:id="25" w:name="Bookmark_I5KFGC7M2HM5YD0040000400"/>
      <w:bookmarkEnd w:id="25"/>
      <w:hyperlink r:id="rId16" w:history="1">
        <w:r>
          <w:rPr>
            <w:rFonts w:ascii="arial" w:eastAsia="arial" w:hAnsi="arial" w:cs="arial"/>
            <w:b w:val="0"/>
            <w:i/>
            <w:strike w:val="0"/>
            <w:noProof w:val="0"/>
            <w:color w:val="0077CC"/>
            <w:position w:val="0"/>
            <w:sz w:val="20"/>
            <w:u w:val="single"/>
            <w:vertAlign w:val="baseline"/>
          </w:rPr>
          <w:t>United States v. Peltier</w:t>
        </w:r>
      </w:hyperlink>
      <w:hyperlink r:id="rId16" w:history="1">
        <w:r>
          <w:rPr>
            <w:rFonts w:ascii="arial" w:eastAsia="arial" w:hAnsi="arial" w:cs="arial"/>
            <w:b w:val="0"/>
            <w:i/>
            <w:strike w:val="0"/>
            <w:noProof w:val="0"/>
            <w:color w:val="0077CC"/>
            <w:position w:val="0"/>
            <w:sz w:val="20"/>
            <w:u w:val="single"/>
            <w:vertAlign w:val="baseline"/>
          </w:rPr>
          <w:t>, 505 F.3d 389, 391-92 (5th Cir. 2007)</w:t>
        </w:r>
      </w:hyperlink>
      <w:r>
        <w:rPr>
          <w:rFonts w:ascii="arial" w:eastAsia="arial" w:hAnsi="arial" w:cs="arial"/>
          <w:b w:val="0"/>
          <w:i w:val="0"/>
          <w:strike w:val="0"/>
          <w:noProof w:val="0"/>
          <w:color w:val="000000"/>
          <w:position w:val="0"/>
          <w:sz w:val="20"/>
          <w:u w:val="none"/>
          <w:vertAlign w:val="baseline"/>
        </w:rPr>
        <w:t xml:space="preserve">. </w:t>
      </w:r>
      <w:bookmarkStart w:id="26" w:name="Bookmark_I5KFGC7M2HM5YF0020000400_2"/>
      <w:bookmarkEnd w:id="26"/>
      <w:r>
        <w:rPr>
          <w:rFonts w:ascii="arial" w:eastAsia="arial" w:hAnsi="arial" w:cs="arial"/>
          <w:b w:val="0"/>
          <w:i w:val="0"/>
          <w:strike w:val="0"/>
          <w:noProof w:val="0"/>
          <w:color w:val="000000"/>
          <w:position w:val="0"/>
          <w:sz w:val="20"/>
          <w:u w:val="none"/>
          <w:vertAlign w:val="baseline"/>
        </w:rPr>
        <w:t xml:space="preserve">Gonzalez contends that her 18-month sentence is excessive because (1) the certainty of punishment, rather than the length of imprisonment, is the most important deterrent factor; (2) her low criminal history category, her gender, and her age all make her less likely to recidivate; (3) she has no violent history and there is thus no need to protect the community </w:t>
      </w:r>
      <w:r>
        <w:rPr>
          <w:rFonts w:ascii="arial" w:eastAsia="arial" w:hAnsi="arial" w:cs="arial"/>
          <w:b/>
          <w:i w:val="0"/>
          <w:strike w:val="0"/>
          <w:noProof w:val="0"/>
          <w:color w:val="000000"/>
          <w:position w:val="0"/>
          <w:sz w:val="20"/>
          <w:u w:val="none"/>
          <w:vertAlign w:val="baseline"/>
        </w:rPr>
        <w:t> [*326] </w:t>
      </w:r>
      <w:r>
        <w:rPr>
          <w:rFonts w:ascii="arial" w:eastAsia="arial" w:hAnsi="arial" w:cs="arial"/>
          <w:b w:val="0"/>
          <w:i w:val="0"/>
          <w:strike w:val="0"/>
          <w:noProof w:val="0"/>
          <w:color w:val="000000"/>
          <w:position w:val="0"/>
          <w:sz w:val="20"/>
          <w:u w:val="none"/>
          <w:vertAlign w:val="baseline"/>
        </w:rPr>
        <w:t xml:space="preserve"> from her. Gonzalez's arguments amount to a mere disagreement with the sentence found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by the district court to be appropriate. </w:t>
      </w:r>
      <w:bookmarkStart w:id="27" w:name="Bookmark_I5KFGC7M2HM5YF0040000400"/>
      <w:bookmarkEnd w:id="27"/>
      <w:r>
        <w:rPr>
          <w:rFonts w:ascii="arial" w:eastAsia="arial" w:hAnsi="arial" w:cs="arial"/>
          <w:b w:val="0"/>
          <w:i/>
          <w:strike w:val="0"/>
          <w:noProof w:val="0"/>
          <w:color w:val="000000"/>
          <w:position w:val="0"/>
          <w:sz w:val="20"/>
          <w:u w:val="none"/>
          <w:vertAlign w:val="baseline"/>
        </w:rPr>
        <w:t xml:space="preserve">See </w:t>
      </w:r>
      <w:bookmarkStart w:id="28" w:name="Bookmark_I5KFGC7M2HM5YF0010000400"/>
      <w:bookmarkEnd w:id="28"/>
      <w:hyperlink r:id="rId17" w:history="1">
        <w:r>
          <w:rPr>
            <w:rFonts w:ascii="arial" w:eastAsia="arial" w:hAnsi="arial" w:cs="arial"/>
            <w:b w:val="0"/>
            <w:i/>
            <w:strike w:val="0"/>
            <w:noProof w:val="0"/>
            <w:color w:val="0077CC"/>
            <w:position w:val="0"/>
            <w:sz w:val="20"/>
            <w:u w:val="single"/>
            <w:vertAlign w:val="baseline"/>
          </w:rPr>
          <w:t>United States v. Ruiz</w:t>
        </w:r>
      </w:hyperlink>
      <w:hyperlink r:id="rId17" w:history="1">
        <w:r>
          <w:rPr>
            <w:rFonts w:ascii="arial" w:eastAsia="arial" w:hAnsi="arial" w:cs="arial"/>
            <w:b w:val="0"/>
            <w:i/>
            <w:strike w:val="0"/>
            <w:noProof w:val="0"/>
            <w:color w:val="0077CC"/>
            <w:position w:val="0"/>
            <w:sz w:val="20"/>
            <w:u w:val="single"/>
            <w:vertAlign w:val="baseline"/>
          </w:rPr>
          <w:t>, 621 F.3d 390, 398 (5th Cir. 2010)</w:t>
        </w:r>
      </w:hyperlink>
      <w:r>
        <w:rPr>
          <w:rFonts w:ascii="arial" w:eastAsia="arial" w:hAnsi="arial" w:cs="arial"/>
          <w:b w:val="0"/>
          <w:i w:val="0"/>
          <w:strike w:val="0"/>
          <w:noProof w:val="0"/>
          <w:color w:val="000000"/>
          <w:position w:val="0"/>
          <w:sz w:val="20"/>
          <w:u w:val="none"/>
          <w:vertAlign w:val="baseline"/>
        </w:rPr>
        <w:t xml:space="preserve">. </w:t>
      </w:r>
      <w:bookmarkStart w:id="29" w:name="Bookmark_I5KFGC7M2HM5YF0040000400_2"/>
      <w:bookmarkEnd w:id="29"/>
      <w:r>
        <w:rPr>
          <w:rFonts w:ascii="arial" w:eastAsia="arial" w:hAnsi="arial" w:cs="arial"/>
          <w:b w:val="0"/>
          <w:i w:val="0"/>
          <w:strike w:val="0"/>
          <w:noProof w:val="0"/>
          <w:color w:val="000000"/>
          <w:position w:val="0"/>
          <w:sz w:val="20"/>
          <w:u w:val="none"/>
          <w:vertAlign w:val="baseline"/>
        </w:rPr>
        <w:t xml:space="preserve">However, Gonzalez's within-guidelines sentence is afforded a presumption of reasonableness that she has failed to rebut. </w:t>
      </w:r>
      <w:r>
        <w:rPr>
          <w:rFonts w:ascii="arial" w:eastAsia="arial" w:hAnsi="arial" w:cs="arial"/>
          <w:b w:val="0"/>
          <w:i/>
          <w:strike w:val="0"/>
          <w:noProof w:val="0"/>
          <w:color w:val="000000"/>
          <w:position w:val="0"/>
          <w:sz w:val="20"/>
          <w:u w:val="none"/>
          <w:vertAlign w:val="baseline"/>
        </w:rPr>
        <w:t xml:space="preserve">See </w:t>
      </w:r>
      <w:bookmarkStart w:id="30" w:name="Bookmark_I5KFGC7M2HM5YF0030000400"/>
      <w:bookmarkEnd w:id="30"/>
      <w:hyperlink r:id="rId18" w:history="1">
        <w:r>
          <w:rPr>
            <w:rFonts w:ascii="arial" w:eastAsia="arial" w:hAnsi="arial" w:cs="arial"/>
            <w:b w:val="0"/>
            <w:i/>
            <w:strike w:val="0"/>
            <w:noProof w:val="0"/>
            <w:color w:val="0077CC"/>
            <w:position w:val="0"/>
            <w:sz w:val="20"/>
            <w:u w:val="single"/>
            <w:vertAlign w:val="baseline"/>
          </w:rPr>
          <w:t>United States v. Cooks</w:t>
        </w:r>
      </w:hyperlink>
      <w:hyperlink r:id="rId18" w:history="1">
        <w:r>
          <w:rPr>
            <w:rFonts w:ascii="arial" w:eastAsia="arial" w:hAnsi="arial" w:cs="arial"/>
            <w:b w:val="0"/>
            <w:i/>
            <w:strike w:val="0"/>
            <w:noProof w:val="0"/>
            <w:color w:val="0077CC"/>
            <w:position w:val="0"/>
            <w:sz w:val="20"/>
            <w:u w:val="single"/>
            <w:vertAlign w:val="baseline"/>
          </w:rPr>
          <w:t>, 589 F.3d 173, 186 (5th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7"/>
      <w:bookmarkEnd w:id="31"/>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Gonzalez, 657 Fed. Appx. 324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MR4-4G61-F04F-C168-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cases&amp;id=urn:contentItem:4VXV-M2X0-TXFX-73DN-00000-00&amp;context=1519360" TargetMode="External" /><Relationship Id="rId13" Type="http://schemas.openxmlformats.org/officeDocument/2006/relationships/hyperlink" Target="https://advance.lexis.com/api/document?collection=cases&amp;id=urn:contentItem:4WF5-M8H0-TXFX-71W4-00000-00&amp;context=1519360" TargetMode="External" /><Relationship Id="rId14" Type="http://schemas.openxmlformats.org/officeDocument/2006/relationships/hyperlink" Target="https://advance.lexis.com/api/document?collection=cases&amp;id=urn:contentItem:441G-J4X0-0038-X20Y-00000-00&amp;context=1519360" TargetMode="External" /><Relationship Id="rId15" Type="http://schemas.openxmlformats.org/officeDocument/2006/relationships/hyperlink" Target="https://advance.lexis.com/api/document?collection=cases&amp;id=urn:contentItem:57SR-MK51-F04K-N0M6-00000-00&amp;context=1519360" TargetMode="External" /><Relationship Id="rId16" Type="http://schemas.openxmlformats.org/officeDocument/2006/relationships/hyperlink" Target="https://advance.lexis.com/api/document?collection=cases&amp;id=urn:contentItem:4PYY-TG20-TXFX-72Y1-00000-00&amp;context=1519360" TargetMode="External" /><Relationship Id="rId17" Type="http://schemas.openxmlformats.org/officeDocument/2006/relationships/hyperlink" Target="https://advance.lexis.com/api/document?collection=cases&amp;id=urn:contentItem:5144-M1T1-652R-3005-00000-00&amp;context=1519360" TargetMode="External" /><Relationship Id="rId18" Type="http://schemas.openxmlformats.org/officeDocument/2006/relationships/hyperlink" Target="https://advance.lexis.com/api/document?collection=cases&amp;id=urn:contentItem:7X5F-63B0-YB0V-H02C-00000-00&amp;context=1519360" TargetMode="External" /><Relationship Id="rId19" Type="http://schemas.openxmlformats.org/officeDocument/2006/relationships/theme" Target="theme/theme1.xml" /><Relationship Id="rId2" Type="http://schemas.openxmlformats.org/officeDocument/2006/relationships/settings" Target="settings.xml" /><Relationship Id="rId20"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K86-N7R1-F04K-N1R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Gonzalez, 657 Fed. Appx. 324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Doc::urn:hlct:5|contextualFeaturePermID::1519360</vt:lpwstr>
  </property>
  <property fmtid="{D5CDD505-2E9C-101B-9397-08002B2CF9AE}" pid="5" name="UserPermID">
    <vt:lpwstr>urn:user:PA186186298</vt:lpwstr>
  </property>
</Properties>
</file>