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Santana-German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Mcallen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2017, Decided; January 11, 2017,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7:14-CV-952; CRIM. ACTION NO. 7:13-CR-608-1</w:t>
      </w:r>
    </w:p>
    <w:p>
      <w:pPr>
        <w:keepNext w:val="0"/>
        <w:spacing w:after="0" w:line="240" w:lineRule="atLeast"/>
        <w:ind w:right="0"/>
        <w:jc w:val="both"/>
      </w:pPr>
      <w:bookmarkStart w:id="0" w:name="Bookmark_10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2017 U.S. Dist. LEXIS 61617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SANTOS MANUEL SANTANA-GERMAN VS. UNITED STATES OF AMERICA</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granted by, Post-conviction relief dismissed at, Certificate of appealability denied </w:t>
      </w:r>
      <w:hyperlink r:id="rId10" w:history="1">
        <w:r>
          <w:rPr>
            <w:rFonts w:ascii="arial" w:eastAsia="arial" w:hAnsi="arial" w:cs="arial"/>
            <w:b w:val="0"/>
            <w:i/>
            <w:strike w:val="0"/>
            <w:noProof w:val="0"/>
            <w:color w:val="0077CC"/>
            <w:position w:val="0"/>
            <w:sz w:val="20"/>
            <w:u w:val="single"/>
            <w:vertAlign w:val="baseline"/>
          </w:rPr>
          <w:t>German v. United States, 2017 U.S. Dist. LEXIS 60838 (S.D. Tex., Apr. 20,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Movant, sentence, district court, indictment, supervised release, contends, alleges, guilty plea, recommended, defense counsel, calculated, departure, downward, entitled to relief, prior conviction, deported, notice, imprisonment, ineffective, enhancement, trafficking, effective assistance of counsel, deficient performance, element of an offense, certificate, convicted, reduction, charges, jurists, reasons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Santo Manuel Santana German, Plaintiff, Pro se, Dorchester, MA.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United States of America, Defendant: James L Turner, LEAD ATTORNEY, US Attorneys Office, Houston, TX; Sonah Lee, United States Attorney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Peter E. Ormsby,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 E. Ormsby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Movant Santos Manuel Santana-German, a federal prisoner proceeding pro se, initiated this action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by filing a Motion to Vacate, Set Aside, or Correct Sentence. (Docket No. 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has also filed an Amended Brief in Support of 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(Docket No. 3.) Movant was sentenced to 24 months' imprisonment after pleading guilty to charges of illegal reentry following deportation. Although Movant's sentence took into account his prior felony drug conviction, his sentence was drastically reduced as a result of a downward departure granted by the Court at the urging of Movant's counsel. Movant now contends that he is entitled to relief because his indictment was defective and his sentence was calculated incorrectly. Movant alleges further that he was denied effective assistance of counsel in connection with his guilty plea and sentencing. Respondent United States has filed 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Response and Motion to Dismiss, arguing that Movant's claims are without merit. (Docket No. 9.) Movant has not filed a response.</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After carefully considering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the record of Movant's criminal case, and the applicable law, the undersigned concludes that Respondent's Motion to Dismiss should be granted and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should be denied. Movant fails to show that his indictment was defective or that his sentence was calculated in error. Movant's ineffective assistance claims are likewise meritless, if not frivolous. The record shows that Movant was well-represented by counsel and that he benefitted from counsel's diligent efforts. For the reasons explained further below, it is recommended that the District Court deny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dismiss this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Underlying Criminal Charge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On March 29, 2013, agents with United States Customs and Border Protection ("CBP") encountered Movant near Abram, Texas. When questioned about his citizenship, Movant admitted that he was a citizen of the Dominican Republic who had entered the United States illegally by wading across the Rio Grande River near the Hidalgo, Texas, Port of Entry on that same date.</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 criminal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records check revealed that Movant was previously convicted on December 21, 2000, in Bristol County Commonwealth of Massachusetts Superior Court, of trafficking a controlled substance in cause numbers 73CR0019A and 73CR0019B. Movant received concurrent sentences of seven years' imprisonment for each of these drug trafficking offenses. On July 12, 2006, Movant was deported. Subsequently, on December 9, 2010, Movant was convicted of illegal reentry into the United States in the District Court for the District of Puerto Rico in Criminal No. 10-CR-216. He received a sentence of 30 months' imprisonment in that case, followed by a three-year term of supervised release. Movant was deported again on August 16, 2012. Movant was still on supervised release when he was apprehended by CBP agents on March 29, 2013.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Criminal Proceedings</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On April 16, 2013, a grand jury returned an indictment charging Movant with illegal reentry following deportation. (Cr. Docket No. 7.) On June 28, 2013, Movant entered a guilty plea to that indictment pursuant to a written plea agreement. (Cr. Docket No 16.) After accepting Movant's guilty plea, the District Court ordered the Probation Office to prepare a Presentence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Investigation Report ("PSR").</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The PSR calculated Movant's base offense level at eight, but recommended a 16-level increase because Movant had a prior drug trafficking conviction. (Cr. Docket No. 18, ¶¶ 17-19.) This raised his adjusted offense level to 24. With a reduction of two-levels for acceptance of responsibility, Movant's total offense level was calculated at 22. Because Movant had a criminal record and committed the instant offense while on supervised release, he was assessed eight criminal history points, which placed him in criminal history category level IV. Based on this calculation, Movant's recommended range of imprisonment under the United States Sentencing Guidelines was 63 to 78 months.</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Defense counsel objected to the 16-level enhancement recommended by the PSR, arguing that Movant's state court conviction in cause number 79CR0019A did not constitute a drug trafficking offense. (Cr. Docket No. 17.) Defense counsel also sought full credit for acceptance of responsibility and requested downward departures based on Movant's family ties to the United States and excessiveness of the 16-level enhancement, reasoning that Movant's criminal history was overstated.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At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sentencing hearing held on December 20, 2013, the District Court found that Movant violated the terms of supervised release previously imposed by the District Court of Puerto Rico by committing a new illegal-reentry offense. (Cr. Docket No. 40, p. 9.) The District Court denied defense counsel's objections to the 16-level enhancement assessed in the PSR, but agreed that a downward departure was warranted because the recommended range of imprisonment was excessive.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23-24, 33.) After considering all of the evidence and the sentencing factors found at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the District Court sentenced Movant to 24 months' imprisonment, which was far lower than the lowest end of the Guidelines range as calculated by the PSR (63 months to 78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34.) The District Court also revoked Movant's supervised release from his previous federal conviction and sentenced him to serve a concurrent term of 6 months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Movant did not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Movant's Allegations and the Government's Response</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Movant has filed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a brief in support. (Docket Nos. 1 and 3.) Movant contends that his conviction violates the right to due process because the indictment did not adequately allege all elements of the offense, including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element of "recidivism." (Docket No. 3, at p. 5.) Movant contends further that his sentence was calculated incorrectly because the District Court failed to consider the circumstances of his prior convictions, which were "unconstitutionally obtained."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 In addition, Movant contends that the District Court erred by imposing a term of supervised release, which was not warranted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5.) Finally, Movant contends that he is entitled to relief because he was denied effective assistance of counsel in connection with his guilty plea and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4-5; Docket No. 1, at p. 4.)</w:t>
      </w:r>
    </w:p>
    <w:p>
      <w:pPr>
        <w:keepNext w:val="0"/>
        <w:spacing w:before="24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Focusing on the allegations of ineffective-assistance, Respondent United States argues that Movant is not entitled to relief on any of his claims. (Docket No. 9.) The parties' contentions are addressed below under the standard of review for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20" w:name="Bookmark_para_11"/>
      <w:bookmarkEnd w:id="20"/>
      <w:bookmarkStart w:id="21" w:name="Bookmark_I5NK5WCN2N1RVN0020000400"/>
      <w:bookmarkEnd w:id="21"/>
      <w:bookmarkStart w:id="22" w:name="Bookmark_I5NK5WCN2N1RVN0040000400"/>
      <w:bookmarkEnd w:id="22"/>
      <w:r>
        <w:rPr>
          <w:rFonts w:ascii="arial" w:eastAsia="arial" w:hAnsi="arial" w:cs="arial"/>
          <w:b w:val="0"/>
          <w:i w:val="0"/>
          <w:strike w:val="0"/>
          <w:noProof w:val="0"/>
          <w:color w:val="000000"/>
          <w:position w:val="0"/>
          <w:sz w:val="20"/>
          <w:u w:val="none"/>
          <w:vertAlign w:val="baseline"/>
        </w:rPr>
        <w:t xml:space="preserve">To obtain collateral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petitioner "must clear a significantly higher hurdle" than the plain error standard that would apply on direct appeal. </w:t>
      </w:r>
      <w:bookmarkStart w:id="23" w:name="Bookmark_I5NK5WCN2SF8PS0030000400"/>
      <w:bookmarkEnd w:id="23"/>
      <w:bookmarkStart w:id="24" w:name="Bookmark_I5NK5WCN2N1RVN0010000400"/>
      <w:bookmarkEnd w:id="24"/>
      <w:hyperlink r:id="rId13" w:history="1">
        <w:r>
          <w:rPr>
            <w:rFonts w:ascii="arial" w:eastAsia="arial" w:hAnsi="arial" w:cs="arial"/>
            <w:b w:val="0"/>
            <w:i/>
            <w:strike w:val="0"/>
            <w:noProof w:val="0"/>
            <w:color w:val="0077CC"/>
            <w:position w:val="0"/>
            <w:sz w:val="20"/>
            <w:u w:val="single"/>
            <w:vertAlign w:val="baseline"/>
          </w:rPr>
          <w:t>United States v. Frady</w:t>
        </w:r>
      </w:hyperlink>
      <w:hyperlink r:id="rId13" w:history="1">
        <w:r>
          <w:rPr>
            <w:rFonts w:ascii="arial" w:eastAsia="arial" w:hAnsi="arial" w:cs="arial"/>
            <w:b w:val="0"/>
            <w:i/>
            <w:strike w:val="0"/>
            <w:noProof w:val="0"/>
            <w:color w:val="0077CC"/>
            <w:position w:val="0"/>
            <w:sz w:val="20"/>
            <w:u w:val="single"/>
            <w:vertAlign w:val="baseline"/>
          </w:rPr>
          <w:t>,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w:t>
      </w:r>
      <w:bookmarkStart w:id="25" w:name="Bookmark_I5NK5WCN2SF8PS0050000400"/>
      <w:bookmarkEnd w:id="25"/>
      <w:r>
        <w:rPr>
          <w:rFonts w:ascii="arial" w:eastAsia="arial" w:hAnsi="arial" w:cs="arial"/>
          <w:b w:val="0"/>
          <w:i w:val="0"/>
          <w:strike w:val="0"/>
          <w:noProof w:val="0"/>
          <w:color w:val="000000"/>
          <w:position w:val="0"/>
          <w:sz w:val="20"/>
          <w:u w:val="none"/>
          <w:vertAlign w:val="baseline"/>
        </w:rPr>
        <w:t xml:space="preserve">"Following a conviction and exhaustion or waiver of direct appeal, [courts] presume a defendant stands fairly and finally convicted." </w:t>
      </w:r>
      <w:bookmarkStart w:id="26" w:name="Bookmark_I5NK5WCN2N1RVN0030000400"/>
      <w:bookmarkEnd w:id="26"/>
      <w:hyperlink r:id="rId14" w:history="1">
        <w:r>
          <w:rPr>
            <w:rFonts w:ascii="arial" w:eastAsia="arial" w:hAnsi="arial" w:cs="arial"/>
            <w:b w:val="0"/>
            <w:i/>
            <w:strike w:val="0"/>
            <w:noProof w:val="0"/>
            <w:color w:val="0077CC"/>
            <w:position w:val="0"/>
            <w:sz w:val="20"/>
            <w:u w:val="single"/>
            <w:vertAlign w:val="baseline"/>
          </w:rPr>
          <w:t>United States v. Cervantes</w:t>
        </w:r>
      </w:hyperlink>
      <w:hyperlink r:id="rId14" w:history="1">
        <w:r>
          <w:rPr>
            <w:rFonts w:ascii="arial" w:eastAsia="arial" w:hAnsi="arial" w:cs="arial"/>
            <w:b w:val="0"/>
            <w:i/>
            <w:strike w:val="0"/>
            <w:noProof w:val="0"/>
            <w:color w:val="0077CC"/>
            <w:position w:val="0"/>
            <w:sz w:val="20"/>
            <w:u w:val="single"/>
            <w:vertAlign w:val="baseline"/>
          </w:rPr>
          <w:t>, 132 F.3d 1106, 1109 (5th Cir. 1998)</w:t>
        </w:r>
      </w:hyperlink>
      <w:r>
        <w:rPr>
          <w:rFonts w:ascii="arial" w:eastAsia="arial" w:hAnsi="arial" w:cs="arial"/>
          <w:b w:val="0"/>
          <w:i w:val="0"/>
          <w:strike w:val="0"/>
          <w:noProof w:val="0"/>
          <w:color w:val="000000"/>
          <w:position w:val="0"/>
          <w:sz w:val="20"/>
          <w:u w:val="none"/>
          <w:vertAlign w:val="baseline"/>
        </w:rPr>
        <w:t xml:space="preserve"> (citing </w:t>
      </w:r>
      <w:bookmarkStart w:id="27" w:name="Bookmark_I5NK5WCN2N1RVN0050000400"/>
      <w:bookmarkEnd w:id="27"/>
      <w:hyperlink r:id="rId15" w:history="1">
        <w:r>
          <w:rPr>
            <w:rFonts w:ascii="arial" w:eastAsia="arial" w:hAnsi="arial" w:cs="arial"/>
            <w:b w:val="0"/>
            <w:i/>
            <w:strike w:val="0"/>
            <w:noProof w:val="0"/>
            <w:color w:val="0077CC"/>
            <w:position w:val="0"/>
            <w:sz w:val="20"/>
            <w:u w:val="single"/>
            <w:vertAlign w:val="baseline"/>
          </w:rPr>
          <w:t>United States v. Shaid</w:t>
        </w:r>
      </w:hyperlink>
      <w:hyperlink r:id="rId15" w:history="1">
        <w:r>
          <w:rPr>
            <w:rFonts w:ascii="arial" w:eastAsia="arial" w:hAnsi="arial" w:cs="arial"/>
            <w:b w:val="0"/>
            <w:i/>
            <w:strike w:val="0"/>
            <w:noProof w:val="0"/>
            <w:color w:val="0077CC"/>
            <w:position w:val="0"/>
            <w:sz w:val="20"/>
            <w:u w:val="single"/>
            <w:vertAlign w:val="baseline"/>
          </w:rPr>
          <w:t>, 937 F.2d 228, 231-32 (5th Cir. 1991))</w:t>
        </w:r>
      </w:hyperlink>
      <w:r>
        <w:rPr>
          <w:rFonts w:ascii="arial" w:eastAsia="arial" w:hAnsi="arial" w:cs="arial"/>
          <w:b w:val="0"/>
          <w:i w:val="0"/>
          <w:strike w:val="0"/>
          <w:noProof w:val="0"/>
          <w:color w:val="000000"/>
          <w:position w:val="0"/>
          <w:sz w:val="20"/>
          <w:u w:val="none"/>
          <w:vertAlign w:val="baseline"/>
        </w:rPr>
        <w:t xml:space="preserve">. </w:t>
      </w:r>
      <w:bookmarkStart w:id="28" w:name="Bookmark_I5NK5WCN2SF8PS0050000400_2"/>
      <w:bookmarkEnd w:id="28"/>
      <w:bookmarkStart w:id="29" w:name="Bookmark_I5NK5WCN2SF8PS0030000400_2"/>
      <w:bookmarkEnd w:id="29"/>
      <w:bookmarkStart w:id="30" w:name="Bookmark_I5NK5WCN2SF8PV0020000400"/>
      <w:bookmarkEnd w:id="30"/>
      <w:r>
        <w:rPr>
          <w:rFonts w:ascii="arial" w:eastAsia="arial" w:hAnsi="arial" w:cs="arial"/>
          <w:b w:val="0"/>
          <w:i w:val="0"/>
          <w:strike w:val="0"/>
          <w:noProof w:val="0"/>
          <w:color w:val="000000"/>
          <w:position w:val="0"/>
          <w:sz w:val="20"/>
          <w:u w:val="none"/>
          <w:vertAlign w:val="baseline"/>
        </w:rPr>
        <w:t>"As a result, review of convictions under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ordinarily is limited to questions of constitutional or jurisdictional magnitude, which may not be raised for the first time on collateral review without a showing of cause and prejudice." </w:t>
      </w:r>
      <w:bookmarkStart w:id="31" w:name="Bookmark_I5NK5WCN2SF8PS0020000400"/>
      <w:bookmarkEnd w:id="31"/>
      <w:hyperlink r:id="rId14" w:history="1">
        <w:r>
          <w:rPr>
            <w:rFonts w:ascii="arial" w:eastAsia="arial" w:hAnsi="arial" w:cs="arial"/>
            <w:b w:val="0"/>
            <w:i/>
            <w:strike w:val="0"/>
            <w:noProof w:val="0"/>
            <w:color w:val="0077CC"/>
            <w:position w:val="0"/>
            <w:sz w:val="20"/>
            <w:u w:val="single"/>
            <w:vertAlign w:val="baseline"/>
          </w:rPr>
          <w:t>Cervantes</w:t>
        </w:r>
      </w:hyperlink>
      <w:hyperlink r:id="rId14" w:history="1">
        <w:r>
          <w:rPr>
            <w:rFonts w:ascii="arial" w:eastAsia="arial" w:hAnsi="arial" w:cs="arial"/>
            <w:b w:val="0"/>
            <w:i/>
            <w:strike w:val="0"/>
            <w:noProof w:val="0"/>
            <w:color w:val="0077CC"/>
            <w:position w:val="0"/>
            <w:sz w:val="20"/>
            <w:u w:val="single"/>
            <w:vertAlign w:val="baseline"/>
          </w:rPr>
          <w:t>, 132 F.3d at 1109</w:t>
        </w:r>
      </w:hyperlink>
      <w:r>
        <w:rPr>
          <w:rFonts w:ascii="arial" w:eastAsia="arial" w:hAnsi="arial" w:cs="arial"/>
          <w:b w:val="0"/>
          <w:i w:val="0"/>
          <w:strike w:val="0"/>
          <w:noProof w:val="0"/>
          <w:color w:val="000000"/>
          <w:position w:val="0"/>
          <w:sz w:val="20"/>
          <w:u w:val="none"/>
          <w:vertAlign w:val="baseline"/>
        </w:rPr>
        <w:t xml:space="preserve">. </w:t>
      </w:r>
      <w:bookmarkStart w:id="32" w:name="Bookmark_I5NK5WCN2SF8PV0020000400_2"/>
      <w:bookmarkEnd w:id="32"/>
      <w:r>
        <w:rPr>
          <w:rFonts w:ascii="arial" w:eastAsia="arial" w:hAnsi="arial" w:cs="arial"/>
          <w:b w:val="0"/>
          <w:i w:val="0"/>
          <w:strike w:val="0"/>
          <w:noProof w:val="0"/>
          <w:color w:val="000000"/>
          <w:position w:val="0"/>
          <w:sz w:val="20"/>
          <w:u w:val="none"/>
          <w:vertAlign w:val="baseline"/>
        </w:rPr>
        <w:t xml:space="preserve">Stated another way,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a narrow range of injuries that could not have been raised on direct appeal and would, if condoned, result in a complete miscarriage of justice." </w:t>
      </w:r>
      <w:bookmarkStart w:id="33" w:name="Bookmark_I5NK5WCN2SF8PS0040000400"/>
      <w:bookmarkEnd w:id="33"/>
      <w:hyperlink r:id="rId16" w:history="1">
        <w:r>
          <w:rPr>
            <w:rFonts w:ascii="arial" w:eastAsia="arial" w:hAnsi="arial" w:cs="arial"/>
            <w:b w:val="0"/>
            <w:i/>
            <w:strike w:val="0"/>
            <w:noProof w:val="0"/>
            <w:color w:val="0077CC"/>
            <w:position w:val="0"/>
            <w:sz w:val="20"/>
            <w:u w:val="single"/>
            <w:vertAlign w:val="baseline"/>
          </w:rPr>
          <w:t>United States v. Vaughn</w:t>
        </w:r>
      </w:hyperlink>
      <w:hyperlink r:id="rId16" w:history="1">
        <w:r>
          <w:rPr>
            <w:rFonts w:ascii="arial" w:eastAsia="arial" w:hAnsi="arial" w:cs="arial"/>
            <w:b w:val="0"/>
            <w:i/>
            <w:strike w:val="0"/>
            <w:noProof w:val="0"/>
            <w:color w:val="0077CC"/>
            <w:position w:val="0"/>
            <w:sz w:val="20"/>
            <w:u w:val="single"/>
            <w:vertAlign w:val="baseline"/>
          </w:rPr>
          <w:t>, 955 F.2d 367, 368 (5th Cir. 1992)</w:t>
        </w:r>
      </w:hyperlink>
      <w:r>
        <w:rPr>
          <w:rFonts w:ascii="arial" w:eastAsia="arial" w:hAnsi="arial" w:cs="arial"/>
          <w:b w:val="0"/>
          <w:i w:val="0"/>
          <w:strike w:val="0"/>
          <w:noProof w:val="0"/>
          <w:color w:val="000000"/>
          <w:position w:val="0"/>
          <w:sz w:val="20"/>
          <w:u w:val="none"/>
          <w:vertAlign w:val="baseline"/>
        </w:rPr>
        <w:t xml:space="preserve">. </w:t>
      </w:r>
      <w:bookmarkStart w:id="34" w:name="Bookmark_I5NK5WCN2SF8PV0020000400_3"/>
      <w:bookmarkEnd w:id="34"/>
      <w:r>
        <w:rPr>
          <w:rFonts w:ascii="arial" w:eastAsia="arial" w:hAnsi="arial" w:cs="arial"/>
          <w:b w:val="0"/>
          <w:i w:val="0"/>
          <w:strike w:val="0"/>
          <w:noProof w:val="0"/>
          <w:color w:val="000000"/>
          <w:position w:val="0"/>
          <w:sz w:val="20"/>
          <w:u w:val="none"/>
          <w:vertAlign w:val="baseline"/>
        </w:rPr>
        <w:t xml:space="preserve">Subject to these constraints, there are only four limited grounds upon which a federal prisoner may move to vacate, set aside, or correct his sentence: (1) constitutional issues; (2) challenges to the District Court's jurisdiction to impose the sentence; (3) challenges to the length of a sentence in excess of the statutory maximum; and (4) claims that the sentence is otherwise subject to collateral attack. </w:t>
      </w:r>
      <w:hyperlink r:id="rId11"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35" w:name="Bookmark_I5NK5WCN2SF8PV0010000400"/>
      <w:bookmarkEnd w:id="35"/>
      <w:hyperlink r:id="rId17" w:history="1">
        <w:r>
          <w:rPr>
            <w:rFonts w:ascii="arial" w:eastAsia="arial" w:hAnsi="arial" w:cs="arial"/>
            <w:b w:val="0"/>
            <w:i/>
            <w:strike w:val="0"/>
            <w:noProof w:val="0"/>
            <w:color w:val="0077CC"/>
            <w:position w:val="0"/>
            <w:sz w:val="20"/>
            <w:u w:val="single"/>
            <w:vertAlign w:val="baseline"/>
          </w:rPr>
          <w:t>United States v. Placente</w:t>
        </w:r>
      </w:hyperlink>
      <w:hyperlink r:id="rId17" w:history="1">
        <w:r>
          <w:rPr>
            <w:rFonts w:ascii="arial" w:eastAsia="arial" w:hAnsi="arial" w:cs="arial"/>
            <w:b w:val="0"/>
            <w:i/>
            <w:strike w:val="0"/>
            <w:noProof w:val="0"/>
            <w:color w:val="0077CC"/>
            <w:position w:val="0"/>
            <w:sz w:val="20"/>
            <w:u w:val="single"/>
            <w:vertAlign w:val="baseline"/>
          </w:rPr>
          <w:t>, 81 F.3d 555, 558 (5th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Movant's Indictment</w:t>
      </w:r>
    </w:p>
    <w:p>
      <w:pPr>
        <w:keepNext w:val="0"/>
        <w:spacing w:before="24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Movant contends that he is entitled to relief because the indictment did not allege all elements of the charged offense. (Docket No. 3, at p. 5.) Movant contends in particular that the indictment failed to reference his prior convictions or allege "recidivism" as an element of the offense that was required to be proven to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jury beyond a reasonable doubt.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Movant appears to contend that he was not afforded adequate notice of the charged offense in violation of the </w:t>
      </w:r>
      <w:hyperlink r:id="rId18"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43" w:name="Bookmark_para_13"/>
      <w:bookmarkEnd w:id="43"/>
      <w:bookmarkStart w:id="44" w:name="Bookmark_I5NK5WCN28T4G50030000400"/>
      <w:bookmarkEnd w:id="44"/>
      <w:r>
        <w:rPr>
          <w:rFonts w:ascii="arial" w:eastAsia="arial" w:hAnsi="arial" w:cs="arial"/>
          <w:b w:val="0"/>
          <w:i w:val="0"/>
          <w:strike w:val="0"/>
          <w:noProof w:val="0"/>
          <w:color w:val="000000"/>
          <w:position w:val="0"/>
          <w:sz w:val="20"/>
          <w:u w:val="none"/>
          <w:vertAlign w:val="baseline"/>
        </w:rPr>
        <w:t xml:space="preserve">The </w:t>
      </w:r>
      <w:hyperlink r:id="rId18"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requires that a criminal defendant have notice of the charges against him. </w:t>
      </w:r>
      <w:r>
        <w:rPr>
          <w:rFonts w:ascii="arial" w:eastAsia="arial" w:hAnsi="arial" w:cs="arial"/>
          <w:b w:val="0"/>
          <w:i/>
          <w:strike w:val="0"/>
          <w:noProof w:val="0"/>
          <w:color w:val="000000"/>
          <w:position w:val="0"/>
          <w:sz w:val="20"/>
          <w:u w:val="none"/>
          <w:vertAlign w:val="baseline"/>
        </w:rPr>
        <w:t xml:space="preserve">See, e.g., </w:t>
      </w:r>
      <w:bookmarkStart w:id="45" w:name="Bookmark_I5NK5WCN28T4G50020000400"/>
      <w:bookmarkEnd w:id="45"/>
      <w:hyperlink r:id="rId19" w:history="1">
        <w:r>
          <w:rPr>
            <w:rFonts w:ascii="arial" w:eastAsia="arial" w:hAnsi="arial" w:cs="arial"/>
            <w:b w:val="0"/>
            <w:i/>
            <w:strike w:val="0"/>
            <w:noProof w:val="0"/>
            <w:color w:val="0077CC"/>
            <w:position w:val="0"/>
            <w:sz w:val="20"/>
            <w:u w:val="single"/>
            <w:vertAlign w:val="baseline"/>
          </w:rPr>
          <w:t>Cole v. Arkansas</w:t>
        </w:r>
      </w:hyperlink>
      <w:hyperlink r:id="rId19" w:history="1">
        <w:r>
          <w:rPr>
            <w:rFonts w:ascii="arial" w:eastAsia="arial" w:hAnsi="arial" w:cs="arial"/>
            <w:b w:val="0"/>
            <w:i/>
            <w:strike w:val="0"/>
            <w:noProof w:val="0"/>
            <w:color w:val="0077CC"/>
            <w:position w:val="0"/>
            <w:sz w:val="20"/>
            <w:u w:val="single"/>
            <w:vertAlign w:val="baseline"/>
          </w:rPr>
          <w:t>, 333 U.S. 196, 201, 68 S. Ct. 514, 92 L. Ed. 644 (1948)</w:t>
        </w:r>
      </w:hyperlink>
      <w:r>
        <w:rPr>
          <w:rFonts w:ascii="arial" w:eastAsia="arial" w:hAnsi="arial" w:cs="arial"/>
          <w:b w:val="0"/>
          <w:i w:val="0"/>
          <w:strike w:val="0"/>
          <w:noProof w:val="0"/>
          <w:color w:val="000000"/>
          <w:position w:val="0"/>
          <w:sz w:val="20"/>
          <w:u w:val="none"/>
          <w:vertAlign w:val="baseline"/>
        </w:rPr>
        <w:t xml:space="preserve"> ("No principle of procedural due process is more clearly established than that notice of the specific charge, and a chance to be heard in a trial of the issues raised by that charge, if desired, are among the constitutional rights of every accused in a criminal proceeding in all courts, state or federal.") (citation omitted); </w:t>
      </w:r>
      <w:bookmarkStart w:id="46" w:name="Bookmark_I5NK5WCN28T4G50040000400"/>
      <w:bookmarkEnd w:id="46"/>
      <w:hyperlink r:id="rId20" w:history="1">
        <w:r>
          <w:rPr>
            <w:rFonts w:ascii="arial" w:eastAsia="arial" w:hAnsi="arial" w:cs="arial"/>
            <w:b w:val="0"/>
            <w:i/>
            <w:strike w:val="0"/>
            <w:noProof w:val="0"/>
            <w:color w:val="0077CC"/>
            <w:position w:val="0"/>
            <w:sz w:val="20"/>
            <w:u w:val="single"/>
            <w:vertAlign w:val="baseline"/>
          </w:rPr>
          <w:t>United States v. Guzman-Ocampo</w:t>
        </w:r>
      </w:hyperlink>
      <w:hyperlink r:id="rId20" w:history="1">
        <w:r>
          <w:rPr>
            <w:rFonts w:ascii="arial" w:eastAsia="arial" w:hAnsi="arial" w:cs="arial"/>
            <w:b w:val="0"/>
            <w:i/>
            <w:strike w:val="0"/>
            <w:noProof w:val="0"/>
            <w:color w:val="0077CC"/>
            <w:position w:val="0"/>
            <w:sz w:val="20"/>
            <w:u w:val="single"/>
            <w:vertAlign w:val="baseline"/>
          </w:rPr>
          <w:t>, 236 F.3d 233, 236 (5th Cir. 2000)</w:t>
        </w:r>
      </w:hyperlink>
      <w:r>
        <w:rPr>
          <w:rFonts w:ascii="arial" w:eastAsia="arial" w:hAnsi="arial" w:cs="arial"/>
          <w:b w:val="0"/>
          <w:i w:val="0"/>
          <w:strike w:val="0"/>
          <w:noProof w:val="0"/>
          <w:color w:val="000000"/>
          <w:position w:val="0"/>
          <w:sz w:val="20"/>
          <w:u w:val="none"/>
          <w:vertAlign w:val="baseline"/>
        </w:rPr>
        <w:t xml:space="preserve"> (observing that the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also requires an indictment to "(1) enumerate each prima facie element of the charged offense; (2) fairly inform the defendant of the charges filed against him; and (3) provide the defendant with a double jeopardy defense against future prosecutions") (quoting </w:t>
      </w:r>
      <w:bookmarkStart w:id="47" w:name="Bookmark_I5NK5WCN28T4G60010000400"/>
      <w:bookmarkEnd w:id="47"/>
      <w:hyperlink r:id="rId22" w:history="1">
        <w:r>
          <w:rPr>
            <w:rFonts w:ascii="arial" w:eastAsia="arial" w:hAnsi="arial" w:cs="arial"/>
            <w:b w:val="0"/>
            <w:i/>
            <w:strike w:val="0"/>
            <w:noProof w:val="0"/>
            <w:color w:val="0077CC"/>
            <w:position w:val="0"/>
            <w:sz w:val="20"/>
            <w:u w:val="single"/>
            <w:vertAlign w:val="baseline"/>
          </w:rPr>
          <w:t>United States v. Gaytan</w:t>
        </w:r>
      </w:hyperlink>
      <w:hyperlink r:id="rId22" w:history="1">
        <w:r>
          <w:rPr>
            <w:rFonts w:ascii="arial" w:eastAsia="arial" w:hAnsi="arial" w:cs="arial"/>
            <w:b w:val="0"/>
            <w:i/>
            <w:strike w:val="0"/>
            <w:noProof w:val="0"/>
            <w:color w:val="0077CC"/>
            <w:position w:val="0"/>
            <w:sz w:val="20"/>
            <w:u w:val="single"/>
            <w:vertAlign w:val="baseline"/>
          </w:rPr>
          <w:t>, 74 F.3d 545, 551 (5th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4"/>
      <w:bookmarkEnd w:id="48"/>
      <w:bookmarkStart w:id="49" w:name="Bookmark_I5NK5WCN28T4G60040000400"/>
      <w:bookmarkEnd w:id="49"/>
      <w:r>
        <w:rPr>
          <w:rFonts w:ascii="arial" w:eastAsia="arial" w:hAnsi="arial" w:cs="arial"/>
          <w:b w:val="0"/>
          <w:i w:val="0"/>
          <w:strike w:val="0"/>
          <w:noProof w:val="0"/>
          <w:color w:val="000000"/>
          <w:position w:val="0"/>
          <w:sz w:val="20"/>
          <w:u w:val="none"/>
          <w:vertAlign w:val="baseline"/>
        </w:rPr>
        <w:t>An indictment that tracks the wording of a criminal statute is generally sufficient to satisfy the notice requirement "as long as those words fully, directly, and expressly, without any uncertainty or ambiguity, set forth all the elements necessary to constitute the offense intended to be punished" and are "accompanied with such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statement of the facts and circumstances as will inform the accused of the specific [offense] . . . with which he is charged." </w:t>
      </w:r>
      <w:bookmarkStart w:id="50" w:name="Bookmark_I5NK5WCN28T4G60030000400"/>
      <w:bookmarkEnd w:id="50"/>
      <w:hyperlink r:id="rId23" w:history="1">
        <w:r>
          <w:rPr>
            <w:rFonts w:ascii="arial" w:eastAsia="arial" w:hAnsi="arial" w:cs="arial"/>
            <w:b w:val="0"/>
            <w:i/>
            <w:strike w:val="0"/>
            <w:noProof w:val="0"/>
            <w:color w:val="0077CC"/>
            <w:position w:val="0"/>
            <w:sz w:val="20"/>
            <w:u w:val="single"/>
            <w:vertAlign w:val="baseline"/>
          </w:rPr>
          <w:t>Hamling v. United States</w:t>
        </w:r>
      </w:hyperlink>
      <w:hyperlink r:id="rId23" w:history="1">
        <w:r>
          <w:rPr>
            <w:rFonts w:ascii="arial" w:eastAsia="arial" w:hAnsi="arial" w:cs="arial"/>
            <w:b w:val="0"/>
            <w:i/>
            <w:strike w:val="0"/>
            <w:noProof w:val="0"/>
            <w:color w:val="0077CC"/>
            <w:position w:val="0"/>
            <w:sz w:val="20"/>
            <w:u w:val="single"/>
            <w:vertAlign w:val="baseline"/>
          </w:rPr>
          <w:t>, 418 U.S. 87, 117, 94 S. Ct. 2887, 41 L. Ed. 2d 590 (1974)</w:t>
        </w:r>
      </w:hyperlink>
      <w:r>
        <w:rPr>
          <w:rFonts w:ascii="arial" w:eastAsia="arial" w:hAnsi="arial" w:cs="arial"/>
          <w:b w:val="0"/>
          <w:i w:val="0"/>
          <w:strike w:val="0"/>
          <w:noProof w:val="0"/>
          <w:color w:val="000000"/>
          <w:position w:val="0"/>
          <w:sz w:val="20"/>
          <w:u w:val="none"/>
          <w:vertAlign w:val="baseline"/>
        </w:rPr>
        <w:t xml:space="preserve"> (internal citation and quotation marks omitted); </w:t>
      </w:r>
      <w:r>
        <w:rPr>
          <w:rFonts w:ascii="arial" w:eastAsia="arial" w:hAnsi="arial" w:cs="arial"/>
          <w:b w:val="0"/>
          <w:i/>
          <w:strike w:val="0"/>
          <w:noProof w:val="0"/>
          <w:color w:val="000000"/>
          <w:position w:val="0"/>
          <w:sz w:val="20"/>
          <w:u w:val="none"/>
          <w:vertAlign w:val="baseline"/>
        </w:rPr>
        <w:t xml:space="preserve">see also </w:t>
      </w:r>
      <w:bookmarkStart w:id="51" w:name="Bookmark_I5NK5WCN28T4G60050000400"/>
      <w:bookmarkEnd w:id="51"/>
      <w:hyperlink r:id="rId24" w:history="1">
        <w:r>
          <w:rPr>
            <w:rFonts w:ascii="arial" w:eastAsia="arial" w:hAnsi="arial" w:cs="arial"/>
            <w:b w:val="0"/>
            <w:i/>
            <w:strike w:val="0"/>
            <w:noProof w:val="0"/>
            <w:color w:val="0077CC"/>
            <w:position w:val="0"/>
            <w:sz w:val="20"/>
            <w:u w:val="single"/>
            <w:vertAlign w:val="baseline"/>
          </w:rPr>
          <w:t>United States v. Thomas</w:t>
        </w:r>
      </w:hyperlink>
      <w:hyperlink r:id="rId24" w:history="1">
        <w:r>
          <w:rPr>
            <w:rFonts w:ascii="arial" w:eastAsia="arial" w:hAnsi="arial" w:cs="arial"/>
            <w:b w:val="0"/>
            <w:i/>
            <w:strike w:val="0"/>
            <w:noProof w:val="0"/>
            <w:color w:val="0077CC"/>
            <w:position w:val="0"/>
            <w:sz w:val="20"/>
            <w:u w:val="single"/>
            <w:vertAlign w:val="baseline"/>
          </w:rPr>
          <w:t>, 348 F.3d 78, 82 (5th Cir. 2003)</w:t>
        </w:r>
      </w:hyperlink>
      <w:r>
        <w:rPr>
          <w:rFonts w:ascii="arial" w:eastAsia="arial" w:hAnsi="arial" w:cs="arial"/>
          <w:b w:val="0"/>
          <w:i w:val="0"/>
          <w:strike w:val="0"/>
          <w:noProof w:val="0"/>
          <w:color w:val="000000"/>
          <w:position w:val="0"/>
          <w:sz w:val="20"/>
          <w:u w:val="none"/>
          <w:vertAlign w:val="baseline"/>
        </w:rPr>
        <w:t xml:space="preserve"> ("Generally, an indictment which follows the language of the statute under which it is brought is sufficient to give a defendant notice of the crime of which he is charged.") (quotation omitted).</w:t>
      </w:r>
    </w:p>
    <w:p>
      <w:pPr>
        <w:keepNext w:val="0"/>
        <w:spacing w:before="240" w:after="0" w:line="260" w:lineRule="atLeast"/>
        <w:ind w:left="0" w:right="0" w:firstLine="0"/>
        <w:jc w:val="both"/>
      </w:pPr>
      <w:bookmarkStart w:id="52" w:name="Bookmark_para_15"/>
      <w:bookmarkEnd w:id="52"/>
      <w:r>
        <w:rPr>
          <w:rFonts w:ascii="arial" w:eastAsia="arial" w:hAnsi="arial" w:cs="arial"/>
          <w:b w:val="0"/>
          <w:i w:val="0"/>
          <w:strike w:val="0"/>
          <w:noProof w:val="0"/>
          <w:color w:val="000000"/>
          <w:position w:val="0"/>
          <w:sz w:val="20"/>
          <w:u w:val="none"/>
          <w:vertAlign w:val="baseline"/>
        </w:rPr>
        <w:t xml:space="preserve">The indictment in this case alleges that Movant committed the offense of illegal reentry in violation of </w:t>
      </w:r>
      <w:hyperlink r:id="rId25"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1326(b)</w:t>
        </w:r>
      </w:hyperlink>
      <w:r>
        <w:rPr>
          <w:rFonts w:ascii="arial" w:eastAsia="arial" w:hAnsi="arial" w:cs="arial"/>
          <w:b w:val="0"/>
          <w:i w:val="0"/>
          <w:strike w:val="0"/>
          <w:noProof w:val="0"/>
          <w:color w:val="000000"/>
          <w:position w:val="0"/>
          <w:sz w:val="20"/>
          <w:u w:val="none"/>
          <w:vertAlign w:val="baseline"/>
        </w:rPr>
        <w:t xml:space="preserve"> as follows:</w:t>
      </w:r>
    </w:p>
    <w:p>
      <w:pPr>
        <w:keepNext w:val="0"/>
        <w:spacing w:after="0" w:line="260" w:lineRule="atLeast"/>
        <w:ind w:left="400" w:right="0" w:firstLine="0"/>
        <w:jc w:val="both"/>
      </w:pPr>
      <w:bookmarkStart w:id="53" w:name="Bookmark_para_16"/>
      <w:bookmarkEnd w:id="53"/>
      <w:r>
        <w:rPr>
          <w:rFonts w:ascii="arial" w:eastAsia="arial" w:hAnsi="arial" w:cs="arial"/>
          <w:b w:val="0"/>
          <w:i w:val="0"/>
          <w:strike w:val="0"/>
          <w:noProof w:val="0"/>
          <w:color w:val="000000"/>
          <w:position w:val="0"/>
          <w:sz w:val="20"/>
          <w:u w:val="none"/>
          <w:vertAlign w:val="baseline"/>
        </w:rPr>
        <w:t>On or about March 29, 2013, in the Southern District of Texas and within the jurisdiction of the Court, defendant,</w:t>
      </w:r>
    </w:p>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SANTOS MANUEL SANTANA-GERMAN</w:t>
      </w:r>
    </w:p>
    <w:p>
      <w:pPr>
        <w:keepNext w:val="0"/>
        <w:spacing w:before="240" w:after="0" w:line="260" w:lineRule="atLeast"/>
        <w:ind w:left="400" w:right="0" w:firstLine="0"/>
        <w:jc w:val="both"/>
      </w:pPr>
      <w:bookmarkStart w:id="54" w:name="Bookmark_para_17"/>
      <w:bookmarkEnd w:id="54"/>
      <w:r>
        <w:rPr>
          <w:rFonts w:ascii="arial" w:eastAsia="arial" w:hAnsi="arial" w:cs="arial"/>
          <w:b w:val="0"/>
          <w:i w:val="0"/>
          <w:strike w:val="0"/>
          <w:noProof w:val="0"/>
          <w:color w:val="000000"/>
          <w:position w:val="0"/>
          <w:sz w:val="20"/>
          <w:u w:val="none"/>
          <w:vertAlign w:val="baseline"/>
        </w:rPr>
        <w:t xml:space="preserve">an alien who had previously been denied admission, excluded, deported and removed, knowingly and unlawfully was present in the United States having been found near Abram, Texas, said defendant not having obtained the consent to reapply for admission into the United States from the Attorney General of the United States and Secretary of Homeland Security, the successor, pursuant to Title </w:t>
      </w:r>
      <w:hyperlink r:id="rId26" w:history="1">
        <w:r>
          <w:rPr>
            <w:rFonts w:ascii="arial" w:eastAsia="arial" w:hAnsi="arial" w:cs="arial"/>
            <w:b w:val="0"/>
            <w:i/>
            <w:strike w:val="0"/>
            <w:noProof w:val="0"/>
            <w:color w:val="0077CC"/>
            <w:position w:val="0"/>
            <w:sz w:val="20"/>
            <w:u w:val="single"/>
            <w:vertAlign w:val="baseline"/>
          </w:rPr>
          <w:t>6, United States Code, Sections 202(3)</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202(4)</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557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I5NK5WCN2D6MSV0030000400"/>
      <w:bookmarkEnd w:id="55"/>
      <w:r>
        <w:rPr>
          <w:rFonts w:ascii="arial" w:eastAsia="arial" w:hAnsi="arial" w:cs="arial"/>
          <w:b w:val="0"/>
          <w:i w:val="0"/>
          <w:strike w:val="0"/>
          <w:noProof w:val="0"/>
          <w:color w:val="000000"/>
          <w:position w:val="0"/>
          <w:sz w:val="20"/>
          <w:u w:val="none"/>
          <w:vertAlign w:val="baseline"/>
        </w:rPr>
        <w:t>(Cr. Docket No. 7, at p. 1). The indictment unambiguously follows the relevant statute, sets forth all of the requisite elements, and includes sufficient facts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describing the charged offense.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Based on this record, Movant does not show that he was denied adequate notice.</w:t>
      </w:r>
    </w:p>
    <w:p>
      <w:pPr>
        <w:keepNext w:val="0"/>
        <w:spacing w:before="200" w:after="0" w:line="260" w:lineRule="atLeast"/>
        <w:ind w:left="0" w:right="0" w:firstLine="0"/>
        <w:jc w:val="both"/>
      </w:pPr>
      <w:bookmarkStart w:id="58" w:name="Bookmark_para_18"/>
      <w:bookmarkEnd w:id="58"/>
      <w:bookmarkStart w:id="59" w:name="Bookmark_I5NK5WCN2D6MSV0050000400"/>
      <w:bookmarkEnd w:id="59"/>
      <w:r>
        <w:rPr>
          <w:rFonts w:ascii="arial" w:eastAsia="arial" w:hAnsi="arial" w:cs="arial"/>
          <w:b w:val="0"/>
          <w:i w:val="0"/>
          <w:strike w:val="0"/>
          <w:noProof w:val="0"/>
          <w:color w:val="000000"/>
          <w:position w:val="0"/>
          <w:sz w:val="20"/>
          <w:u w:val="none"/>
          <w:vertAlign w:val="baseline"/>
        </w:rPr>
        <w:t xml:space="preserve">To the extent that Movant claims that his indictment was deficient because it failed to reference his prior convictions or allege recidivism as an element of the offense, this allegation is without merit. It is well settled that recidivism, including the fact that an alien has been deported following a conviction for an aggravated felony, is a sentencing factor, rather than an element of the offense. </w:t>
      </w:r>
      <w:bookmarkStart w:id="60" w:name="Bookmark_I5NK5WCN2D6MSW0020000400"/>
      <w:bookmarkEnd w:id="60"/>
      <w:r>
        <w:rPr>
          <w:rFonts w:ascii="arial" w:eastAsia="arial" w:hAnsi="arial" w:cs="arial"/>
          <w:b w:val="0"/>
          <w:i/>
          <w:strike w:val="0"/>
          <w:noProof w:val="0"/>
          <w:color w:val="000000"/>
          <w:position w:val="0"/>
          <w:sz w:val="20"/>
          <w:u w:val="none"/>
          <w:vertAlign w:val="baseline"/>
        </w:rPr>
        <w:t xml:space="preserve">See </w:t>
      </w:r>
      <w:bookmarkStart w:id="61" w:name="Bookmark_I5NK5WCN2D6MSV0040000400"/>
      <w:bookmarkEnd w:id="61"/>
      <w:hyperlink r:id="rId28" w:history="1">
        <w:r>
          <w:rPr>
            <w:rFonts w:ascii="arial" w:eastAsia="arial" w:hAnsi="arial" w:cs="arial"/>
            <w:b w:val="0"/>
            <w:i/>
            <w:strike w:val="0"/>
            <w:noProof w:val="0"/>
            <w:color w:val="0077CC"/>
            <w:position w:val="0"/>
            <w:sz w:val="20"/>
            <w:u w:val="single"/>
            <w:vertAlign w:val="baseline"/>
          </w:rPr>
          <w:t>Almendarez-Torres v. United States</w:t>
        </w:r>
      </w:hyperlink>
      <w:hyperlink r:id="rId28" w:history="1">
        <w:r>
          <w:rPr>
            <w:rFonts w:ascii="arial" w:eastAsia="arial" w:hAnsi="arial" w:cs="arial"/>
            <w:b w:val="0"/>
            <w:i/>
            <w:strike w:val="0"/>
            <w:noProof w:val="0"/>
            <w:color w:val="0077CC"/>
            <w:position w:val="0"/>
            <w:sz w:val="20"/>
            <w:u w:val="single"/>
            <w:vertAlign w:val="baseline"/>
          </w:rPr>
          <w:t>, 523 U.S. 224, 247, 118 S. Ct. 1219, 140 L. Ed. 2d 350 (1998)</w:t>
        </w:r>
      </w:hyperlink>
      <w:r>
        <w:rPr>
          <w:rFonts w:ascii="arial" w:eastAsia="arial" w:hAnsi="arial" w:cs="arial"/>
          <w:b w:val="0"/>
          <w:i w:val="0"/>
          <w:strike w:val="0"/>
          <w:noProof w:val="0"/>
          <w:color w:val="000000"/>
          <w:position w:val="0"/>
          <w:sz w:val="20"/>
          <w:u w:val="none"/>
          <w:vertAlign w:val="baseline"/>
        </w:rPr>
        <w:t xml:space="preserve">. </w:t>
      </w:r>
      <w:bookmarkStart w:id="62" w:name="Bookmark_I5NK5WCN2D6MSW0020000400_2"/>
      <w:bookmarkEnd w:id="62"/>
      <w:r>
        <w:rPr>
          <w:rFonts w:ascii="arial" w:eastAsia="arial" w:hAnsi="arial" w:cs="arial"/>
          <w:b w:val="0"/>
          <w:i w:val="0"/>
          <w:strike w:val="0"/>
          <w:noProof w:val="0"/>
          <w:color w:val="000000"/>
          <w:position w:val="0"/>
          <w:sz w:val="20"/>
          <w:u w:val="none"/>
          <w:vertAlign w:val="baseline"/>
        </w:rPr>
        <w:t xml:space="preserve">Consistent with this precedent, prior convictions are not elements of an offense and need not be alleged in the indictment or proven to a jury beyond a reasonable doubt. </w:t>
      </w:r>
      <w:r>
        <w:rPr>
          <w:rFonts w:ascii="arial" w:eastAsia="arial" w:hAnsi="arial" w:cs="arial"/>
          <w:b w:val="0"/>
          <w:i/>
          <w:strike w:val="0"/>
          <w:noProof w:val="0"/>
          <w:color w:val="000000"/>
          <w:position w:val="0"/>
          <w:sz w:val="20"/>
          <w:u w:val="none"/>
          <w:vertAlign w:val="baseline"/>
        </w:rPr>
        <w:t xml:space="preserve">See </w:t>
      </w:r>
      <w:bookmarkStart w:id="63" w:name="Bookmark_I5NK5WCN2D6MSW0010000400"/>
      <w:bookmarkEnd w:id="63"/>
      <w:hyperlink r:id="rId29" w:history="1">
        <w:r>
          <w:rPr>
            <w:rFonts w:ascii="arial" w:eastAsia="arial" w:hAnsi="arial" w:cs="arial"/>
            <w:b w:val="0"/>
            <w:i/>
            <w:strike w:val="0"/>
            <w:noProof w:val="0"/>
            <w:color w:val="0077CC"/>
            <w:position w:val="0"/>
            <w:sz w:val="20"/>
            <w:u w:val="single"/>
            <w:vertAlign w:val="baseline"/>
          </w:rPr>
          <w:t>United States v. Pineda-Arrellano</w:t>
        </w:r>
      </w:hyperlink>
      <w:hyperlink r:id="rId29" w:history="1">
        <w:r>
          <w:rPr>
            <w:rFonts w:ascii="arial" w:eastAsia="arial" w:hAnsi="arial" w:cs="arial"/>
            <w:b w:val="0"/>
            <w:i/>
            <w:strike w:val="0"/>
            <w:noProof w:val="0"/>
            <w:color w:val="0077CC"/>
            <w:position w:val="0"/>
            <w:sz w:val="20"/>
            <w:u w:val="single"/>
            <w:vertAlign w:val="baseline"/>
          </w:rPr>
          <w:t>, 492 F.3d 624, 625 (5th Cir. 2007)</w:t>
        </w:r>
      </w:hyperlink>
      <w:r>
        <w:rPr>
          <w:rFonts w:ascii="arial" w:eastAsia="arial" w:hAnsi="arial" w:cs="arial"/>
          <w:b w:val="0"/>
          <w:i w:val="0"/>
          <w:strike w:val="0"/>
          <w:noProof w:val="0"/>
          <w:color w:val="000000"/>
          <w:position w:val="0"/>
          <w:sz w:val="20"/>
          <w:u w:val="none"/>
          <w:vertAlign w:val="baseline"/>
        </w:rPr>
        <w:t xml:space="preserve"> (emphasizing that "</w:t>
      </w:r>
      <w:r>
        <w:rPr>
          <w:rFonts w:ascii="arial" w:eastAsia="arial" w:hAnsi="arial" w:cs="arial"/>
          <w:b w:val="0"/>
          <w:i/>
          <w:strike w:val="0"/>
          <w:noProof w:val="0"/>
          <w:color w:val="000000"/>
          <w:position w:val="0"/>
          <w:sz w:val="20"/>
          <w:u w:val="none"/>
          <w:vertAlign w:val="baseline"/>
        </w:rPr>
        <w:t>Almendarez-Torres</w:t>
      </w:r>
      <w:r>
        <w:rPr>
          <w:rFonts w:ascii="arial" w:eastAsia="arial" w:hAnsi="arial" w:cs="arial"/>
          <w:b w:val="0"/>
          <w:i w:val="0"/>
          <w:strike w:val="0"/>
          <w:noProof w:val="0"/>
          <w:color w:val="000000"/>
          <w:position w:val="0"/>
          <w:sz w:val="20"/>
          <w:u w:val="none"/>
          <w:vertAlign w:val="baseline"/>
        </w:rPr>
        <w:t xml:space="preserve"> remains binding until and unless it is officially overruled by the Supreme Court"). Movant does not otherwise show that his indictment was constitutionally deficient. Accordingly, he is not entitled to relief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Sentence Calculation</w:t>
      </w:r>
    </w:p>
    <w:p>
      <w:pPr>
        <w:keepNext w:val="0"/>
        <w:spacing w:before="240" w:after="0" w:line="260" w:lineRule="atLeast"/>
        <w:ind w:left="0" w:right="0" w:firstLine="0"/>
        <w:jc w:val="both"/>
      </w:pPr>
      <w:bookmarkStart w:id="64" w:name="Bookmark_para_19"/>
      <w:bookmarkEnd w:id="64"/>
      <w:bookmarkStart w:id="65" w:name="Bookmark_I5NK5WCN2D6MSW0040000400"/>
      <w:bookmarkEnd w:id="65"/>
      <w:r>
        <w:rPr>
          <w:rFonts w:ascii="arial" w:eastAsia="arial" w:hAnsi="arial" w:cs="arial"/>
          <w:b w:val="0"/>
          <w:i w:val="0"/>
          <w:strike w:val="0"/>
          <w:noProof w:val="0"/>
          <w:color w:val="000000"/>
          <w:position w:val="0"/>
          <w:sz w:val="20"/>
          <w:u w:val="none"/>
          <w:vertAlign w:val="baseline"/>
        </w:rPr>
        <w:t>Movant contends further that his sentence was calculated incorrectly because the District Court failed to consider the circumstances of his prior convictions, which were "unconstitutionally obtained" and "over aggregated."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(Docket No. 3, at p. 3.) Movant does not articulate any facts in support of this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Movant alleges only that the District Court should have applied </w:t>
      </w:r>
      <w:bookmarkStart w:id="66" w:name="Bookmark_I5NK5WCN2D6MSW0030000400"/>
      <w:bookmarkEnd w:id="66"/>
      <w:hyperlink r:id="rId30" w:history="1">
        <w:r>
          <w:rPr>
            <w:rFonts w:ascii="arial" w:eastAsia="arial" w:hAnsi="arial" w:cs="arial"/>
            <w:b w:val="0"/>
            <w:i/>
            <w:strike w:val="0"/>
            <w:noProof w:val="0"/>
            <w:color w:val="0077CC"/>
            <w:position w:val="0"/>
            <w:sz w:val="20"/>
            <w:u w:val="single"/>
            <w:vertAlign w:val="baseline"/>
          </w:rPr>
          <w:t>Descamps v. United States</w:t>
        </w:r>
      </w:hyperlink>
      <w:hyperlink r:id="rId30" w:history="1">
        <w:r>
          <w:rPr>
            <w:rFonts w:ascii="arial" w:eastAsia="arial" w:hAnsi="arial" w:cs="arial"/>
            <w:b w:val="0"/>
            <w:i/>
            <w:strike w:val="0"/>
            <w:noProof w:val="0"/>
            <w:color w:val="0077CC"/>
            <w:position w:val="0"/>
            <w:sz w:val="20"/>
            <w:u w:val="single"/>
            <w:vertAlign w:val="baseline"/>
          </w:rPr>
          <w:t>, 133 S. Ct. 2276, 186 L. Ed. 2d 438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0"/>
      <w:bookmarkEnd w:id="67"/>
      <w:bookmarkStart w:id="68" w:name="Bookmark_I5NK5WCN2HM5X70010000400"/>
      <w:bookmarkEnd w:id="68"/>
      <w:bookmarkStart w:id="69" w:name="Bookmark_I4J7VH14F58000M5D3D0004Y"/>
      <w:bookmarkEnd w:id="69"/>
      <w:bookmarkStart w:id="70" w:name="Bookmark_I5NK5WCN2HM5X70030000400"/>
      <w:bookmarkEnd w:id="7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Descamps</w:t>
      </w:r>
      <w:r>
        <w:rPr>
          <w:rFonts w:ascii="arial" w:eastAsia="arial" w:hAnsi="arial" w:cs="arial"/>
          <w:b w:val="0"/>
          <w:i w:val="0"/>
          <w:strike w:val="0"/>
          <w:noProof w:val="0"/>
          <w:color w:val="000000"/>
          <w:position w:val="0"/>
          <w:sz w:val="20"/>
          <w:u w:val="none"/>
          <w:vertAlign w:val="baseline"/>
        </w:rPr>
        <w:t xml:space="preserve">, the Supreme Court held that, when deciding whether a prior conviction qualifies as a violent felony for purposes of enhancing a sentence under the </w:t>
      </w:r>
      <w:hyperlink r:id="rId31" w:history="1">
        <w:r>
          <w:rPr>
            <w:rFonts w:ascii="arial" w:eastAsia="arial" w:hAnsi="arial" w:cs="arial"/>
            <w:b w:val="0"/>
            <w:i/>
            <w:strike w:val="0"/>
            <w:noProof w:val="0"/>
            <w:color w:val="0077CC"/>
            <w:position w:val="0"/>
            <w:sz w:val="20"/>
            <w:u w:val="single"/>
            <w:vertAlign w:val="baseline"/>
          </w:rPr>
          <w:t>Armed Career Criminal Act ("ACCA")</w:t>
        </w:r>
      </w:hyperlink>
      <w:r>
        <w:rPr>
          <w:rFonts w:ascii="arial" w:eastAsia="arial" w:hAnsi="arial" w:cs="arial"/>
          <w:b w:val="0"/>
          <w:i w:val="0"/>
          <w:strike w:val="0"/>
          <w:noProof w:val="0"/>
          <w:color w:val="000000"/>
          <w:position w:val="0"/>
          <w:sz w:val="20"/>
          <w:u w:val="none"/>
          <w:vertAlign w:val="baseline"/>
        </w:rPr>
        <w:t xml:space="preserve">, "sentencing courts may not apply the modified categorical approach when the crime of which the defendant was convicted has a single, indivisible set of elements." </w:t>
      </w:r>
      <w:bookmarkStart w:id="71" w:name="Bookmark_I5NK5WCN2D6MSW0050000400"/>
      <w:bookmarkEnd w:id="71"/>
      <w:hyperlink r:id="rId30" w:history="1">
        <w:r>
          <w:rPr>
            <w:rFonts w:ascii="arial" w:eastAsia="arial" w:hAnsi="arial" w:cs="arial"/>
            <w:b w:val="0"/>
            <w:i/>
            <w:strike w:val="0"/>
            <w:noProof w:val="0"/>
            <w:color w:val="0077CC"/>
            <w:position w:val="0"/>
            <w:sz w:val="20"/>
            <w:u w:val="single"/>
            <w:vertAlign w:val="baseline"/>
          </w:rPr>
          <w:t>133 S. Ct. at 2282</w:t>
        </w:r>
      </w:hyperlink>
      <w:r>
        <w:rPr>
          <w:rFonts w:ascii="arial" w:eastAsia="arial" w:hAnsi="arial" w:cs="arial"/>
          <w:b w:val="0"/>
          <w:i w:val="0"/>
          <w:strike w:val="0"/>
          <w:noProof w:val="0"/>
          <w:color w:val="000000"/>
          <w:position w:val="0"/>
          <w:sz w:val="20"/>
          <w:u w:val="none"/>
          <w:vertAlign w:val="baseline"/>
        </w:rPr>
        <w:t xml:space="preserve">. </w:t>
      </w:r>
      <w:bookmarkStart w:id="72" w:name="Bookmark_I5NK5WCN2HM5X70050000400"/>
      <w:bookmarkEnd w:id="72"/>
      <w:r>
        <w:rPr>
          <w:rFonts w:ascii="arial" w:eastAsia="arial" w:hAnsi="arial" w:cs="arial"/>
          <w:b w:val="0"/>
          <w:i w:val="0"/>
          <w:strike w:val="0"/>
          <w:noProof w:val="0"/>
          <w:color w:val="000000"/>
          <w:position w:val="0"/>
          <w:sz w:val="20"/>
          <w:u w:val="none"/>
          <w:vertAlign w:val="baseline"/>
        </w:rPr>
        <w:t xml:space="preserve">Movant's sentence was not enhanced under the ACCA and he does not otherwise show that </w:t>
      </w:r>
      <w:bookmarkStart w:id="73" w:name="Bookmark_I5NK5WCN2HM5X70020000400"/>
      <w:bookmarkEnd w:id="73"/>
      <w:hyperlink r:id="rId30" w:history="1">
        <w:r>
          <w:rPr>
            <w:rFonts w:ascii="arial" w:eastAsia="arial" w:hAnsi="arial" w:cs="arial"/>
            <w:b w:val="0"/>
            <w:i/>
            <w:strike w:val="0"/>
            <w:noProof w:val="0"/>
            <w:color w:val="0077CC"/>
            <w:position w:val="0"/>
            <w:sz w:val="20"/>
            <w:u w:val="single"/>
            <w:vertAlign w:val="baseline"/>
          </w:rPr>
          <w:t>Descamps</w:t>
        </w:r>
      </w:hyperlink>
      <w:r>
        <w:rPr>
          <w:rFonts w:ascii="arial" w:eastAsia="arial" w:hAnsi="arial" w:cs="arial"/>
          <w:b w:val="0"/>
          <w:i w:val="0"/>
          <w:strike w:val="0"/>
          <w:noProof w:val="0"/>
          <w:color w:val="000000"/>
          <w:position w:val="0"/>
          <w:sz w:val="20"/>
          <w:u w:val="none"/>
          <w:vertAlign w:val="baseline"/>
        </w:rPr>
        <w:t xml:space="preserve"> applies. </w:t>
      </w:r>
      <w:bookmarkStart w:id="74" w:name="Bookmark_I5NK5WCN2HM5X70050000400_2"/>
      <w:bookmarkEnd w:id="74"/>
      <w:r>
        <w:rPr>
          <w:rFonts w:ascii="arial" w:eastAsia="arial" w:hAnsi="arial" w:cs="arial"/>
          <w:b w:val="0"/>
          <w:i w:val="0"/>
          <w:strike w:val="0"/>
          <w:noProof w:val="0"/>
          <w:color w:val="000000"/>
          <w:position w:val="0"/>
          <w:sz w:val="20"/>
          <w:u w:val="none"/>
          <w:vertAlign w:val="baseline"/>
        </w:rPr>
        <w:t xml:space="preserve">Although his pro se pleadings are entitled to a liberal construction, Movant's conclusory allegations are "insufficient to raise a constitutional issue." </w:t>
      </w:r>
      <w:bookmarkStart w:id="75" w:name="Bookmark_I5NK5WCN2HM5X70040000400"/>
      <w:bookmarkEnd w:id="75"/>
      <w:hyperlink r:id="rId32" w:history="1">
        <w:r>
          <w:rPr>
            <w:rFonts w:ascii="arial" w:eastAsia="arial" w:hAnsi="arial" w:cs="arial"/>
            <w:b w:val="0"/>
            <w:i/>
            <w:strike w:val="0"/>
            <w:noProof w:val="0"/>
            <w:color w:val="0077CC"/>
            <w:position w:val="0"/>
            <w:sz w:val="20"/>
            <w:u w:val="single"/>
            <w:vertAlign w:val="baseline"/>
          </w:rPr>
          <w:t>United States v. Pineda</w:t>
        </w:r>
      </w:hyperlink>
      <w:hyperlink r:id="rId32" w:history="1">
        <w:r>
          <w:rPr>
            <w:rFonts w:ascii="arial" w:eastAsia="arial" w:hAnsi="arial" w:cs="arial"/>
            <w:b w:val="0"/>
            <w:i/>
            <w:strike w:val="0"/>
            <w:noProof w:val="0"/>
            <w:color w:val="0077CC"/>
            <w:position w:val="0"/>
            <w:sz w:val="20"/>
            <w:u w:val="single"/>
            <w:vertAlign w:val="baseline"/>
          </w:rPr>
          <w:t>, 988 F.2d 22, 23 (5th Cir. 1993)</w:t>
        </w:r>
      </w:hyperlink>
      <w:r>
        <w:rPr>
          <w:rFonts w:ascii="arial" w:eastAsia="arial" w:hAnsi="arial" w:cs="arial"/>
          <w:b w:val="0"/>
          <w:i w:val="0"/>
          <w:strike w:val="0"/>
          <w:noProof w:val="0"/>
          <w:color w:val="000000"/>
          <w:position w:val="0"/>
          <w:sz w:val="20"/>
          <w:u w:val="none"/>
          <w:vertAlign w:val="baseline"/>
        </w:rPr>
        <w:t xml:space="preserve"> (citation omitted). Because Movant does not demonstrate that his sentence was calculated incorrectly, he is not entitled to relief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Supervised Release</w:t>
      </w:r>
    </w:p>
    <w:p>
      <w:pPr>
        <w:keepNext w:val="0"/>
        <w:spacing w:before="200" w:after="0" w:line="260" w:lineRule="atLeast"/>
        <w:ind w:left="0" w:right="0" w:firstLine="0"/>
        <w:jc w:val="both"/>
      </w:pPr>
      <w:bookmarkStart w:id="76" w:name="Bookmark_para_21"/>
      <w:bookmarkEnd w:id="76"/>
      <w:r>
        <w:rPr>
          <w:rFonts w:ascii="arial" w:eastAsia="arial" w:hAnsi="arial" w:cs="arial"/>
          <w:b w:val="0"/>
          <w:i w:val="0"/>
          <w:strike w:val="0"/>
          <w:noProof w:val="0"/>
          <w:color w:val="000000"/>
          <w:position w:val="0"/>
          <w:sz w:val="20"/>
          <w:u w:val="none"/>
          <w:vertAlign w:val="baseline"/>
        </w:rPr>
        <w:t>Movant contends that the District Court erred with respect to his sentence by imposing a term of supervised release, which was not warranted. (Docket No. 3, at p. 5.) The record confirms that the District Court did not impose a term of supervised release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this case. (Docket No. 40, at p. 34.) ("In all likelihood he's going to be deported so there's no reason to impose a supervised release term in this case.") It follows that this claim is without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Allegations of Ineffective Assistance of Counsel</w:t>
      </w:r>
    </w:p>
    <w:p>
      <w:pPr>
        <w:keepNext w:val="0"/>
        <w:spacing w:before="200" w:after="0" w:line="260" w:lineRule="atLeast"/>
        <w:ind w:left="0" w:right="0" w:firstLine="0"/>
        <w:jc w:val="both"/>
      </w:pPr>
      <w:bookmarkStart w:id="77" w:name="Bookmark_para_22"/>
      <w:bookmarkEnd w:id="77"/>
      <w:r>
        <w:rPr>
          <w:rFonts w:ascii="arial" w:eastAsia="arial" w:hAnsi="arial" w:cs="arial"/>
          <w:b w:val="0"/>
          <w:i w:val="0"/>
          <w:strike w:val="0"/>
          <w:noProof w:val="0"/>
          <w:color w:val="000000"/>
          <w:position w:val="0"/>
          <w:sz w:val="20"/>
          <w:u w:val="none"/>
          <w:vertAlign w:val="baseline"/>
        </w:rPr>
        <w:t>Movant contends that he was denied effective assistance of counsel because his defense counsel failed to: (1) explain the "direct consequences" of his guilty plea or the effect that his prior convictions would have upon his sentence; and (2) present the "strongest argument" in favor of a downward departure or reduction in sentence. (Docket No. 1, at p. 4; Docket No. 3, at pp. 4-5.)</w:t>
      </w:r>
    </w:p>
    <w:p>
      <w:pPr>
        <w:keepNext w:val="0"/>
        <w:spacing w:before="240" w:after="0" w:line="260" w:lineRule="atLeast"/>
        <w:ind w:left="0" w:right="0" w:firstLine="0"/>
        <w:jc w:val="both"/>
      </w:pPr>
      <w:bookmarkStart w:id="78" w:name="Bookmark_para_23"/>
      <w:bookmarkEnd w:id="78"/>
      <w:bookmarkStart w:id="79" w:name="Bookmark_I5NK5WCN2N1RVP0020000400"/>
      <w:bookmarkEnd w:id="79"/>
      <w:bookmarkStart w:id="80" w:name="Bookmark_I5NK5WCN2N1RVP0040000400"/>
      <w:bookmarkEnd w:id="80"/>
      <w:bookmarkStart w:id="81" w:name="Bookmark_I5NK5WCN2HM5X80010000400"/>
      <w:bookmarkEnd w:id="81"/>
      <w:r>
        <w:rPr>
          <w:rFonts w:ascii="arial" w:eastAsia="arial" w:hAnsi="arial" w:cs="arial"/>
          <w:b w:val="0"/>
          <w:i w:val="0"/>
          <w:strike w:val="0"/>
          <w:noProof w:val="0"/>
          <w:color w:val="000000"/>
          <w:position w:val="0"/>
          <w:sz w:val="20"/>
          <w:u w:val="none"/>
          <w:vertAlign w:val="baseline"/>
        </w:rPr>
        <w:t xml:space="preserve">Allegations of ineffective assistance of counsel are analyzed under the two-prong test set forth in </w:t>
      </w:r>
      <w:bookmarkStart w:id="82" w:name="Bookmark_I5NK5WCN2N1RVP0010000400"/>
      <w:bookmarkEnd w:id="82"/>
      <w:hyperlink r:id="rId33" w:history="1">
        <w:r>
          <w:rPr>
            <w:rFonts w:ascii="arial" w:eastAsia="arial" w:hAnsi="arial" w:cs="arial"/>
            <w:b w:val="0"/>
            <w:i/>
            <w:strike w:val="0"/>
            <w:noProof w:val="0"/>
            <w:color w:val="0077CC"/>
            <w:position w:val="0"/>
            <w:sz w:val="20"/>
            <w:u w:val="single"/>
            <w:vertAlign w:val="baseline"/>
          </w:rPr>
          <w:t>Strickland v. Washington</w:t>
        </w:r>
      </w:hyperlink>
      <w:hyperlink r:id="rId33"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83" w:name="Bookmark_I5NK5WCN2HM5X80030000400"/>
      <w:bookmarkEnd w:id="83"/>
      <w:r>
        <w:rPr>
          <w:rFonts w:ascii="arial" w:eastAsia="arial" w:hAnsi="arial" w:cs="arial"/>
          <w:b w:val="0"/>
          <w:i w:val="0"/>
          <w:strike w:val="0"/>
          <w:noProof w:val="0"/>
          <w:color w:val="000000"/>
          <w:position w:val="0"/>
          <w:sz w:val="20"/>
          <w:u w:val="none"/>
          <w:vertAlign w:val="baseline"/>
        </w:rPr>
        <w:t xml:space="preserve">To prevail on an ineffective-assistance claim, a defendant must establish (1) "that counsel's performance was deficient"; and (2) "that the deficient performance prejudiced the defense." </w:t>
      </w:r>
      <w:bookmarkStart w:id="84" w:name="Bookmark_I5NK5WCN2N1RVP0030000400"/>
      <w:bookmarkEnd w:id="84"/>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xml:space="preserve">. </w:t>
      </w:r>
      <w:bookmarkStart w:id="85" w:name="Bookmark_I5NK5WCN2HM5X80050000400"/>
      <w:bookmarkEnd w:id="85"/>
      <w:r>
        <w:rPr>
          <w:rFonts w:ascii="arial" w:eastAsia="arial" w:hAnsi="arial" w:cs="arial"/>
          <w:b w:val="0"/>
          <w:i w:val="0"/>
          <w:strike w:val="0"/>
          <w:noProof w:val="0"/>
          <w:color w:val="000000"/>
          <w:position w:val="0"/>
          <w:sz w:val="20"/>
          <w:u w:val="none"/>
          <w:vertAlign w:val="baseline"/>
        </w:rPr>
        <w:t xml:space="preserve">To demonstrate deficient performance "the defendant must show that counsel's representation fell below an objective standard of reasonableness." </w:t>
      </w:r>
      <w:bookmarkStart w:id="86" w:name="Bookmark_I5NK5WCN2N1RVP0050000400"/>
      <w:bookmarkEnd w:id="86"/>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w:t>
      </w:r>
      <w:bookmarkStart w:id="87" w:name="Bookmark_I5NK5WCN2HM5X80050000400_2"/>
      <w:bookmarkEnd w:id="87"/>
      <w:bookmarkStart w:id="88" w:name="Bookmark_I5NK5WCN2HM5X80030000400_2"/>
      <w:bookmarkEnd w:id="88"/>
      <w:r>
        <w:rPr>
          <w:rFonts w:ascii="arial" w:eastAsia="arial" w:hAnsi="arial" w:cs="arial"/>
          <w:b w:val="0"/>
          <w:i w:val="0"/>
          <w:strike w:val="0"/>
          <w:noProof w:val="0"/>
          <w:color w:val="000000"/>
          <w:position w:val="0"/>
          <w:sz w:val="20"/>
          <w:u w:val="none"/>
          <w:vertAlign w:val="baseline"/>
        </w:rPr>
        <w:t>To establish prejudice the defendant must show that "there is a reasonable probability that, but for counsel's unprofessional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errors, the result of the proceeding would have been different." </w:t>
      </w:r>
      <w:bookmarkStart w:id="89" w:name="Bookmark_I5NK5WCN2HM5X80020000400"/>
      <w:bookmarkEnd w:id="89"/>
      <w:hyperlink r:id="rId33" w:history="1">
        <w:r>
          <w:rPr>
            <w:rFonts w:ascii="arial" w:eastAsia="arial" w:hAnsi="arial" w:cs="arial"/>
            <w:b w:val="0"/>
            <w:i/>
            <w:strike w:val="0"/>
            <w:noProof w:val="0"/>
            <w:color w:val="0077CC"/>
            <w:position w:val="0"/>
            <w:sz w:val="20"/>
            <w:u w:val="single"/>
            <w:vertAlign w:val="baseline"/>
          </w:rPr>
          <w:t>Id.</w:t>
        </w:r>
      </w:hyperlink>
      <w:hyperlink r:id="rId33"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bookmarkStart w:id="90" w:name="Bookmark_I5NK5WCN2SF8PW0020000400"/>
      <w:bookmarkEnd w:id="90"/>
      <w:r>
        <w:rPr>
          <w:rFonts w:ascii="arial" w:eastAsia="arial" w:hAnsi="arial" w:cs="arial"/>
          <w:b w:val="0"/>
          <w:i w:val="0"/>
          <w:strike w:val="0"/>
          <w:noProof w:val="0"/>
          <w:color w:val="000000"/>
          <w:position w:val="0"/>
          <w:sz w:val="20"/>
          <w:u w:val="none"/>
          <w:vertAlign w:val="baseline"/>
        </w:rPr>
        <w:t xml:space="preserve">To establish prejudice in connection with a guilty plea a defendant bears the burden of demonstrating "a reasonable probability that, but for counsel's errors, he would not have pleaded guilty and would have insisted on going to trial." </w:t>
      </w:r>
      <w:bookmarkStart w:id="91" w:name="Bookmark_I5NK5WCN2HM5X80040000400"/>
      <w:bookmarkEnd w:id="91"/>
      <w:hyperlink r:id="rId34" w:history="1">
        <w:r>
          <w:rPr>
            <w:rFonts w:ascii="arial" w:eastAsia="arial" w:hAnsi="arial" w:cs="arial"/>
            <w:b w:val="0"/>
            <w:i/>
            <w:strike w:val="0"/>
            <w:noProof w:val="0"/>
            <w:color w:val="0077CC"/>
            <w:position w:val="0"/>
            <w:sz w:val="20"/>
            <w:u w:val="single"/>
            <w:vertAlign w:val="baseline"/>
          </w:rPr>
          <w:t>Hill v. Lockhart</w:t>
        </w:r>
      </w:hyperlink>
      <w:hyperlink r:id="rId34" w:history="1">
        <w:r>
          <w:rPr>
            <w:rFonts w:ascii="arial" w:eastAsia="arial" w:hAnsi="arial" w:cs="arial"/>
            <w:b w:val="0"/>
            <w:i/>
            <w:strike w:val="0"/>
            <w:noProof w:val="0"/>
            <w:color w:val="0077CC"/>
            <w:position w:val="0"/>
            <w:sz w:val="20"/>
            <w:u w:val="single"/>
            <w:vertAlign w:val="baseline"/>
          </w:rPr>
          <w:t>, 474 U.S. 52, 59, 106 S. Ct. 366, 88 L. Ed. 2d 203 (1985)</w:t>
        </w:r>
      </w:hyperlink>
      <w:r>
        <w:rPr>
          <w:rFonts w:ascii="arial" w:eastAsia="arial" w:hAnsi="arial" w:cs="arial"/>
          <w:b w:val="0"/>
          <w:i w:val="0"/>
          <w:strike w:val="0"/>
          <w:noProof w:val="0"/>
          <w:color w:val="000000"/>
          <w:position w:val="0"/>
          <w:sz w:val="20"/>
          <w:u w:val="none"/>
          <w:vertAlign w:val="baseline"/>
        </w:rPr>
        <w:t xml:space="preserve">. </w:t>
      </w:r>
      <w:bookmarkStart w:id="92" w:name="Bookmark_I5NK5WCN2SF8PW0020000400_2"/>
      <w:bookmarkEnd w:id="92"/>
      <w:r>
        <w:rPr>
          <w:rFonts w:ascii="arial" w:eastAsia="arial" w:hAnsi="arial" w:cs="arial"/>
          <w:b w:val="0"/>
          <w:i w:val="0"/>
          <w:strike w:val="0"/>
          <w:noProof w:val="0"/>
          <w:color w:val="000000"/>
          <w:position w:val="0"/>
          <w:sz w:val="20"/>
          <w:u w:val="none"/>
          <w:vertAlign w:val="baseline"/>
        </w:rPr>
        <w:t xml:space="preserve">To establish prejudice in the context of sentencing a defendant must demonstrate a reasonable probability that he would have received less time in prison. </w:t>
      </w:r>
      <w:r>
        <w:rPr>
          <w:rFonts w:ascii="arial" w:eastAsia="arial" w:hAnsi="arial" w:cs="arial"/>
          <w:b w:val="0"/>
          <w:i/>
          <w:strike w:val="0"/>
          <w:noProof w:val="0"/>
          <w:color w:val="000000"/>
          <w:position w:val="0"/>
          <w:sz w:val="20"/>
          <w:u w:val="none"/>
          <w:vertAlign w:val="baseline"/>
        </w:rPr>
        <w:t xml:space="preserve">See </w:t>
      </w:r>
      <w:bookmarkStart w:id="93" w:name="Bookmark_I5NK5WCN2SF8PW0010000400"/>
      <w:bookmarkEnd w:id="93"/>
      <w:hyperlink r:id="rId35" w:history="1">
        <w:r>
          <w:rPr>
            <w:rFonts w:ascii="arial" w:eastAsia="arial" w:hAnsi="arial" w:cs="arial"/>
            <w:b w:val="0"/>
            <w:i/>
            <w:strike w:val="0"/>
            <w:noProof w:val="0"/>
            <w:color w:val="0077CC"/>
            <w:position w:val="0"/>
            <w:sz w:val="20"/>
            <w:u w:val="single"/>
            <w:vertAlign w:val="baseline"/>
          </w:rPr>
          <w:t>United States v. Grammas</w:t>
        </w:r>
      </w:hyperlink>
      <w:hyperlink r:id="rId35" w:history="1">
        <w:r>
          <w:rPr>
            <w:rFonts w:ascii="arial" w:eastAsia="arial" w:hAnsi="arial" w:cs="arial"/>
            <w:b w:val="0"/>
            <w:i/>
            <w:strike w:val="0"/>
            <w:noProof w:val="0"/>
            <w:color w:val="0077CC"/>
            <w:position w:val="0"/>
            <w:sz w:val="20"/>
            <w:u w:val="single"/>
            <w:vertAlign w:val="baseline"/>
          </w:rPr>
          <w:t>, 376 F.3d 433, 438 (5th Cir. 2004)</w:t>
        </w:r>
      </w:hyperlink>
      <w:r>
        <w:rPr>
          <w:rFonts w:ascii="arial" w:eastAsia="arial" w:hAnsi="arial" w:cs="arial"/>
          <w:b w:val="0"/>
          <w:i w:val="0"/>
          <w:strike w:val="0"/>
          <w:noProof w:val="0"/>
          <w:color w:val="000000"/>
          <w:position w:val="0"/>
          <w:sz w:val="20"/>
          <w:u w:val="none"/>
          <w:vertAlign w:val="baseline"/>
        </w:rPr>
        <w:t xml:space="preserve">; </w:t>
      </w:r>
      <w:bookmarkStart w:id="94" w:name="Bookmark_I5NK5WCN2SF8PW0030000400"/>
      <w:bookmarkEnd w:id="94"/>
      <w:hyperlink r:id="rId36" w:history="1">
        <w:r>
          <w:rPr>
            <w:rFonts w:ascii="arial" w:eastAsia="arial" w:hAnsi="arial" w:cs="arial"/>
            <w:b w:val="0"/>
            <w:i/>
            <w:strike w:val="0"/>
            <w:noProof w:val="0"/>
            <w:color w:val="0077CC"/>
            <w:position w:val="0"/>
            <w:sz w:val="20"/>
            <w:u w:val="single"/>
            <w:vertAlign w:val="baseline"/>
          </w:rPr>
          <w:t>Glover v. United States</w:t>
        </w:r>
      </w:hyperlink>
      <w:hyperlink r:id="rId36" w:history="1">
        <w:r>
          <w:rPr>
            <w:rFonts w:ascii="arial" w:eastAsia="arial" w:hAnsi="arial" w:cs="arial"/>
            <w:b w:val="0"/>
            <w:i/>
            <w:strike w:val="0"/>
            <w:noProof w:val="0"/>
            <w:color w:val="0077CC"/>
            <w:position w:val="0"/>
            <w:sz w:val="20"/>
            <w:u w:val="single"/>
            <w:vertAlign w:val="baseline"/>
          </w:rPr>
          <w:t>, 531 U.S. 198, 203, 121 S. Ct. 696, 148 L. Ed. 2d 604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24"/>
      <w:bookmarkEnd w:id="95"/>
      <w:bookmarkStart w:id="96" w:name="Bookmark_I5NK5WCN2N1RVR0010000400"/>
      <w:bookmarkEnd w:id="96"/>
      <w:bookmarkStart w:id="97" w:name="Bookmark_I5NK5WCN2N1RVR0030000400"/>
      <w:bookmarkEnd w:id="97"/>
      <w:r>
        <w:rPr>
          <w:rFonts w:ascii="arial" w:eastAsia="arial" w:hAnsi="arial" w:cs="arial"/>
          <w:b w:val="0"/>
          <w:i w:val="0"/>
          <w:strike w:val="0"/>
          <w:noProof w:val="0"/>
          <w:color w:val="000000"/>
          <w:position w:val="0"/>
          <w:sz w:val="20"/>
          <w:u w:val="none"/>
          <w:vertAlign w:val="baseline"/>
        </w:rPr>
        <w:t xml:space="preserve">If the movant fails to prove one prong of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it is not necessary to analyze the other. </w:t>
      </w:r>
      <w:bookmarkStart w:id="98" w:name="Bookmark_I5NK5WCN2SF8PW0050000400"/>
      <w:bookmarkEnd w:id="98"/>
      <w:hyperlink r:id="rId37" w:history="1">
        <w:r>
          <w:rPr>
            <w:rFonts w:ascii="arial" w:eastAsia="arial" w:hAnsi="arial" w:cs="arial"/>
            <w:b w:val="0"/>
            <w:i/>
            <w:strike w:val="0"/>
            <w:noProof w:val="0"/>
            <w:color w:val="0077CC"/>
            <w:position w:val="0"/>
            <w:sz w:val="20"/>
            <w:u w:val="single"/>
            <w:vertAlign w:val="baseline"/>
          </w:rPr>
          <w:t>Armstead v. Scott</w:t>
        </w:r>
      </w:hyperlink>
      <w:hyperlink r:id="rId37" w:history="1">
        <w:r>
          <w:rPr>
            <w:rFonts w:ascii="arial" w:eastAsia="arial" w:hAnsi="arial" w:cs="arial"/>
            <w:b w:val="0"/>
            <w:i/>
            <w:strike w:val="0"/>
            <w:noProof w:val="0"/>
            <w:color w:val="0077CC"/>
            <w:position w:val="0"/>
            <w:sz w:val="20"/>
            <w:u w:val="single"/>
            <w:vertAlign w:val="baseline"/>
          </w:rPr>
          <w:t>, 37 F.3d 202, 210 (5th Cir. 1994)</w:t>
        </w:r>
      </w:hyperlink>
      <w:r>
        <w:rPr>
          <w:rFonts w:ascii="arial" w:eastAsia="arial" w:hAnsi="arial" w:cs="arial"/>
          <w:b w:val="0"/>
          <w:i w:val="0"/>
          <w:strike w:val="0"/>
          <w:noProof w:val="0"/>
          <w:color w:val="000000"/>
          <w:position w:val="0"/>
          <w:sz w:val="20"/>
          <w:u w:val="none"/>
          <w:vertAlign w:val="baseline"/>
        </w:rPr>
        <w:t xml:space="preserve"> ("A court need not address both components of the inquiry if the defendant makes an insufficient showing on one."). "Failure to prove either deficient performance or actual prejudice is fatal to an ineffective assistance claim." </w:t>
      </w:r>
      <w:bookmarkStart w:id="99" w:name="Bookmark_I5NK5WCN2N1RVR0020000400"/>
      <w:bookmarkEnd w:id="99"/>
      <w:hyperlink r:id="rId38" w:history="1">
        <w:r>
          <w:rPr>
            <w:rFonts w:ascii="arial" w:eastAsia="arial" w:hAnsi="arial" w:cs="arial"/>
            <w:b w:val="0"/>
            <w:i/>
            <w:strike w:val="0"/>
            <w:noProof w:val="0"/>
            <w:color w:val="0077CC"/>
            <w:position w:val="0"/>
            <w:sz w:val="20"/>
            <w:u w:val="single"/>
            <w:vertAlign w:val="baseline"/>
          </w:rPr>
          <w:t>Carter v. Johnson</w:t>
        </w:r>
      </w:hyperlink>
      <w:hyperlink r:id="rId38" w:history="1">
        <w:r>
          <w:rPr>
            <w:rFonts w:ascii="arial" w:eastAsia="arial" w:hAnsi="arial" w:cs="arial"/>
            <w:b w:val="0"/>
            <w:i/>
            <w:strike w:val="0"/>
            <w:noProof w:val="0"/>
            <w:color w:val="0077CC"/>
            <w:position w:val="0"/>
            <w:sz w:val="20"/>
            <w:u w:val="single"/>
            <w:vertAlign w:val="baseline"/>
          </w:rPr>
          <w:t>, 131 F.3d 452, 463 (5th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Failure to Explain the Consequences of his Plea</w:t>
      </w:r>
    </w:p>
    <w:p>
      <w:pPr>
        <w:keepNext w:val="0"/>
        <w:spacing w:before="200" w:after="0" w:line="260" w:lineRule="atLeast"/>
        <w:ind w:left="0" w:right="0" w:firstLine="0"/>
        <w:jc w:val="both"/>
      </w:pPr>
      <w:bookmarkStart w:id="100" w:name="Bookmark_para_25"/>
      <w:bookmarkEnd w:id="100"/>
      <w:r>
        <w:rPr>
          <w:rFonts w:ascii="arial" w:eastAsia="arial" w:hAnsi="arial" w:cs="arial"/>
          <w:b w:val="0"/>
          <w:i w:val="0"/>
          <w:strike w:val="0"/>
          <w:noProof w:val="0"/>
          <w:color w:val="000000"/>
          <w:position w:val="0"/>
          <w:sz w:val="20"/>
          <w:u w:val="none"/>
          <w:vertAlign w:val="baseline"/>
        </w:rPr>
        <w:t>Movant contends that his attorney was deficient because she failed to explain the "direct consequences" of his guilty plea or the effect that his prior convictions would have upon his sentence. (Docket No. 3, at p. 5.)</w:t>
      </w:r>
    </w:p>
    <w:p>
      <w:pPr>
        <w:keepNext w:val="0"/>
        <w:spacing w:before="200" w:after="0" w:line="260" w:lineRule="atLeast"/>
        <w:ind w:left="0" w:right="0" w:firstLine="0"/>
        <w:jc w:val="both"/>
      </w:pPr>
      <w:bookmarkStart w:id="101" w:name="Bookmark_para_26"/>
      <w:bookmarkEnd w:id="101"/>
      <w:r>
        <w:rPr>
          <w:rFonts w:ascii="arial" w:eastAsia="arial" w:hAnsi="arial" w:cs="arial"/>
          <w:b w:val="0"/>
          <w:i w:val="0"/>
          <w:strike w:val="0"/>
          <w:noProof w:val="0"/>
          <w:color w:val="000000"/>
          <w:position w:val="0"/>
          <w:sz w:val="20"/>
          <w:u w:val="none"/>
          <w:vertAlign w:val="baseline"/>
        </w:rPr>
        <w:t>Movant's contention that his defense counsel failed to adequately consult with him is refuted by his express representations during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rearraignment proceeding, which show that he was well informed. In that respect, Movant assured the District Court that he understood the charges against him, the rights he was giving up, the possible punishment that could be imposed as well as the immigration consequences, and the effect of the sentencing guidelines. (Cr. Docket No. 39, at pp. 27-30, 36-55, 58-61.)</w:t>
      </w:r>
    </w:p>
    <w:p>
      <w:pPr>
        <w:keepNext w:val="0"/>
        <w:spacing w:before="240" w:after="0" w:line="260" w:lineRule="atLeast"/>
        <w:ind w:left="0" w:right="0" w:firstLine="0"/>
        <w:jc w:val="both"/>
      </w:pPr>
      <w:bookmarkStart w:id="102" w:name="Bookmark_para_27"/>
      <w:bookmarkEnd w:id="102"/>
      <w:bookmarkStart w:id="103" w:name="Bookmark_I5NK5WCN2N1RVR0050000400"/>
      <w:bookmarkEnd w:id="103"/>
      <w:bookmarkStart w:id="104" w:name="Bookmark_I5NK5WCN28T4G70020000400"/>
      <w:bookmarkEnd w:id="104"/>
      <w:r>
        <w:rPr>
          <w:rFonts w:ascii="arial" w:eastAsia="arial" w:hAnsi="arial" w:cs="arial"/>
          <w:b w:val="0"/>
          <w:i w:val="0"/>
          <w:strike w:val="0"/>
          <w:noProof w:val="0"/>
          <w:color w:val="000000"/>
          <w:position w:val="0"/>
          <w:sz w:val="20"/>
          <w:u w:val="none"/>
          <w:vertAlign w:val="baseline"/>
        </w:rPr>
        <w:t xml:space="preserve">Movant's sworn statements in open court are entitled to a strong presumption of verity. </w:t>
      </w:r>
      <w:r>
        <w:rPr>
          <w:rFonts w:ascii="arial" w:eastAsia="arial" w:hAnsi="arial" w:cs="arial"/>
          <w:b w:val="0"/>
          <w:i/>
          <w:strike w:val="0"/>
          <w:noProof w:val="0"/>
          <w:color w:val="000000"/>
          <w:position w:val="0"/>
          <w:sz w:val="20"/>
          <w:u w:val="none"/>
          <w:vertAlign w:val="baseline"/>
        </w:rPr>
        <w:t xml:space="preserve">See </w:t>
      </w:r>
      <w:bookmarkStart w:id="105" w:name="Bookmark_I5NK5WCN2N1RVR0040000400"/>
      <w:bookmarkEnd w:id="105"/>
      <w:hyperlink r:id="rId39" w:history="1">
        <w:r>
          <w:rPr>
            <w:rFonts w:ascii="arial" w:eastAsia="arial" w:hAnsi="arial" w:cs="arial"/>
            <w:b w:val="0"/>
            <w:i/>
            <w:strike w:val="0"/>
            <w:noProof w:val="0"/>
            <w:color w:val="0077CC"/>
            <w:position w:val="0"/>
            <w:sz w:val="20"/>
            <w:u w:val="single"/>
            <w:vertAlign w:val="baseline"/>
          </w:rPr>
          <w:t>Blackledge v. Allison</w:t>
        </w:r>
      </w:hyperlink>
      <w:hyperlink r:id="rId39" w:history="1">
        <w:r>
          <w:rPr>
            <w:rFonts w:ascii="arial" w:eastAsia="arial" w:hAnsi="arial" w:cs="arial"/>
            <w:b w:val="0"/>
            <w:i/>
            <w:strike w:val="0"/>
            <w:noProof w:val="0"/>
            <w:color w:val="0077CC"/>
            <w:position w:val="0"/>
            <w:sz w:val="20"/>
            <w:u w:val="single"/>
            <w:vertAlign w:val="baseline"/>
          </w:rPr>
          <w:t>, 431 U.S. 63, 74, 97 S. Ct. 1621, 52 L. Ed. 2d 136 (1977)</w:t>
        </w:r>
      </w:hyperlink>
      <w:r>
        <w:rPr>
          <w:rFonts w:ascii="arial" w:eastAsia="arial" w:hAnsi="arial" w:cs="arial"/>
          <w:b w:val="0"/>
          <w:i w:val="0"/>
          <w:strike w:val="0"/>
          <w:noProof w:val="0"/>
          <w:color w:val="000000"/>
          <w:position w:val="0"/>
          <w:sz w:val="20"/>
          <w:u w:val="none"/>
          <w:vertAlign w:val="baseline"/>
        </w:rPr>
        <w:t xml:space="preserve">. Movant's bare allegations do not overcome this presumption or demonstrate deficient performance on his counsel's part. </w:t>
      </w:r>
      <w:r>
        <w:rPr>
          <w:rFonts w:ascii="arial" w:eastAsia="arial" w:hAnsi="arial" w:cs="arial"/>
          <w:b w:val="0"/>
          <w:i/>
          <w:strike w:val="0"/>
          <w:noProof w:val="0"/>
          <w:color w:val="000000"/>
          <w:position w:val="0"/>
          <w:sz w:val="20"/>
          <w:u w:val="none"/>
          <w:vertAlign w:val="baseline"/>
        </w:rPr>
        <w:t xml:space="preserve">See </w:t>
      </w:r>
      <w:bookmarkStart w:id="106" w:name="Bookmark_I5NK5WCN28T4G70010000400"/>
      <w:bookmarkEnd w:id="106"/>
      <w:hyperlink r:id="rId40" w:history="1">
        <w:r>
          <w:rPr>
            <w:rFonts w:ascii="arial" w:eastAsia="arial" w:hAnsi="arial" w:cs="arial"/>
            <w:b w:val="0"/>
            <w:i/>
            <w:strike w:val="0"/>
            <w:noProof w:val="0"/>
            <w:color w:val="0077CC"/>
            <w:position w:val="0"/>
            <w:sz w:val="20"/>
            <w:u w:val="single"/>
            <w:vertAlign w:val="baseline"/>
          </w:rPr>
          <w:t>United States v. Demik</w:t>
        </w:r>
      </w:hyperlink>
      <w:hyperlink r:id="rId40" w:history="1">
        <w:r>
          <w:rPr>
            <w:rFonts w:ascii="arial" w:eastAsia="arial" w:hAnsi="arial" w:cs="arial"/>
            <w:b w:val="0"/>
            <w:i/>
            <w:strike w:val="0"/>
            <w:noProof w:val="0"/>
            <w:color w:val="0077CC"/>
            <w:position w:val="0"/>
            <w:sz w:val="20"/>
            <w:u w:val="single"/>
            <w:vertAlign w:val="baseline"/>
          </w:rPr>
          <w:t>, 489 F.3d 644, 646 (5th Cir. 2007)</w:t>
        </w:r>
      </w:hyperlink>
      <w:r>
        <w:rPr>
          <w:rFonts w:ascii="arial" w:eastAsia="arial" w:hAnsi="arial" w:cs="arial"/>
          <w:b w:val="0"/>
          <w:i w:val="0"/>
          <w:strike w:val="0"/>
          <w:noProof w:val="0"/>
          <w:color w:val="000000"/>
          <w:position w:val="0"/>
          <w:sz w:val="20"/>
          <w:u w:val="none"/>
          <w:vertAlign w:val="baseline"/>
        </w:rPr>
        <w:t xml:space="preserve"> (stating that "conclusional allegations" and general claims are insufficient to establish ineffective assistance or to require an evidentiary hearing on that issue).</w:t>
      </w:r>
    </w:p>
    <w:p>
      <w:pPr>
        <w:keepNext w:val="0"/>
        <w:spacing w:before="200" w:after="0" w:line="260" w:lineRule="atLeast"/>
        <w:ind w:left="0" w:right="0" w:firstLine="0"/>
        <w:jc w:val="both"/>
      </w:pPr>
      <w:bookmarkStart w:id="107" w:name="Bookmark_para_28"/>
      <w:bookmarkEnd w:id="107"/>
      <w:bookmarkStart w:id="108" w:name="Bookmark_I5NK5WCN28T4G70040000400"/>
      <w:bookmarkEnd w:id="108"/>
      <w:r>
        <w:rPr>
          <w:rFonts w:ascii="arial" w:eastAsia="arial" w:hAnsi="arial" w:cs="arial"/>
          <w:b w:val="0"/>
          <w:i w:val="0"/>
          <w:strike w:val="0"/>
          <w:noProof w:val="0"/>
          <w:color w:val="000000"/>
          <w:position w:val="0"/>
          <w:sz w:val="20"/>
          <w:u w:val="none"/>
          <w:vertAlign w:val="baseline"/>
        </w:rPr>
        <w:t xml:space="preserve">In addition, because Movant does not allege that he would have changed his plea to not guilty and insisted on going to trial if he had received different advice, he also fails to establish the requisite prejudice. </w:t>
      </w:r>
      <w:r>
        <w:rPr>
          <w:rFonts w:ascii="arial" w:eastAsia="arial" w:hAnsi="arial" w:cs="arial"/>
          <w:b w:val="0"/>
          <w:i/>
          <w:strike w:val="0"/>
          <w:noProof w:val="0"/>
          <w:color w:val="000000"/>
          <w:position w:val="0"/>
          <w:sz w:val="20"/>
          <w:u w:val="none"/>
          <w:vertAlign w:val="baseline"/>
        </w:rPr>
        <w:t xml:space="preserve">See </w:t>
      </w:r>
      <w:bookmarkStart w:id="109" w:name="Bookmark_I5NK5WCN28T4G70030000400"/>
      <w:bookmarkEnd w:id="109"/>
      <w:hyperlink r:id="rId34" w:history="1">
        <w:r>
          <w:rPr>
            <w:rFonts w:ascii="arial" w:eastAsia="arial" w:hAnsi="arial" w:cs="arial"/>
            <w:b w:val="0"/>
            <w:i/>
            <w:strike w:val="0"/>
            <w:noProof w:val="0"/>
            <w:color w:val="0077CC"/>
            <w:position w:val="0"/>
            <w:sz w:val="20"/>
            <w:u w:val="single"/>
            <w:vertAlign w:val="baseline"/>
          </w:rPr>
          <w:t>Hill</w:t>
        </w:r>
      </w:hyperlink>
      <w:hyperlink r:id="rId34" w:history="1">
        <w:r>
          <w:rPr>
            <w:rFonts w:ascii="arial" w:eastAsia="arial" w:hAnsi="arial" w:cs="arial"/>
            <w:b w:val="0"/>
            <w:i/>
            <w:strike w:val="0"/>
            <w:noProof w:val="0"/>
            <w:color w:val="0077CC"/>
            <w:position w:val="0"/>
            <w:sz w:val="20"/>
            <w:u w:val="single"/>
            <w:vertAlign w:val="baseline"/>
          </w:rPr>
          <w:t>, 474 U.S. at 59</w:t>
        </w:r>
      </w:hyperlink>
      <w:r>
        <w:rPr>
          <w:rFonts w:ascii="arial" w:eastAsia="arial" w:hAnsi="arial" w:cs="arial"/>
          <w:b w:val="0"/>
          <w:i w:val="0"/>
          <w:strike w:val="0"/>
          <w:noProof w:val="0"/>
          <w:color w:val="000000"/>
          <w:position w:val="0"/>
          <w:sz w:val="20"/>
          <w:u w:val="none"/>
          <w:vertAlign w:val="baseline"/>
        </w:rPr>
        <w:t>. Absent a showing of deficient performance and actual prejudice, Movant does not demonstrate that he was denied effective assistance of counsel in connection with his guilty plea and therefore he is not entitled to relief on this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Failure to Adequately Argue for a Downward Departure</w:t>
      </w:r>
    </w:p>
    <w:p>
      <w:pPr>
        <w:keepNext w:val="0"/>
        <w:spacing w:before="200" w:after="0" w:line="260" w:lineRule="atLeast"/>
        <w:ind w:left="0" w:right="0" w:firstLine="0"/>
        <w:jc w:val="both"/>
      </w:pPr>
      <w:bookmarkStart w:id="110" w:name="Bookmark_para_29"/>
      <w:bookmarkEnd w:id="110"/>
      <w:r>
        <w:rPr>
          <w:rFonts w:ascii="arial" w:eastAsia="arial" w:hAnsi="arial" w:cs="arial"/>
          <w:b w:val="0"/>
          <w:i w:val="0"/>
          <w:strike w:val="0"/>
          <w:noProof w:val="0"/>
          <w:color w:val="000000"/>
          <w:position w:val="0"/>
          <w:sz w:val="20"/>
          <w:u w:val="none"/>
          <w:vertAlign w:val="baseline"/>
        </w:rPr>
        <w:t>Movant contends that his defense counsel was deficient at sentencing for failing to present the "strongest argument" in favor of a downward departure based on his medical needs, his family situation, and his cultural assimilation. (Docket No. 3, at p. 4). Movant alleges further that his defense counsel should have sought a reduction in sentence based on his status as a victim of "human trafficking." (Docket No. 1, at p. 4.) Finally, Movant alleges that his defense counsel was ineffective for failing to argue that he was entitled to a reduced sentence under the "Fast Track Program." (Docket No. 3, at pp. 4-5.)</w:t>
      </w:r>
    </w:p>
    <w:p>
      <w:pPr>
        <w:keepNext w:val="0"/>
        <w:spacing w:before="200" w:after="0" w:line="260" w:lineRule="atLeast"/>
        <w:ind w:left="0" w:right="0" w:firstLine="0"/>
        <w:jc w:val="both"/>
      </w:pPr>
      <w:bookmarkStart w:id="111" w:name="Bookmark_para_30"/>
      <w:bookmarkEnd w:id="111"/>
      <w:r>
        <w:rPr>
          <w:rFonts w:ascii="arial" w:eastAsia="arial" w:hAnsi="arial" w:cs="arial"/>
          <w:b w:val="0"/>
          <w:i w:val="0"/>
          <w:strike w:val="0"/>
          <w:noProof w:val="0"/>
          <w:color w:val="000000"/>
          <w:position w:val="0"/>
          <w:sz w:val="20"/>
          <w:u w:val="none"/>
          <w:vertAlign w:val="baseline"/>
        </w:rPr>
        <w:t>As noted above, defense counsel filed written objections seeking a reduced sentence based on Movant's family ties to the United States and the excessiveness of the 16-level enhancement. (Cr. Docket No. 17.) At sentencing, defense counsel argued at length that a reduction in sentence was warranted for the reasons outlined in her written objections. (Cr. Docket No. 40, at pp. 23-33.) Counsel's arguments were successful as the District Court granted a substantial downward departure in this case. With full credit for acceptance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responsibility, Movant faced a range of 57 to 71 months' imprisonment under the advisory guidelines. (Cr. Docket No. 40, at p. 33.) The District Court departed well below the recommended range and imposed a sentence of 24 months with no attendant term of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34.)</w:t>
      </w:r>
    </w:p>
    <w:p>
      <w:pPr>
        <w:keepNext w:val="0"/>
        <w:spacing w:before="200" w:after="0" w:line="260" w:lineRule="atLeast"/>
        <w:ind w:left="0" w:right="0" w:firstLine="0"/>
        <w:jc w:val="both"/>
      </w:pPr>
      <w:bookmarkStart w:id="112" w:name="Bookmark_para_31"/>
      <w:bookmarkEnd w:id="112"/>
      <w:r>
        <w:rPr>
          <w:rFonts w:ascii="arial" w:eastAsia="arial" w:hAnsi="arial" w:cs="arial"/>
          <w:b w:val="0"/>
          <w:i w:val="0"/>
          <w:strike w:val="0"/>
          <w:noProof w:val="0"/>
          <w:color w:val="000000"/>
          <w:position w:val="0"/>
          <w:sz w:val="20"/>
          <w:u w:val="none"/>
          <w:vertAlign w:val="baseline"/>
        </w:rPr>
        <w:t xml:space="preserve">Although Movant faults his counsel for failing to cast him as a victim of human trafficking or to call attention to his medical condition, the record reflects that the District Court considered these factors when pronouncing sentence. In that regard, Movant testified that he injured his back and leg in a car accident that occurred while he was being smuggled into the United States or transported by smugglers, implying that he was a victim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(Cr. Docket No. 40, at pp. 6, 13-19.) Movant does not supply any additional facts showing that his counsel had, but failed to make, a legitimate argument that would have resulted in less prison time based on his alleged victim status.</w:t>
      </w:r>
    </w:p>
    <w:p>
      <w:pPr>
        <w:keepNext w:val="0"/>
        <w:spacing w:before="240" w:after="0" w:line="260" w:lineRule="atLeast"/>
        <w:ind w:left="0" w:right="0" w:firstLine="0"/>
        <w:jc w:val="both"/>
      </w:pPr>
      <w:bookmarkStart w:id="113" w:name="Bookmark_para_32"/>
      <w:bookmarkEnd w:id="113"/>
      <w:bookmarkStart w:id="114" w:name="Bookmark_I5NK5WCN2SF8PX0010000400"/>
      <w:bookmarkEnd w:id="114"/>
      <w:r>
        <w:rPr>
          <w:rFonts w:ascii="arial" w:eastAsia="arial" w:hAnsi="arial" w:cs="arial"/>
          <w:b w:val="0"/>
          <w:i w:val="0"/>
          <w:strike w:val="0"/>
          <w:noProof w:val="0"/>
          <w:color w:val="000000"/>
          <w:position w:val="0"/>
          <w:sz w:val="20"/>
          <w:u w:val="none"/>
          <w:vertAlign w:val="baseline"/>
        </w:rPr>
        <w:t>Movant, who had been deported a number of times and committed the instant offense while on supervised release from a previous conviction for illegal re-entry, likewise does not attempt to demonstrate that he was entitled to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reduction under the Fast Track Program.</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Nor does he articulate grounds for a downward departure based on cultural assimilation. </w:t>
      </w:r>
      <w:r>
        <w:rPr>
          <w:rFonts w:ascii="arial" w:eastAsia="arial" w:hAnsi="arial" w:cs="arial"/>
          <w:b w:val="0"/>
          <w:i/>
          <w:strike w:val="0"/>
          <w:noProof w:val="0"/>
          <w:color w:val="000000"/>
          <w:position w:val="0"/>
          <w:sz w:val="20"/>
          <w:u w:val="none"/>
          <w:vertAlign w:val="baseline"/>
        </w:rPr>
        <w:t xml:space="preserve">See </w:t>
      </w:r>
      <w:bookmarkStart w:id="116" w:name="Bookmark_I5NK5WCN28T4G70050000400"/>
      <w:bookmarkEnd w:id="116"/>
      <w:hyperlink r:id="rId41" w:history="1">
        <w:r>
          <w:rPr>
            <w:rFonts w:ascii="arial" w:eastAsia="arial" w:hAnsi="arial" w:cs="arial"/>
            <w:b w:val="0"/>
            <w:i/>
            <w:strike w:val="0"/>
            <w:noProof w:val="0"/>
            <w:color w:val="0077CC"/>
            <w:position w:val="0"/>
            <w:sz w:val="20"/>
            <w:u w:val="single"/>
            <w:vertAlign w:val="baseline"/>
          </w:rPr>
          <w:t>United States v. Rodriguez—Montelongo</w:t>
        </w:r>
      </w:hyperlink>
      <w:hyperlink r:id="rId41" w:history="1">
        <w:r>
          <w:rPr>
            <w:rFonts w:ascii="arial" w:eastAsia="arial" w:hAnsi="arial" w:cs="arial"/>
            <w:b w:val="0"/>
            <w:i/>
            <w:strike w:val="0"/>
            <w:noProof w:val="0"/>
            <w:color w:val="0077CC"/>
            <w:position w:val="0"/>
            <w:sz w:val="20"/>
            <w:u w:val="single"/>
            <w:vertAlign w:val="baseline"/>
          </w:rPr>
          <w:t>, 263 F.3d 429, 433-34 (5th Cir. 2001)</w:t>
        </w:r>
      </w:hyperlink>
      <w:r>
        <w:rPr>
          <w:rFonts w:ascii="arial" w:eastAsia="arial" w:hAnsi="arial" w:cs="arial"/>
          <w:b w:val="0"/>
          <w:i w:val="0"/>
          <w:strike w:val="0"/>
          <w:noProof w:val="0"/>
          <w:color w:val="000000"/>
          <w:position w:val="0"/>
          <w:sz w:val="20"/>
          <w:u w:val="none"/>
          <w:vertAlign w:val="baseline"/>
        </w:rPr>
        <w:t xml:space="preserve"> (noting that "cultural assimilation is a permissible basis for downward departure" under </w:t>
      </w:r>
      <w:hyperlink r:id="rId42" w:history="1">
        <w:r>
          <w:rPr>
            <w:rFonts w:ascii="arial" w:eastAsia="arial" w:hAnsi="arial" w:cs="arial"/>
            <w:b w:val="0"/>
            <w:i/>
            <w:strike w:val="0"/>
            <w:noProof w:val="0"/>
            <w:color w:val="0077CC"/>
            <w:position w:val="0"/>
            <w:sz w:val="20"/>
            <w:u w:val="single"/>
            <w:vertAlign w:val="baseline"/>
          </w:rPr>
          <w:t>section 5K2.0 of the Sentencing Guidelines</w:t>
        </w:r>
      </w:hyperlink>
      <w:r>
        <w:rPr>
          <w:rFonts w:ascii="arial" w:eastAsia="arial" w:hAnsi="arial" w:cs="arial"/>
          <w:b w:val="0"/>
          <w:i w:val="0"/>
          <w:strike w:val="0"/>
          <w:noProof w:val="0"/>
          <w:color w:val="000000"/>
          <w:position w:val="0"/>
          <w:sz w:val="20"/>
          <w:u w:val="none"/>
          <w:vertAlign w:val="baseline"/>
        </w:rPr>
        <w:t>, but that such a departure is to be made only where the circumstances are "atypical or extraordinary"). Movant does not otherwise allege facts showing what else his counsel could have done that would have produced a more favorable result than the 24-month sentence that he ultimately received.</w:t>
      </w:r>
    </w:p>
    <w:p>
      <w:pPr>
        <w:keepNext w:val="0"/>
        <w:spacing w:before="200" w:after="0" w:line="260" w:lineRule="atLeast"/>
        <w:ind w:left="0" w:right="0" w:firstLine="0"/>
        <w:jc w:val="both"/>
      </w:pPr>
      <w:bookmarkStart w:id="117" w:name="Bookmark_para_33"/>
      <w:bookmarkEnd w:id="117"/>
      <w:r>
        <w:rPr>
          <w:rFonts w:ascii="arial" w:eastAsia="arial" w:hAnsi="arial" w:cs="arial"/>
          <w:b w:val="0"/>
          <w:i w:val="0"/>
          <w:strike w:val="0"/>
          <w:noProof w:val="0"/>
          <w:color w:val="000000"/>
          <w:position w:val="0"/>
          <w:sz w:val="20"/>
          <w:u w:val="none"/>
          <w:vertAlign w:val="baseline"/>
        </w:rPr>
        <w:t>Based on this record, Movant does not demonstrate that his defense counsel was deficient or that he would have been sentenced to less time in prison but for an alleged error by his counsel. To the contrary, the record shows that Movant received a greatly reduced sentence through the efforts of his attorney. Because Movant does not establish that his counsel was constitutionally ineffective, he is not entitled to relief on this claim.</w:t>
      </w:r>
    </w:p>
    <w:p>
      <w:pPr>
        <w:keepNext w:val="0"/>
        <w:spacing w:before="200" w:after="0" w:line="260" w:lineRule="atLeast"/>
        <w:ind w:left="0" w:right="0" w:firstLine="0"/>
        <w:jc w:val="both"/>
      </w:pPr>
      <w:bookmarkStart w:id="118" w:name="Bookmark_para_34"/>
      <w:bookmarkEnd w:id="118"/>
      <w:r>
        <w:rPr>
          <w:rFonts w:ascii="arial" w:eastAsia="arial" w:hAnsi="arial" w:cs="arial"/>
          <w:b w:val="0"/>
          <w:i w:val="0"/>
          <w:strike w:val="0"/>
          <w:noProof w:val="0"/>
          <w:color w:val="000000"/>
          <w:position w:val="0"/>
          <w:sz w:val="20"/>
          <w:u w:val="none"/>
          <w:vertAlign w:val="baseline"/>
        </w:rPr>
        <w:t>In sum, Movant has not established that he was denied effective assistance of counsel in connection with his guilty plea or his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 CONCLUSION</w:t>
      </w:r>
    </w:p>
    <w:p>
      <w:pPr>
        <w:keepNext w:val="0"/>
        <w:spacing w:before="240" w:after="0" w:line="260" w:lineRule="atLeast"/>
        <w:ind w:left="0" w:right="0" w:firstLine="0"/>
        <w:jc w:val="both"/>
      </w:pPr>
      <w:bookmarkStart w:id="119" w:name="Bookmark_para_35"/>
      <w:bookmarkEnd w:id="119"/>
      <w:r>
        <w:rPr>
          <w:rFonts w:ascii="arial" w:eastAsia="arial" w:hAnsi="arial" w:cs="arial"/>
          <w:b w:val="0"/>
          <w:i w:val="0"/>
          <w:strike w:val="0"/>
          <w:noProof w:val="0"/>
          <w:color w:val="000000"/>
          <w:position w:val="0"/>
          <w:sz w:val="20"/>
          <w:u w:val="none"/>
          <w:vertAlign w:val="baseline"/>
        </w:rPr>
        <w:t>For the foregoing reasons, the undersigned respectfully recommends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Respondent's Motion to Dismiss (Docket No. 9) be GRANTED, that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Vacate (Docket No. 1) be DENIED, and that this action be DISMISSED. For the reasons discussed below, it is further recommended that Movant be denied a certificate of appealability.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120" w:name="Bookmark_para_36"/>
      <w:bookmarkEnd w:id="120"/>
      <w:r>
        <w:rPr>
          <w:rFonts w:ascii="arial" w:eastAsia="arial" w:hAnsi="arial" w:cs="arial"/>
          <w:b w:val="0"/>
          <w:i w:val="0"/>
          <w:strike w:val="0"/>
          <w:noProof w:val="0"/>
          <w:color w:val="000000"/>
          <w:position w:val="0"/>
          <w:sz w:val="20"/>
          <w:u w:val="none"/>
          <w:vertAlign w:val="baseline"/>
        </w:rPr>
        <w:t xml:space="preserve">An appeal may not be taken to the court of appeals from a final order in a habeas corpus proceeding "unless a circuit justice or judge issues a certificate of appealability." </w:t>
      </w:r>
      <w:hyperlink r:id="rId43" w:history="1">
        <w:r>
          <w:rPr>
            <w:rFonts w:ascii="arial" w:eastAsia="arial" w:hAnsi="arial" w:cs="arial"/>
            <w:b w:val="0"/>
            <w:i/>
            <w:strike w:val="0"/>
            <w:noProof w:val="0"/>
            <w:color w:val="0077CC"/>
            <w:position w:val="0"/>
            <w:sz w:val="20"/>
            <w:u w:val="single"/>
            <w:vertAlign w:val="baseline"/>
          </w:rPr>
          <w:t>28 U.S.C. § 2253(c)(1)(A)</w:t>
        </w:r>
      </w:hyperlink>
      <w:r>
        <w:rPr>
          <w:rFonts w:ascii="arial" w:eastAsia="arial" w:hAnsi="arial" w:cs="arial"/>
          <w:b w:val="0"/>
          <w:i w:val="0"/>
          <w:strike w:val="0"/>
          <w:noProof w:val="0"/>
          <w:color w:val="000000"/>
          <w:position w:val="0"/>
          <w:sz w:val="20"/>
          <w:u w:val="none"/>
          <w:vertAlign w:val="baseline"/>
        </w:rPr>
        <w:t xml:space="preserve">. Although Movant has not yet filed a notice of appeal, the recently-amended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Rules instruct that the District Court "must issue or deny a certificate of appealability when it enters a final order adverse to the applicant." </w:t>
      </w:r>
      <w:hyperlink r:id="rId44" w:history="1">
        <w:r>
          <w:rPr>
            <w:rFonts w:ascii="arial" w:eastAsia="arial" w:hAnsi="arial" w:cs="arial"/>
            <w:b w:val="0"/>
            <w:i/>
            <w:strike w:val="0"/>
            <w:noProof w:val="0"/>
            <w:color w:val="0077CC"/>
            <w:position w:val="0"/>
            <w:sz w:val="20"/>
            <w:u w:val="single"/>
            <w:vertAlign w:val="baseline"/>
          </w:rPr>
          <w:t>Rule 11, Rules Governing Section 2255 Proceedings.</w:t>
        </w:r>
      </w:hyperlink>
      <w:r>
        <w:rPr>
          <w:rFonts w:ascii="arial" w:eastAsia="arial" w:hAnsi="arial" w:cs="arial"/>
          <w:b w:val="0"/>
          <w:i w:val="0"/>
          <w:strike w:val="0"/>
          <w:noProof w:val="0"/>
          <w:color w:val="000000"/>
          <w:position w:val="0"/>
          <w:sz w:val="20"/>
          <w:u w:val="none"/>
          <w:vertAlign w:val="baseline"/>
        </w:rPr>
        <w:t xml:space="preserve"> Because the undersigned recommends the dismissal of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 it is necessary to address whether Movant is entitled to a certificate of appealability ("COA").</w:t>
      </w:r>
    </w:p>
    <w:p>
      <w:pPr>
        <w:keepNext w:val="0"/>
        <w:spacing w:before="240" w:after="0" w:line="260" w:lineRule="atLeast"/>
        <w:ind w:left="0" w:right="0" w:firstLine="0"/>
        <w:jc w:val="both"/>
      </w:pPr>
      <w:bookmarkStart w:id="121" w:name="Bookmark_para_37"/>
      <w:bookmarkEnd w:id="121"/>
      <w:bookmarkStart w:id="122" w:name="Bookmark_I5NK5WCN2SF8PX0030000400"/>
      <w:bookmarkEnd w:id="122"/>
      <w:bookmarkStart w:id="123" w:name="Bookmark_I5NK5WCN2SF8PX0050000400"/>
      <w:bookmarkEnd w:id="123"/>
      <w:r>
        <w:rPr>
          <w:rFonts w:ascii="arial" w:eastAsia="arial" w:hAnsi="arial" w:cs="arial"/>
          <w:b w:val="0"/>
          <w:i w:val="0"/>
          <w:strike w:val="0"/>
          <w:noProof w:val="0"/>
          <w:color w:val="000000"/>
          <w:position w:val="0"/>
          <w:sz w:val="20"/>
          <w:u w:val="none"/>
          <w:vertAlign w:val="baseline"/>
        </w:rPr>
        <w:t xml:space="preserve">A COA "may issue . . . only if the applicant has made a substantial showing of the denial of a constitutional right." </w:t>
      </w:r>
      <w:hyperlink r:id="rId43"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t>
      </w:r>
      <w:bookmarkStart w:id="124" w:name="Bookmark_I5NK5WCN2D6MSX0040000400"/>
      <w:bookmarkEnd w:id="124"/>
      <w:r>
        <w:rPr>
          <w:rFonts w:ascii="arial" w:eastAsia="arial" w:hAnsi="arial" w:cs="arial"/>
          <w:b w:val="0"/>
          <w:i w:val="0"/>
          <w:strike w:val="0"/>
          <w:noProof w:val="0"/>
          <w:color w:val="000000"/>
          <w:position w:val="0"/>
          <w:sz w:val="20"/>
          <w:u w:val="none"/>
          <w:vertAlign w:val="baseline"/>
        </w:rPr>
        <w:t xml:space="preserve">"The COA determination under </w:t>
      </w:r>
      <w:hyperlink r:id="rId43" w:history="1">
        <w:r>
          <w:rPr>
            <w:rFonts w:ascii="arial" w:eastAsia="arial" w:hAnsi="arial" w:cs="arial"/>
            <w:b w:val="0"/>
            <w:i/>
            <w:strike w:val="0"/>
            <w:noProof w:val="0"/>
            <w:color w:val="0077CC"/>
            <w:position w:val="0"/>
            <w:sz w:val="20"/>
            <w:u w:val="single"/>
            <w:vertAlign w:val="baseline"/>
          </w:rPr>
          <w:t>§ 2253(c)</w:t>
        </w:r>
      </w:hyperlink>
      <w:r>
        <w:rPr>
          <w:rFonts w:ascii="arial" w:eastAsia="arial" w:hAnsi="arial" w:cs="arial"/>
          <w:b w:val="0"/>
          <w:i w:val="0"/>
          <w:strike w:val="0"/>
          <w:noProof w:val="0"/>
          <w:color w:val="000000"/>
          <w:position w:val="0"/>
          <w:sz w:val="20"/>
          <w:u w:val="none"/>
          <w:vertAlign w:val="baseline"/>
        </w:rPr>
        <w:t xml:space="preserve"> requires an overview of the claims in the habeas petition and a general assessment of their merits." </w:t>
      </w:r>
      <w:bookmarkStart w:id="125" w:name="Bookmark_I5NK5WCN2SF8PX0020000400"/>
      <w:bookmarkEnd w:id="125"/>
      <w:hyperlink r:id="rId45" w:history="1">
        <w:r>
          <w:rPr>
            <w:rFonts w:ascii="arial" w:eastAsia="arial" w:hAnsi="arial" w:cs="arial"/>
            <w:b w:val="0"/>
            <w:i/>
            <w:strike w:val="0"/>
            <w:noProof w:val="0"/>
            <w:color w:val="0077CC"/>
            <w:position w:val="0"/>
            <w:sz w:val="20"/>
            <w:u w:val="single"/>
            <w:vertAlign w:val="baseline"/>
          </w:rPr>
          <w:t>Miller-El v. Cockrell</w:t>
        </w:r>
      </w:hyperlink>
      <w:hyperlink r:id="rId45"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w:t>
      </w:r>
      <w:bookmarkStart w:id="126" w:name="Bookmark_I5NK5WCN2HM5X90030000400"/>
      <w:bookmarkEnd w:id="126"/>
      <w:r>
        <w:rPr>
          <w:rFonts w:ascii="arial" w:eastAsia="arial" w:hAnsi="arial" w:cs="arial"/>
          <w:b w:val="0"/>
          <w:i w:val="0"/>
          <w:strike w:val="0"/>
          <w:noProof w:val="0"/>
          <w:color w:val="000000"/>
          <w:position w:val="0"/>
          <w:sz w:val="20"/>
          <w:u w:val="none"/>
          <w:vertAlign w:val="baseline"/>
        </w:rPr>
        <w:t>To warrant a COA as to claims denied on their merits, "[t]he petitioner must demonstrate that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reasonable jurists would find the district court's assessment of the constitutional claims debatable or wrong." </w:t>
      </w:r>
      <w:bookmarkStart w:id="127" w:name="Bookmark_I5NK5WCN2SF8PX0040000400"/>
      <w:bookmarkEnd w:id="127"/>
      <w:hyperlink r:id="rId46" w:history="1">
        <w:r>
          <w:rPr>
            <w:rFonts w:ascii="arial" w:eastAsia="arial" w:hAnsi="arial" w:cs="arial"/>
            <w:b w:val="0"/>
            <w:i/>
            <w:strike w:val="0"/>
            <w:noProof w:val="0"/>
            <w:color w:val="0077CC"/>
            <w:position w:val="0"/>
            <w:sz w:val="20"/>
            <w:u w:val="single"/>
            <w:vertAlign w:val="baseline"/>
          </w:rPr>
          <w:t>Slack v. McDaniel</w:t>
        </w:r>
      </w:hyperlink>
      <w:hyperlink r:id="rId46"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8" w:name="Bookmark_I5NK5WCN2D6MSX0010000400"/>
      <w:bookmarkEnd w:id="128"/>
      <w:hyperlink r:id="rId47" w:history="1">
        <w:r>
          <w:rPr>
            <w:rFonts w:ascii="arial" w:eastAsia="arial" w:hAnsi="arial" w:cs="arial"/>
            <w:b w:val="0"/>
            <w:i/>
            <w:strike w:val="0"/>
            <w:noProof w:val="0"/>
            <w:color w:val="0077CC"/>
            <w:position w:val="0"/>
            <w:sz w:val="20"/>
            <w:u w:val="single"/>
            <w:vertAlign w:val="baseline"/>
          </w:rPr>
          <w:t>United States v. Jones</w:t>
        </w:r>
      </w:hyperlink>
      <w:hyperlink r:id="rId47" w:history="1">
        <w:r>
          <w:rPr>
            <w:rFonts w:ascii="arial" w:eastAsia="arial" w:hAnsi="arial" w:cs="arial"/>
            <w:b w:val="0"/>
            <w:i/>
            <w:strike w:val="0"/>
            <w:noProof w:val="0"/>
            <w:color w:val="0077CC"/>
            <w:position w:val="0"/>
            <w:sz w:val="20"/>
            <w:u w:val="single"/>
            <w:vertAlign w:val="baseline"/>
          </w:rPr>
          <w:t>, 287 F.3d 325, 329 (5th Cir. 2002)</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Slack</w:t>
      </w:r>
      <w:r>
        <w:rPr>
          <w:rFonts w:ascii="arial" w:eastAsia="arial" w:hAnsi="arial" w:cs="arial"/>
          <w:b w:val="0"/>
          <w:i w:val="0"/>
          <w:strike w:val="0"/>
          <w:noProof w:val="0"/>
          <w:color w:val="000000"/>
          <w:position w:val="0"/>
          <w:sz w:val="20"/>
          <w:u w:val="none"/>
          <w:vertAlign w:val="baseline"/>
        </w:rPr>
        <w:t xml:space="preserve"> standard to a COA determination in the context of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proceedings). </w:t>
      </w:r>
      <w:bookmarkStart w:id="129" w:name="Bookmark_I5NK5WCN2HM5X90030000400_2"/>
      <w:bookmarkEnd w:id="129"/>
      <w:bookmarkStart w:id="130" w:name="Bookmark_I5NK5WCN2D6MSX0040000400_2"/>
      <w:bookmarkEnd w:id="130"/>
      <w:r>
        <w:rPr>
          <w:rFonts w:ascii="arial" w:eastAsia="arial" w:hAnsi="arial" w:cs="arial"/>
          <w:b w:val="0"/>
          <w:i w:val="0"/>
          <w:strike w:val="0"/>
          <w:noProof w:val="0"/>
          <w:color w:val="000000"/>
          <w:position w:val="0"/>
          <w:sz w:val="20"/>
          <w:u w:val="none"/>
          <w:vertAlign w:val="baseline"/>
        </w:rPr>
        <w:t xml:space="preserve">An applicant may also satisfy this standard by showing that "jurists could conclude the issues presented are adequate to deserve encouragement to proceed further." </w:t>
      </w:r>
      <w:bookmarkStart w:id="131" w:name="Bookmark_I5NK5WCN2D6MSX0030000400"/>
      <w:bookmarkEnd w:id="131"/>
      <w:hyperlink r:id="rId45" w:history="1">
        <w:r>
          <w:rPr>
            <w:rFonts w:ascii="arial" w:eastAsia="arial" w:hAnsi="arial" w:cs="arial"/>
            <w:b w:val="0"/>
            <w:i/>
            <w:strike w:val="0"/>
            <w:noProof w:val="0"/>
            <w:color w:val="0077CC"/>
            <w:position w:val="0"/>
            <w:sz w:val="20"/>
            <w:u w:val="single"/>
            <w:vertAlign w:val="baseline"/>
          </w:rPr>
          <w:t>Miller-El</w:t>
        </w:r>
      </w:hyperlink>
      <w:hyperlink r:id="rId45" w:history="1">
        <w:r>
          <w:rPr>
            <w:rFonts w:ascii="arial" w:eastAsia="arial" w:hAnsi="arial" w:cs="arial"/>
            <w:b w:val="0"/>
            <w:i/>
            <w:strike w:val="0"/>
            <w:noProof w:val="0"/>
            <w:color w:val="0077CC"/>
            <w:position w:val="0"/>
            <w:sz w:val="20"/>
            <w:u w:val="single"/>
            <w:vertAlign w:val="baseline"/>
          </w:rPr>
          <w:t>, 537 U.S. at 327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32" w:name="Bookmark_I5NK5WCN2D6MSX0050000400"/>
      <w:bookmarkEnd w:id="132"/>
      <w:hyperlink r:id="rId47" w:history="1">
        <w:r>
          <w:rPr>
            <w:rFonts w:ascii="arial" w:eastAsia="arial" w:hAnsi="arial" w:cs="arial"/>
            <w:b w:val="0"/>
            <w:i/>
            <w:strike w:val="0"/>
            <w:noProof w:val="0"/>
            <w:color w:val="0077CC"/>
            <w:position w:val="0"/>
            <w:sz w:val="20"/>
            <w:u w:val="single"/>
            <w:vertAlign w:val="baseline"/>
          </w:rPr>
          <w:t>Jones</w:t>
        </w:r>
      </w:hyperlink>
      <w:hyperlink r:id="rId47" w:history="1">
        <w:r>
          <w:rPr>
            <w:rFonts w:ascii="arial" w:eastAsia="arial" w:hAnsi="arial" w:cs="arial"/>
            <w:b w:val="0"/>
            <w:i/>
            <w:strike w:val="0"/>
            <w:noProof w:val="0"/>
            <w:color w:val="0077CC"/>
            <w:position w:val="0"/>
            <w:sz w:val="20"/>
            <w:u w:val="single"/>
            <w:vertAlign w:val="baseline"/>
          </w:rPr>
          <w:t>, 287 F.3d at 329</w:t>
        </w:r>
      </w:hyperlink>
      <w:r>
        <w:rPr>
          <w:rFonts w:ascii="arial" w:eastAsia="arial" w:hAnsi="arial" w:cs="arial"/>
          <w:b w:val="0"/>
          <w:i w:val="0"/>
          <w:strike w:val="0"/>
          <w:noProof w:val="0"/>
          <w:color w:val="000000"/>
          <w:position w:val="0"/>
          <w:sz w:val="20"/>
          <w:u w:val="none"/>
          <w:vertAlign w:val="baseline"/>
        </w:rPr>
        <w:t xml:space="preserve">. As to claims that a district court rejects solely on procedural grounds, the prisoner must show both that "jurists of reason would find it debatable whether the petition states a valid claim of the denial of a constitutional right and that jurists of reason would find it debatable whether the district court was correct in its procedural ruling." </w:t>
      </w:r>
      <w:bookmarkStart w:id="133" w:name="Bookmark_I5NK5WCN2HM5X90020000400"/>
      <w:bookmarkEnd w:id="133"/>
      <w:hyperlink r:id="rId46" w:history="1">
        <w:r>
          <w:rPr>
            <w:rFonts w:ascii="arial" w:eastAsia="arial" w:hAnsi="arial" w:cs="arial"/>
            <w:b w:val="0"/>
            <w:i/>
            <w:strike w:val="0"/>
            <w:noProof w:val="0"/>
            <w:color w:val="0077CC"/>
            <w:position w:val="0"/>
            <w:sz w:val="20"/>
            <w:u w:val="single"/>
            <w:vertAlign w:val="baseline"/>
          </w:rPr>
          <w:t>Slack</w:t>
        </w:r>
      </w:hyperlink>
      <w:hyperlink r:id="rId46"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38"/>
      <w:bookmarkEnd w:id="134"/>
      <w:r>
        <w:rPr>
          <w:rFonts w:ascii="arial" w:eastAsia="arial" w:hAnsi="arial" w:cs="arial"/>
          <w:b w:val="0"/>
          <w:i w:val="0"/>
          <w:strike w:val="0"/>
          <w:noProof w:val="0"/>
          <w:color w:val="000000"/>
          <w:position w:val="0"/>
          <w:sz w:val="20"/>
          <w:u w:val="none"/>
          <w:vertAlign w:val="baseline"/>
        </w:rPr>
        <w:t xml:space="preserve">Here, Movant's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claims should be dismissed on their merits. For the reasons explained in this report, the undersigned believes that reasonable jurists would not find debatable or wrong the conclusion that Movant's claims lack merit, nor are the claims he presents adequate to deserve encouragement to proceed further. Accordingly, Movant is not entitled to a COA.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NOTICE TO THE PARTIES</w:t>
      </w:r>
    </w:p>
    <w:p>
      <w:pPr>
        <w:keepNext w:val="0"/>
        <w:spacing w:before="240" w:after="0" w:line="260" w:lineRule="atLeast"/>
        <w:ind w:left="0" w:right="0" w:firstLine="0"/>
        <w:jc w:val="both"/>
      </w:pPr>
      <w:bookmarkStart w:id="135" w:name="Bookmark_para_39"/>
      <w:bookmarkEnd w:id="135"/>
      <w:r>
        <w:rPr>
          <w:rFonts w:ascii="arial" w:eastAsia="arial" w:hAnsi="arial" w:cs="arial"/>
          <w:b w:val="0"/>
          <w:i w:val="0"/>
          <w:strike w:val="0"/>
          <w:noProof w:val="0"/>
          <w:color w:val="000000"/>
          <w:position w:val="0"/>
          <w:sz w:val="20"/>
          <w:u w:val="none"/>
          <w:vertAlign w:val="baseline"/>
        </w:rPr>
        <w:t>The Clerk shall send copies of this Report and Recommendation to Movant and counsel for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Respondent, who have fourteen (14) days after receipt thereof to file written objections pursuant to </w:t>
      </w:r>
      <w:hyperlink r:id="rId48"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and </w:t>
      </w:r>
      <w:hyperlink r:id="rId49" w:history="1">
        <w:r>
          <w:rPr>
            <w:rFonts w:ascii="arial" w:eastAsia="arial" w:hAnsi="arial" w:cs="arial"/>
            <w:b w:val="0"/>
            <w:i/>
            <w:strike w:val="0"/>
            <w:noProof w:val="0"/>
            <w:color w:val="0077CC"/>
            <w:position w:val="0"/>
            <w:sz w:val="20"/>
            <w:u w:val="single"/>
            <w:vertAlign w:val="baseline"/>
          </w:rPr>
          <w:t>Rule 72(b) of the Federal Rules of Civil Procedure</w:t>
        </w:r>
      </w:hyperlink>
      <w:r>
        <w:rPr>
          <w:rFonts w:ascii="arial" w:eastAsia="arial" w:hAnsi="arial" w:cs="arial"/>
          <w:b w:val="0"/>
          <w:i w:val="0"/>
          <w:strike w:val="0"/>
          <w:noProof w:val="0"/>
          <w:color w:val="000000"/>
          <w:position w:val="0"/>
          <w:sz w:val="20"/>
          <w:u w:val="none"/>
          <w:vertAlign w:val="baseline"/>
        </w:rPr>
        <w:t>. Failure to file timely written objections shall bar an aggrieved party from receiving a de novo review by the District Court on an issue covered in this Report and, except upon grounds of plain error, from attacking on appeal the unobjected-to proposed factual findings and legal conclusions accepted by the District Court.</w:t>
      </w:r>
    </w:p>
    <w:p>
      <w:pPr>
        <w:keepNext w:val="0"/>
        <w:spacing w:before="200" w:after="0" w:line="260" w:lineRule="atLeast"/>
        <w:ind w:left="0" w:right="0" w:firstLine="0"/>
        <w:jc w:val="both"/>
      </w:pPr>
      <w:bookmarkStart w:id="136" w:name="Bookmark_para_40"/>
      <w:bookmarkEnd w:id="136"/>
      <w:r>
        <w:rPr>
          <w:rFonts w:ascii="arial" w:eastAsia="arial" w:hAnsi="arial" w:cs="arial"/>
          <w:b w:val="0"/>
          <w:i w:val="0"/>
          <w:strike w:val="0"/>
          <w:noProof w:val="0"/>
          <w:color w:val="000000"/>
          <w:position w:val="0"/>
          <w:sz w:val="20"/>
          <w:u w:val="none"/>
          <w:vertAlign w:val="baseline"/>
        </w:rPr>
        <w:t>DONE at McAllen, Texas on January 11, 2017.</w:t>
      </w:r>
    </w:p>
    <w:p>
      <w:pPr>
        <w:keepNext w:val="0"/>
        <w:spacing w:before="200" w:after="0" w:line="260" w:lineRule="atLeast"/>
        <w:ind w:left="0" w:right="0" w:firstLine="0"/>
        <w:jc w:val="both"/>
      </w:pPr>
      <w:bookmarkStart w:id="137" w:name="Bookmark_para_41"/>
      <w:bookmarkEnd w:id="137"/>
      <w:r>
        <w:rPr>
          <w:rFonts w:ascii="arial" w:eastAsia="arial" w:hAnsi="arial" w:cs="arial"/>
          <w:b w:val="0"/>
          <w:i w:val="0"/>
          <w:strike w:val="0"/>
          <w:noProof w:val="0"/>
          <w:color w:val="000000"/>
          <w:position w:val="0"/>
          <w:sz w:val="20"/>
          <w:u w:val="none"/>
          <w:vertAlign w:val="baseline"/>
        </w:rPr>
        <w:t>/s/ Peter E. Ormsby</w:t>
      </w:r>
    </w:p>
    <w:p>
      <w:pPr>
        <w:keepNext w:val="0"/>
        <w:spacing w:before="200" w:after="0" w:line="260" w:lineRule="atLeast"/>
        <w:ind w:left="0" w:right="0" w:firstLine="0"/>
        <w:jc w:val="both"/>
      </w:pPr>
      <w:bookmarkStart w:id="138" w:name="Bookmark_para_42"/>
      <w:bookmarkEnd w:id="138"/>
      <w:r>
        <w:rPr>
          <w:rFonts w:ascii="arial" w:eastAsia="arial" w:hAnsi="arial" w:cs="arial"/>
          <w:b w:val="0"/>
          <w:i w:val="0"/>
          <w:strike w:val="0"/>
          <w:noProof w:val="0"/>
          <w:color w:val="000000"/>
          <w:position w:val="0"/>
          <w:sz w:val="20"/>
          <w:u w:val="none"/>
          <w:vertAlign w:val="baseline"/>
        </w:rPr>
        <w:t>Peter E. Ormsby</w:t>
      </w:r>
    </w:p>
    <w:p>
      <w:pPr>
        <w:keepNext w:val="0"/>
        <w:spacing w:before="200" w:after="0" w:line="260" w:lineRule="atLeast"/>
        <w:ind w:left="0" w:right="0" w:firstLine="0"/>
        <w:jc w:val="both"/>
      </w:pPr>
      <w:bookmarkStart w:id="139" w:name="Bookmark_para_43"/>
      <w:bookmarkEnd w:id="13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Docket entries are from the above-referenced civil action, unless otherwise noted.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The facts in the next two sections are drawn principally from Movant's Final Presentence Investigation Report ("PSR"), which contains a detailed description of the conduct relevant to the charged offense. (Cr. Docket No. 18.)</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7" w:name="Bookmark_fnpara_3"/>
      <w:bookmarkEnd w:id="37"/>
      <w:bookmarkStart w:id="38" w:name="Bookmark_I5NK5WCN2SF8PV0040000400"/>
      <w:bookmarkEnd w:id="38"/>
      <w:r>
        <w:rPr>
          <w:rFonts w:ascii="arial" w:eastAsia="arial" w:hAnsi="arial" w:cs="arial"/>
          <w:b w:val="0"/>
          <w:i w:val="0"/>
          <w:strike w:val="0"/>
          <w:noProof w:val="0"/>
          <w:color w:val="000000"/>
          <w:position w:val="0"/>
          <w:sz w:val="18"/>
          <w:u w:val="none"/>
          <w:vertAlign w:val="baseline"/>
        </w:rPr>
        <w:t xml:space="preserve">In addition to invoking the right to "Due Process," Movant also mentions "Equal Right Protection [sic] under the </w:t>
      </w:r>
      <w:hyperlink r:id="rId1" w:history="1">
        <w:r>
          <w:rPr>
            <w:rFonts w:ascii="arial" w:eastAsia="arial" w:hAnsi="arial" w:cs="arial"/>
            <w:b w:val="0"/>
            <w:i/>
            <w:strike w:val="0"/>
            <w:noProof w:val="0"/>
            <w:color w:val="0077CC"/>
            <w:position w:val="0"/>
            <w:sz w:val="18"/>
            <w:u w:val="single"/>
            <w:vertAlign w:val="baseline"/>
          </w:rPr>
          <w:t>Fifth</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Fourteenth Amendments</w:t>
        </w:r>
      </w:hyperlink>
      <w:r>
        <w:rPr>
          <w:rFonts w:ascii="arial" w:eastAsia="arial" w:hAnsi="arial" w:cs="arial"/>
          <w:b w:val="0"/>
          <w:i w:val="0"/>
          <w:strike w:val="0"/>
          <w:noProof w:val="0"/>
          <w:color w:val="000000"/>
          <w:position w:val="0"/>
          <w:sz w:val="18"/>
          <w:u w:val="none"/>
          <w:vertAlign w:val="baseline"/>
        </w:rPr>
        <w:t xml:space="preserve">." (Docket No. 3, at p. 5.) The </w:t>
      </w:r>
      <w:hyperlink r:id="rId2" w:history="1">
        <w:r>
          <w:rPr>
            <w:rFonts w:ascii="arial" w:eastAsia="arial" w:hAnsi="arial" w:cs="arial"/>
            <w:b w:val="0"/>
            <w:i/>
            <w:strike w:val="0"/>
            <w:noProof w:val="0"/>
            <w:color w:val="0077CC"/>
            <w:position w:val="0"/>
            <w:sz w:val="18"/>
            <w:u w:val="single"/>
            <w:vertAlign w:val="baseline"/>
          </w:rPr>
          <w:t>Equal Protection Clause</w:t>
        </w:r>
      </w:hyperlink>
      <w:r>
        <w:rPr>
          <w:rFonts w:ascii="arial" w:eastAsia="arial" w:hAnsi="arial" w:cs="arial"/>
          <w:b w:val="0"/>
          <w:i w:val="0"/>
          <w:strike w:val="0"/>
          <w:noProof w:val="0"/>
          <w:color w:val="000000"/>
          <w:position w:val="0"/>
          <w:sz w:val="18"/>
          <w:u w:val="none"/>
          <w:vertAlign w:val="baseline"/>
        </w:rPr>
        <w:t xml:space="preserve"> found in the </w:t>
      </w:r>
      <w:hyperlink r:id="rId2"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which protects against actions taken by state actors, requires that similarly situated persons be treated alike. </w:t>
      </w:r>
      <w:bookmarkStart w:id="39" w:name="Bookmark_I5NK5WCN28T4G50010000400"/>
      <w:bookmarkEnd w:id="39"/>
      <w:r>
        <w:rPr>
          <w:rFonts w:ascii="arial" w:eastAsia="arial" w:hAnsi="arial" w:cs="arial"/>
          <w:b w:val="0"/>
          <w:i/>
          <w:strike w:val="0"/>
          <w:noProof w:val="0"/>
          <w:color w:val="000000"/>
          <w:position w:val="0"/>
          <w:sz w:val="18"/>
          <w:u w:val="none"/>
          <w:vertAlign w:val="baseline"/>
        </w:rPr>
        <w:t xml:space="preserve">See </w:t>
      </w:r>
      <w:bookmarkStart w:id="40" w:name="Bookmark_I5NK5WCN2SF8PV0030000400"/>
      <w:bookmarkEnd w:id="40"/>
      <w:hyperlink r:id="rId3" w:history="1">
        <w:r>
          <w:rPr>
            <w:rFonts w:ascii="arial" w:eastAsia="arial" w:hAnsi="arial" w:cs="arial"/>
            <w:b w:val="0"/>
            <w:i/>
            <w:strike w:val="0"/>
            <w:noProof w:val="0"/>
            <w:color w:val="0077CC"/>
            <w:position w:val="0"/>
            <w:sz w:val="18"/>
            <w:u w:val="single"/>
            <w:vertAlign w:val="baseline"/>
          </w:rPr>
          <w:t>Cleburne v. Cleburne Living Center, Inc.</w:t>
        </w:r>
      </w:hyperlink>
      <w:hyperlink r:id="rId3" w:history="1">
        <w:r>
          <w:rPr>
            <w:rFonts w:ascii="arial" w:eastAsia="arial" w:hAnsi="arial" w:cs="arial"/>
            <w:b w:val="0"/>
            <w:i/>
            <w:strike w:val="0"/>
            <w:noProof w:val="0"/>
            <w:color w:val="0077CC"/>
            <w:position w:val="0"/>
            <w:sz w:val="18"/>
            <w:u w:val="single"/>
            <w:vertAlign w:val="baseline"/>
          </w:rPr>
          <w:t>, 473 U.S. 432, 439, 105 S. Ct. 3249, 87 L. Ed. 2d 313 (1985)</w:t>
        </w:r>
      </w:hyperlink>
      <w:r>
        <w:rPr>
          <w:rFonts w:ascii="arial" w:eastAsia="arial" w:hAnsi="arial" w:cs="arial"/>
          <w:b w:val="0"/>
          <w:i w:val="0"/>
          <w:strike w:val="0"/>
          <w:noProof w:val="0"/>
          <w:color w:val="000000"/>
          <w:position w:val="0"/>
          <w:sz w:val="18"/>
          <w:u w:val="none"/>
          <w:vertAlign w:val="baseline"/>
        </w:rPr>
        <w:t xml:space="preserve">. </w:t>
      </w:r>
      <w:bookmarkStart w:id="41" w:name="Bookmark_I5NK5WCN28T4G50010000400_2"/>
      <w:bookmarkEnd w:id="41"/>
      <w:r>
        <w:rPr>
          <w:rFonts w:ascii="arial" w:eastAsia="arial" w:hAnsi="arial" w:cs="arial"/>
          <w:b w:val="0"/>
          <w:i w:val="0"/>
          <w:strike w:val="0"/>
          <w:noProof w:val="0"/>
          <w:color w:val="000000"/>
          <w:position w:val="0"/>
          <w:sz w:val="18"/>
          <w:u w:val="none"/>
          <w:vertAlign w:val="baseline"/>
        </w:rPr>
        <w:t xml:space="preserve">The same test is used to evaluate alleged equal protection violations under the </w:t>
      </w:r>
      <w:hyperlink r:id="rId1"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which applies to actions taken by the federal government. </w:t>
      </w:r>
      <w:r>
        <w:rPr>
          <w:rFonts w:ascii="arial" w:eastAsia="arial" w:hAnsi="arial" w:cs="arial"/>
          <w:b w:val="0"/>
          <w:i/>
          <w:strike w:val="0"/>
          <w:noProof w:val="0"/>
          <w:color w:val="000000"/>
          <w:position w:val="0"/>
          <w:sz w:val="18"/>
          <w:u w:val="none"/>
          <w:vertAlign w:val="baseline"/>
        </w:rPr>
        <w:t xml:space="preserve">See </w:t>
      </w:r>
      <w:bookmarkStart w:id="42" w:name="Bookmark_I5NK5WCN2SF8PV0050000400"/>
      <w:bookmarkEnd w:id="42"/>
      <w:hyperlink r:id="rId4" w:history="1">
        <w:r>
          <w:rPr>
            <w:rFonts w:ascii="arial" w:eastAsia="arial" w:hAnsi="arial" w:cs="arial"/>
            <w:b w:val="0"/>
            <w:i/>
            <w:strike w:val="0"/>
            <w:noProof w:val="0"/>
            <w:color w:val="0077CC"/>
            <w:position w:val="0"/>
            <w:sz w:val="18"/>
            <w:u w:val="single"/>
            <w:vertAlign w:val="baseline"/>
          </w:rPr>
          <w:t>Richard v. Hinson</w:t>
        </w:r>
      </w:hyperlink>
      <w:hyperlink r:id="rId4" w:history="1">
        <w:r>
          <w:rPr>
            <w:rFonts w:ascii="arial" w:eastAsia="arial" w:hAnsi="arial" w:cs="arial"/>
            <w:b w:val="0"/>
            <w:i/>
            <w:strike w:val="0"/>
            <w:noProof w:val="0"/>
            <w:color w:val="0077CC"/>
            <w:position w:val="0"/>
            <w:sz w:val="18"/>
            <w:u w:val="single"/>
            <w:vertAlign w:val="baseline"/>
          </w:rPr>
          <w:t>, 70 F.3d 415, 417 (5th Cir. 1995)</w:t>
        </w:r>
      </w:hyperlink>
      <w:r>
        <w:rPr>
          <w:rFonts w:ascii="arial" w:eastAsia="arial" w:hAnsi="arial" w:cs="arial"/>
          <w:b w:val="0"/>
          <w:i w:val="0"/>
          <w:strike w:val="0"/>
          <w:noProof w:val="0"/>
          <w:color w:val="000000"/>
          <w:position w:val="0"/>
          <w:sz w:val="18"/>
          <w:u w:val="none"/>
          <w:vertAlign w:val="baseline"/>
        </w:rPr>
        <w:t>. Movant does not allege facts showing that he was treated differently from any other similarly situated illegal-reentry defendant or discriminated against in any way. Therefore, he fails to articulate a violation of the right to equal protection.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 w:name="Bookmark_fnpara_4"/>
      <w:bookmarkEnd w:id="56"/>
      <w:r>
        <w:rPr>
          <w:rFonts w:ascii="arial" w:eastAsia="arial" w:hAnsi="arial" w:cs="arial"/>
          <w:b w:val="0"/>
          <w:i w:val="0"/>
          <w:strike w:val="0"/>
          <w:noProof w:val="0"/>
          <w:color w:val="000000"/>
          <w:position w:val="0"/>
          <w:sz w:val="18"/>
          <w:u w:val="none"/>
          <w:vertAlign w:val="baseline"/>
        </w:rPr>
        <w:t xml:space="preserve">According to the relevant statute, the essential elements the government must establish beyond a reasonable doubt to prove a defendant guilty of the offense of illegal reentry are that: (1) the defendant was an alien at the time alleged in the indictment, (2) he had previously been deported or removed from the United States, (3) thereafter, he was found in the United States, and (4) he had not received the consent of the Attorney General to apply for readmission to the United States since the time of his previous deportation. </w:t>
      </w:r>
      <w:r>
        <w:rPr>
          <w:rFonts w:ascii="arial" w:eastAsia="arial" w:hAnsi="arial" w:cs="arial"/>
          <w:b w:val="0"/>
          <w:i/>
          <w:strike w:val="0"/>
          <w:noProof w:val="0"/>
          <w:color w:val="000000"/>
          <w:position w:val="0"/>
          <w:sz w:val="18"/>
          <w:u w:val="none"/>
          <w:vertAlign w:val="baseline"/>
        </w:rPr>
        <w:t xml:space="preserve">See </w:t>
      </w:r>
      <w:bookmarkStart w:id="57" w:name="Bookmark_I5NK5WCN2D6MSV0020000400"/>
      <w:bookmarkEnd w:id="57"/>
      <w:hyperlink r:id="rId5" w:history="1">
        <w:r>
          <w:rPr>
            <w:rFonts w:ascii="arial" w:eastAsia="arial" w:hAnsi="arial" w:cs="arial"/>
            <w:b w:val="0"/>
            <w:i/>
            <w:strike w:val="0"/>
            <w:noProof w:val="0"/>
            <w:color w:val="0077CC"/>
            <w:position w:val="0"/>
            <w:sz w:val="18"/>
            <w:u w:val="single"/>
            <w:vertAlign w:val="baseline"/>
          </w:rPr>
          <w:t>United States v. Hernandez-Rodriguez</w:t>
        </w:r>
      </w:hyperlink>
      <w:hyperlink r:id="rId5" w:history="1">
        <w:r>
          <w:rPr>
            <w:rFonts w:ascii="arial" w:eastAsia="arial" w:hAnsi="arial" w:cs="arial"/>
            <w:b w:val="0"/>
            <w:i/>
            <w:strike w:val="0"/>
            <w:noProof w:val="0"/>
            <w:color w:val="0077CC"/>
            <w:position w:val="0"/>
            <w:sz w:val="18"/>
            <w:u w:val="single"/>
            <w:vertAlign w:val="baseline"/>
          </w:rPr>
          <w:t>, 170 F. Supp. 2d 700, 702 (N.D. Tex. 2001)</w:t>
        </w:r>
      </w:hyperlink>
      <w:r>
        <w:rPr>
          <w:rFonts w:ascii="arial" w:eastAsia="arial" w:hAnsi="arial" w:cs="arial"/>
          <w:b w:val="0"/>
          <w:i w:val="0"/>
          <w:strike w:val="0"/>
          <w:noProof w:val="0"/>
          <w:color w:val="000000"/>
          <w:position w:val="0"/>
          <w:sz w:val="18"/>
          <w:u w:val="none"/>
          <w:vertAlign w:val="baseline"/>
        </w:rPr>
        <w:t xml:space="preserve"> (citing </w:t>
      </w:r>
      <w:hyperlink r:id="rId6" w:history="1">
        <w:r>
          <w:rPr>
            <w:rFonts w:ascii="arial" w:eastAsia="arial" w:hAnsi="arial" w:cs="arial"/>
            <w:b w:val="0"/>
            <w:i/>
            <w:strike w:val="0"/>
            <w:noProof w:val="0"/>
            <w:color w:val="0077CC"/>
            <w:position w:val="0"/>
            <w:sz w:val="18"/>
            <w:u w:val="single"/>
            <w:vertAlign w:val="baseline"/>
          </w:rPr>
          <w:t>8 U.S.C. § 1326</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5" w:name="Bookmark_fnpara_5"/>
      <w:bookmarkEnd w:id="11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Department Policy on Early Disposition or "Fast-Track" Programs, at p. 3 (Memorandum from Deputy Attorney General James M. Cole, dated January 31, 2012), available at: </w:t>
      </w:r>
      <w:hyperlink r:id="rId7" w:history="1">
        <w:r>
          <w:rPr>
            <w:rFonts w:ascii="arial" w:eastAsia="arial" w:hAnsi="arial" w:cs="arial"/>
            <w:b w:val="0"/>
            <w:i/>
            <w:strike w:val="0"/>
            <w:noProof w:val="0"/>
            <w:color w:val="0077CC"/>
            <w:position w:val="0"/>
            <w:sz w:val="18"/>
            <w:u w:val="single"/>
            <w:vertAlign w:val="baseline"/>
          </w:rPr>
          <w:t>http://www.justice.gov/dag/fast-track-program.pdf</w:t>
        </w:r>
      </w:hyperlink>
      <w:r>
        <w:rPr>
          <w:rFonts w:ascii="arial" w:eastAsia="arial" w:hAnsi="arial" w:cs="arial"/>
          <w:b w:val="0"/>
          <w:i w:val="0"/>
          <w:strike w:val="0"/>
          <w:noProof w:val="0"/>
          <w:color w:val="000000"/>
          <w:position w:val="0"/>
          <w:sz w:val="18"/>
          <w:u w:val="none"/>
          <w:vertAlign w:val="baseline"/>
        </w:rPr>
        <w:t xml:space="preserve"> (last visited December 19, 2016).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Santana-German v. United States, 2017 U.S. Dist. LEXIS 61617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NC9-90C1-F04F-C01X-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cases&amp;id=urn:contentItem:3S4X-5M60-003B-S0VR-00000-00&amp;context=1519360" TargetMode="External" /><Relationship Id="rId14" Type="http://schemas.openxmlformats.org/officeDocument/2006/relationships/hyperlink" Target="https://advance.lexis.com/api/document?collection=cases&amp;id=urn:contentItem:3RWW-9TW0-0038-X0G7-00000-00&amp;context=1519360" TargetMode="External" /><Relationship Id="rId15" Type="http://schemas.openxmlformats.org/officeDocument/2006/relationships/hyperlink" Target="https://advance.lexis.com/api/document?collection=cases&amp;id=urn:contentItem:3S4X-9NB0-008H-V4WB-00000-00&amp;context=1519360" TargetMode="External" /><Relationship Id="rId16" Type="http://schemas.openxmlformats.org/officeDocument/2006/relationships/hyperlink" Target="https://advance.lexis.com/api/document?collection=cases&amp;id=urn:contentItem:3S4X-55B0-008H-V407-00000-00&amp;context=1519360" TargetMode="External" /><Relationship Id="rId17" Type="http://schemas.openxmlformats.org/officeDocument/2006/relationships/hyperlink" Target="https://advance.lexis.com/api/document?collection=cases&amp;id=urn:contentItem:3S4X-2FY0-006F-M39H-00000-00&amp;context=1519360" TargetMode="External" /><Relationship Id="rId18" Type="http://schemas.openxmlformats.org/officeDocument/2006/relationships/hyperlink" Target="https://advance.lexis.com/api/document?collection=statutes-legislation&amp;id=urn:contentItem:8T9R-T5M2-D6RV-H38C-00000-00&amp;context=1519360" TargetMode="External" /><Relationship Id="rId19" Type="http://schemas.openxmlformats.org/officeDocument/2006/relationships/hyperlink" Target="https://advance.lexis.com/api/document?collection=cases&amp;id=urn:contentItem:3S4X-JT10-003B-S4D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1YG-FJK0-0038-X2Y8-00000-00&amp;context=1519360" TargetMode="External" /><Relationship Id="rId21" Type="http://schemas.openxmlformats.org/officeDocument/2006/relationships/hyperlink" Target="https://advance.lexis.com/api/document?collection=statutes-legislation&amp;id=urn:contentItem:8T9R-T4F2-D6RV-H37N-00000-00&amp;context=1519360" TargetMode="External" /><Relationship Id="rId22" Type="http://schemas.openxmlformats.org/officeDocument/2006/relationships/hyperlink" Target="https://advance.lexis.com/api/document?collection=cases&amp;id=urn:contentItem:3S4X-5CF0-006F-M11F-00000-00&amp;context=1519360" TargetMode="External" /><Relationship Id="rId23" Type="http://schemas.openxmlformats.org/officeDocument/2006/relationships/hyperlink" Target="https://advance.lexis.com/api/document?collection=cases&amp;id=urn:contentItem:3S4X-CBT0-003B-S209-00000-00&amp;context=1519360" TargetMode="External" /><Relationship Id="rId24" Type="http://schemas.openxmlformats.org/officeDocument/2006/relationships/hyperlink" Target="https://advance.lexis.com/api/document?collection=cases&amp;id=urn:contentItem:49RK-TG30-0038-X438-00000-00&amp;context=1519360" TargetMode="External" /><Relationship Id="rId25" Type="http://schemas.openxmlformats.org/officeDocument/2006/relationships/hyperlink" Target="https://advance.lexis.com/api/document?collection=statutes-legislation&amp;id=urn:contentItem:8S6M-T0S2-D6RV-H4B1-00000-00&amp;context=1519360" TargetMode="External" /><Relationship Id="rId26" Type="http://schemas.openxmlformats.org/officeDocument/2006/relationships/hyperlink" Target="https://advance.lexis.com/api/document?collection=statutes-legislation&amp;id=urn:contentItem:8S6M-ST12-D6RV-H2JG-00000-00&amp;context=1519360" TargetMode="External" /><Relationship Id="rId27" Type="http://schemas.openxmlformats.org/officeDocument/2006/relationships/hyperlink" Target="https://advance.lexis.com/api/document?collection=statutes-legislation&amp;id=urn:contentItem:8S6M-ST12-D6RV-H2VF-00000-00&amp;context=1519360" TargetMode="External" /><Relationship Id="rId28" Type="http://schemas.openxmlformats.org/officeDocument/2006/relationships/hyperlink" Target="https://advance.lexis.com/api/document?collection=cases&amp;id=urn:contentItem:3S9B-KFD0-004B-Y001-00000-00&amp;context=1519360" TargetMode="External" /><Relationship Id="rId29" Type="http://schemas.openxmlformats.org/officeDocument/2006/relationships/hyperlink" Target="https://advance.lexis.com/api/document?collection=cases&amp;id=urn:contentItem:4P6W-1NS0-TXFX-71X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8PH-0SJ1-F04K-F00R-00000-00&amp;context=1519360" TargetMode="External" /><Relationship Id="rId31" Type="http://schemas.openxmlformats.org/officeDocument/2006/relationships/hyperlink" Target="https://advance.lexis.com/api/document?collection=statutes-legislation&amp;id=urn:contentItem:6C7N-K8C3-RS1Y-S2RB-00000-00&amp;context=1519360" TargetMode="External" /><Relationship Id="rId32" Type="http://schemas.openxmlformats.org/officeDocument/2006/relationships/hyperlink" Target="https://advance.lexis.com/api/document?collection=cases&amp;id=urn:contentItem:3S4X-H190-003B-P19M-00000-00&amp;context=1519360" TargetMode="External" /><Relationship Id="rId33" Type="http://schemas.openxmlformats.org/officeDocument/2006/relationships/hyperlink" Target="https://advance.lexis.com/api/document?collection=cases&amp;id=urn:contentItem:3S4X-3FN0-003B-S3TN-00000-00&amp;context=1519360" TargetMode="External" /><Relationship Id="rId34" Type="http://schemas.openxmlformats.org/officeDocument/2006/relationships/hyperlink" Target="https://advance.lexis.com/api/document?collection=cases&amp;id=urn:contentItem:3S4X-9390-0039-N241-00000-00&amp;context=1519360" TargetMode="External" /><Relationship Id="rId35" Type="http://schemas.openxmlformats.org/officeDocument/2006/relationships/hyperlink" Target="https://advance.lexis.com/api/document?collection=cases&amp;id=urn:contentItem:4CS4-WRT0-0038-X02X-00000-00&amp;context=1519360" TargetMode="External" /><Relationship Id="rId36" Type="http://schemas.openxmlformats.org/officeDocument/2006/relationships/hyperlink" Target="https://advance.lexis.com/api/document?collection=cases&amp;id=urn:contentItem:4238-T2G0-004C-002F-00000-00&amp;context=1519360" TargetMode="External" /><Relationship Id="rId37" Type="http://schemas.openxmlformats.org/officeDocument/2006/relationships/hyperlink" Target="https://advance.lexis.com/api/document?collection=cases&amp;id=urn:contentItem:3S4X-1B30-003B-P2JX-00000-00&amp;context=1519360" TargetMode="External" /><Relationship Id="rId38" Type="http://schemas.openxmlformats.org/officeDocument/2006/relationships/hyperlink" Target="https://advance.lexis.com/api/document?collection=cases&amp;id=urn:contentItem:3RM0-C9Y0-0038-X1PX-00000-00&amp;context=1519360" TargetMode="External" /><Relationship Id="rId39" Type="http://schemas.openxmlformats.org/officeDocument/2006/relationships/hyperlink" Target="https://advance.lexis.com/api/document?collection=cases&amp;id=urn:contentItem:3S4X-9GS0-003B-S2K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P01-FJ10-0038-X38K-00000-00&amp;context=1519360" TargetMode="External" /><Relationship Id="rId41" Type="http://schemas.openxmlformats.org/officeDocument/2006/relationships/hyperlink" Target="https://advance.lexis.com/api/document?collection=cases&amp;id=urn:contentItem:43TR-BFD0-0038-X01J-00000-00&amp;context=1519360" TargetMode="External" /><Relationship Id="rId42" Type="http://schemas.openxmlformats.org/officeDocument/2006/relationships/hyperlink" Target="https://advance.lexis.com/api/document?collection=statutes-legislation&amp;id=urn:contentItem:6D2B-T4J3-RRHY-T1CY-00000-00&amp;context=1519360" TargetMode="External" /><Relationship Id="rId43" Type="http://schemas.openxmlformats.org/officeDocument/2006/relationships/hyperlink" Target="https://advance.lexis.com/api/document?collection=statutes-legislation&amp;id=urn:contentItem:8SG9-5HW2-D6RV-H0VG-00000-00&amp;context=1519360" TargetMode="External" /><Relationship Id="rId44" Type="http://schemas.openxmlformats.org/officeDocument/2006/relationships/hyperlink" Target="https://advance.lexis.com/api/document?collection=statutes-legislation&amp;id=urn:contentItem:5GYC-2C71-FG36-13FM-00000-00&amp;context=1519360" TargetMode="External" /><Relationship Id="rId45" Type="http://schemas.openxmlformats.org/officeDocument/2006/relationships/hyperlink" Target="https://advance.lexis.com/api/document?collection=cases&amp;id=urn:contentItem:4810-8DH0-004B-Y01G-00000-00&amp;context=1519360" TargetMode="External" /><Relationship Id="rId46" Type="http://schemas.openxmlformats.org/officeDocument/2006/relationships/hyperlink" Target="https://advance.lexis.com/api/document?collection=cases&amp;id=urn:contentItem:4048-DFS0-004C-001X-00000-00&amp;context=1519360" TargetMode="External" /><Relationship Id="rId47" Type="http://schemas.openxmlformats.org/officeDocument/2006/relationships/hyperlink" Target="https://advance.lexis.com/api/document?collection=cases&amp;id=urn:contentItem:45FM-1FG0-0038-X28J-00000-00&amp;context=1519360" TargetMode="External" /><Relationship Id="rId48" Type="http://schemas.openxmlformats.org/officeDocument/2006/relationships/hyperlink" Target="https://advance.lexis.com/api/document?collection=statutes-legislation&amp;id=urn:contentItem:8SG9-5HW2-D6RV-H0BK-00000-00&amp;context=1519360" TargetMode="External" /><Relationship Id="rId49" Type="http://schemas.openxmlformats.org/officeDocument/2006/relationships/hyperlink" Target="https://advance.lexis.com/api/document?collection=statutes-legislation&amp;id=urn:contentItem:69J2-YYM3-RSTH-12MB-00000-00&amp;context=1519360" TargetMode="External" /><Relationship Id="rId5" Type="http://schemas.openxmlformats.org/officeDocument/2006/relationships/header" Target="head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ND1-P4N1-F04F-C03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3X2-8T6X-731X-00000-00&amp;context=1519360" TargetMode="External" /><Relationship Id="rId2" Type="http://schemas.openxmlformats.org/officeDocument/2006/relationships/hyperlink" Target="https://advance.lexis.com/api/document?collection=statutes-legislation&amp;id=urn:contentItem:8T9R-T5M2-D6RV-H38C-00000-00&amp;context=1519360" TargetMode="External" /><Relationship Id="rId3" Type="http://schemas.openxmlformats.org/officeDocument/2006/relationships/hyperlink" Target="https://advance.lexis.com/api/document?collection=cases&amp;id=urn:contentItem:3S4X-9Y50-0039-N48B-00000-00&amp;context=1519360" TargetMode="External" /><Relationship Id="rId4" Type="http://schemas.openxmlformats.org/officeDocument/2006/relationships/hyperlink" Target="https://advance.lexis.com/api/document?collection=cases&amp;id=urn:contentItem:3S4X-9G50-001T-D456-00000-00&amp;context=1519360" TargetMode="External" /><Relationship Id="rId5" Type="http://schemas.openxmlformats.org/officeDocument/2006/relationships/hyperlink" Target="https://advance.lexis.com/api/document?collection=cases&amp;id=urn:contentItem:44GX-NHC0-0038-Y2K3-00000-00&amp;context=1519360" TargetMode="External" /><Relationship Id="rId6" Type="http://schemas.openxmlformats.org/officeDocument/2006/relationships/hyperlink" Target="https://advance.lexis.com/api/document?collection=statutes-legislation&amp;id=urn:contentItem:8S6M-T0S2-D6RV-H4B1-00000-00&amp;context=1519360" TargetMode="External" /><Relationship Id="rId7" Type="http://schemas.openxmlformats.org/officeDocument/2006/relationships/hyperlink" Target="http://www.justice.gov/dag/fast-track-program.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Santana-German v. United States, 2017 U.S. Dist. LEXIS 61617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Doc::urn:hlct:5|contextualFeaturePermID::1519360</vt:lpwstr>
  </property>
  <property fmtid="{D5CDD505-2E9C-101B-9397-08002B2CF9AE}" pid="5" name="UserPermID">
    <vt:lpwstr>urn:user:PA186186298</vt:lpwstr>
  </property>
</Properties>
</file>