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Urquizo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2020,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19-40585 Summary Calendar</w:t>
      </w:r>
    </w:p>
    <w:p>
      <w:pPr>
        <w:keepNext w:val="0"/>
        <w:spacing w:after="0" w:line="240" w:lineRule="atLeast"/>
        <w:ind w:right="0"/>
        <w:jc w:val="both"/>
      </w:pPr>
      <w:bookmarkStart w:id="0" w:name="Bookmark_3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801 Fed. Appx. 318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2020 U.S. App. LEXIS 12259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2020 WL 1896663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JUAN ENRIQUE URQUIZO,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5:18-CR-722-1.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Urquizo, 2015 U.S. Dist. LEXIS 186218 (S.D. Tex., Mar. 2, 2015)</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reasonable suspicion, suppress, aliens, speed, denial of a motion, illegal activity, contributed, proximity, quotation, smuggling, driver's, factors, patrol, marks</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Andrew R. Gould, Carmen Castillo Mitchell,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Juan Enrique Urquizo, Defendant - Appellant: Juan Ramon Flores,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CLEMENT, ELROD, and OLDHAM,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2" w:name="Bookmark_para_4"/>
      <w:bookmarkEnd w:id="12"/>
      <w:bookmarkStart w:id="13" w:name="Bookmark_I5YPXRCF2N1RVP0020000400"/>
      <w:bookmarkEnd w:id="13"/>
      <w:r>
        <w:rPr>
          <w:rFonts w:ascii="arial" w:eastAsia="arial" w:hAnsi="arial" w:cs="arial"/>
          <w:b w:val="0"/>
          <w:i w:val="0"/>
          <w:strike w:val="0"/>
          <w:noProof w:val="0"/>
          <w:color w:val="000000"/>
          <w:position w:val="0"/>
          <w:sz w:val="20"/>
          <w:u w:val="none"/>
          <w:vertAlign w:val="baseline"/>
        </w:rPr>
        <w:t xml:space="preserve">Juan Enrique Urquizo entered a conditional guilty plea to one count of conspiracy to transport undocumented aliens within the United States, in violation of </w:t>
      </w:r>
      <w:hyperlink r:id="rId11"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xml:space="preserve">, reserving the right to appeal the district court's denial of his motion to suppress the evidence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discovered during an investigatory vehicle stop initiated by a United States Border Control agent. "When reviewing a denial of a motion to suppress evidence, this Court reviews factual findings for clear error and the ultimate constitutionality of law enforcement action de novo." </w:t>
      </w:r>
      <w:bookmarkStart w:id="14" w:name="Bookmark_I5YPXRCF2N1RVP0010000400"/>
      <w:bookmarkEnd w:id="14"/>
      <w:hyperlink r:id="rId12" w:history="1">
        <w:r>
          <w:rPr>
            <w:rFonts w:ascii="arial" w:eastAsia="arial" w:hAnsi="arial" w:cs="arial"/>
            <w:b w:val="0"/>
            <w:i/>
            <w:strike w:val="0"/>
            <w:noProof w:val="0"/>
            <w:color w:val="0077CC"/>
            <w:position w:val="0"/>
            <w:sz w:val="20"/>
            <w:u w:val="single"/>
            <w:vertAlign w:val="baseline"/>
          </w:rPr>
          <w:t>United States v. Robinson</w:t>
        </w:r>
      </w:hyperlink>
      <w:hyperlink r:id="rId12" w:history="1">
        <w:r>
          <w:rPr>
            <w:rFonts w:ascii="arial" w:eastAsia="arial" w:hAnsi="arial" w:cs="arial"/>
            <w:b w:val="0"/>
            <w:i/>
            <w:strike w:val="0"/>
            <w:noProof w:val="0"/>
            <w:color w:val="0077CC"/>
            <w:position w:val="0"/>
            <w:sz w:val="20"/>
            <w:u w:val="single"/>
            <w:vertAlign w:val="baseline"/>
          </w:rPr>
          <w:t>, 741 F.3d 588, 594 (5th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5"/>
      <w:bookmarkEnd w:id="15"/>
      <w:bookmarkStart w:id="16" w:name="Bookmark_I5YPXRCF2N1RVP0040000400"/>
      <w:bookmarkEnd w:id="16"/>
      <w:bookmarkStart w:id="17" w:name="Bookmark_I5YPXRCH2HM6860010000400"/>
      <w:bookmarkEnd w:id="17"/>
      <w:r>
        <w:rPr>
          <w:rFonts w:ascii="arial" w:eastAsia="arial" w:hAnsi="arial" w:cs="arial"/>
          <w:b w:val="0"/>
          <w:i w:val="0"/>
          <w:strike w:val="0"/>
          <w:noProof w:val="0"/>
          <w:color w:val="000000"/>
          <w:position w:val="0"/>
          <w:sz w:val="20"/>
          <w:u w:val="none"/>
          <w:vertAlign w:val="baseline"/>
        </w:rPr>
        <w:t>In the context of a roving border patrol, agents "may detain vehicles for investigation only if they are aware of specific, articulable facts, together with rational inferences from those facts, that reasonably warrant suspicion that the vehicle is involved in illegal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activities." </w:t>
      </w:r>
      <w:bookmarkStart w:id="18" w:name="Bookmark_I5YPXRCF2N1RVP0030000400"/>
      <w:bookmarkEnd w:id="18"/>
      <w:hyperlink r:id="rId13" w:history="1">
        <w:r>
          <w:rPr>
            <w:rFonts w:ascii="arial" w:eastAsia="arial" w:hAnsi="arial" w:cs="arial"/>
            <w:b w:val="0"/>
            <w:i/>
            <w:strike w:val="0"/>
            <w:noProof w:val="0"/>
            <w:color w:val="0077CC"/>
            <w:position w:val="0"/>
            <w:sz w:val="20"/>
            <w:u w:val="single"/>
            <w:vertAlign w:val="baseline"/>
          </w:rPr>
          <w:t>United States v. Garza</w:t>
        </w:r>
      </w:hyperlink>
      <w:hyperlink r:id="rId13" w:history="1">
        <w:r>
          <w:rPr>
            <w:rFonts w:ascii="arial" w:eastAsia="arial" w:hAnsi="arial" w:cs="arial"/>
            <w:b w:val="0"/>
            <w:i/>
            <w:strike w:val="0"/>
            <w:noProof w:val="0"/>
            <w:color w:val="0077CC"/>
            <w:position w:val="0"/>
            <w:sz w:val="20"/>
            <w:u w:val="single"/>
            <w:vertAlign w:val="baseline"/>
          </w:rPr>
          <w:t>, 727 F.3d 436, 440 (5th Cir. 2013)</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The factors to be considered include (1) the area's proximity to the border; (2) the characteristics of the area; (3) usual traffic patterns; (4) the agents' experience </w:t>
      </w:r>
      <w:r>
        <w:rPr>
          <w:rFonts w:ascii="arial" w:eastAsia="arial" w:hAnsi="arial" w:cs="arial"/>
          <w:b/>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in detecting illegal activity; (5) the driver's behavior; (6) particular characteristics of the vehicle; (7) information about recent illegal trafficking of aliens or narcotics in the area; and (8) the number of passengers in the vehicle and their appearance and behavior. </w:t>
      </w:r>
      <w:bookmarkStart w:id="19" w:name="Bookmark_I5YPXRCF2N1RVP0050000400"/>
      <w:bookmarkEnd w:id="19"/>
      <w:hyperlink r:id="rId14" w:history="1">
        <w:r>
          <w:rPr>
            <w:rFonts w:ascii="arial" w:eastAsia="arial" w:hAnsi="arial" w:cs="arial"/>
            <w:b w:val="0"/>
            <w:i/>
            <w:strike w:val="0"/>
            <w:noProof w:val="0"/>
            <w:color w:val="0077CC"/>
            <w:position w:val="0"/>
            <w:sz w:val="20"/>
            <w:u w:val="single"/>
            <w:vertAlign w:val="baseline"/>
          </w:rPr>
          <w:t>United States v. Brignoni-Ponce</w:t>
        </w:r>
      </w:hyperlink>
      <w:hyperlink r:id="rId14" w:history="1">
        <w:r>
          <w:rPr>
            <w:rFonts w:ascii="arial" w:eastAsia="arial" w:hAnsi="arial" w:cs="arial"/>
            <w:b w:val="0"/>
            <w:i/>
            <w:strike w:val="0"/>
            <w:noProof w:val="0"/>
            <w:color w:val="0077CC"/>
            <w:position w:val="0"/>
            <w:sz w:val="20"/>
            <w:u w:val="single"/>
            <w:vertAlign w:val="baseline"/>
          </w:rPr>
          <w:t>, 422 U.S. 873, 884-85, 95 S. Ct. 2574, 45 L. Ed. 2d 607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6"/>
      <w:bookmarkEnd w:id="20"/>
      <w:bookmarkStart w:id="21" w:name="Bookmark_I5YPXRCH2HM6860030000400"/>
      <w:bookmarkEnd w:id="21"/>
      <w:bookmarkStart w:id="22" w:name="Bookmark_I5YPXRCH2HM6860050000400"/>
      <w:bookmarkEnd w:id="22"/>
      <w:r>
        <w:rPr>
          <w:rFonts w:ascii="arial" w:eastAsia="arial" w:hAnsi="arial" w:cs="arial"/>
          <w:b w:val="0"/>
          <w:i w:val="0"/>
          <w:strike w:val="0"/>
          <w:noProof w:val="0"/>
          <w:color w:val="000000"/>
          <w:position w:val="0"/>
          <w:sz w:val="20"/>
          <w:u w:val="none"/>
          <w:vertAlign w:val="baseline"/>
        </w:rPr>
        <w:t xml:space="preserve">The first factor, proximity to the border, is a "paramount factor." </w:t>
      </w:r>
      <w:bookmarkStart w:id="23" w:name="Bookmark_I5YPXRCH2HM6860020000400"/>
      <w:bookmarkEnd w:id="23"/>
      <w:hyperlink r:id="rId13" w:history="1">
        <w:r>
          <w:rPr>
            <w:rFonts w:ascii="arial" w:eastAsia="arial" w:hAnsi="arial" w:cs="arial"/>
            <w:b w:val="0"/>
            <w:i/>
            <w:strike w:val="0"/>
            <w:noProof w:val="0"/>
            <w:color w:val="0077CC"/>
            <w:position w:val="0"/>
            <w:sz w:val="20"/>
            <w:u w:val="single"/>
            <w:vertAlign w:val="baseline"/>
          </w:rPr>
          <w:t>Garza</w:t>
        </w:r>
      </w:hyperlink>
      <w:hyperlink r:id="rId13" w:history="1">
        <w:r>
          <w:rPr>
            <w:rFonts w:ascii="arial" w:eastAsia="arial" w:hAnsi="arial" w:cs="arial"/>
            <w:b w:val="0"/>
            <w:i/>
            <w:strike w:val="0"/>
            <w:noProof w:val="0"/>
            <w:color w:val="0077CC"/>
            <w:position w:val="0"/>
            <w:sz w:val="20"/>
            <w:u w:val="single"/>
            <w:vertAlign w:val="baseline"/>
          </w:rPr>
          <w:t>, 727 F.3d at 441</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In this case, the agent first observed the vehicle approximately one mile north of the border, well within the 50-mile range supporting an inference that the trip began at the border. </w:t>
      </w:r>
      <w:bookmarkStart w:id="24" w:name="Bookmark_I5YPXRCH28T49M0020000400"/>
      <w:bookmarkEnd w:id="24"/>
      <w:r>
        <w:rPr>
          <w:rFonts w:ascii="arial" w:eastAsia="arial" w:hAnsi="arial" w:cs="arial"/>
          <w:b w:val="0"/>
          <w:i/>
          <w:strike w:val="0"/>
          <w:noProof w:val="0"/>
          <w:color w:val="000000"/>
          <w:position w:val="0"/>
          <w:sz w:val="20"/>
          <w:u w:val="none"/>
          <w:vertAlign w:val="baseline"/>
        </w:rPr>
        <w:t xml:space="preserve">See </w:t>
      </w:r>
      <w:bookmarkStart w:id="25" w:name="Bookmark_I5YPXRCH2HM6860040000400"/>
      <w:bookmarkEnd w:id="25"/>
      <w:hyperlink r:id="rId15" w:history="1">
        <w:r>
          <w:rPr>
            <w:rFonts w:ascii="arial" w:eastAsia="arial" w:hAnsi="arial" w:cs="arial"/>
            <w:b w:val="0"/>
            <w:i/>
            <w:strike w:val="0"/>
            <w:noProof w:val="0"/>
            <w:color w:val="0077CC"/>
            <w:position w:val="0"/>
            <w:sz w:val="20"/>
            <w:u w:val="single"/>
            <w:vertAlign w:val="baseline"/>
          </w:rPr>
          <w:t>United States v. Jacquinot</w:t>
        </w:r>
      </w:hyperlink>
      <w:hyperlink r:id="rId15" w:history="1">
        <w:r>
          <w:rPr>
            <w:rFonts w:ascii="arial" w:eastAsia="arial" w:hAnsi="arial" w:cs="arial"/>
            <w:b w:val="0"/>
            <w:i/>
            <w:strike w:val="0"/>
            <w:noProof w:val="0"/>
            <w:color w:val="0077CC"/>
            <w:position w:val="0"/>
            <w:sz w:val="20"/>
            <w:u w:val="single"/>
            <w:vertAlign w:val="baseline"/>
          </w:rPr>
          <w:t>, 258 F.3d 423, 428 (5th Cir. 2001)</w:t>
        </w:r>
      </w:hyperlink>
      <w:r>
        <w:rPr>
          <w:rFonts w:ascii="arial" w:eastAsia="arial" w:hAnsi="arial" w:cs="arial"/>
          <w:b w:val="0"/>
          <w:i w:val="0"/>
          <w:strike w:val="0"/>
          <w:noProof w:val="0"/>
          <w:color w:val="000000"/>
          <w:position w:val="0"/>
          <w:sz w:val="20"/>
          <w:u w:val="none"/>
          <w:vertAlign w:val="baseline"/>
        </w:rPr>
        <w:t xml:space="preserve">. </w:t>
      </w:r>
      <w:bookmarkStart w:id="26" w:name="Bookmark_I5YPXRCH28T49M0020000400_2"/>
      <w:bookmarkEnd w:id="26"/>
      <w:r>
        <w:rPr>
          <w:rFonts w:ascii="arial" w:eastAsia="arial" w:hAnsi="arial" w:cs="arial"/>
          <w:b w:val="0"/>
          <w:i w:val="0"/>
          <w:strike w:val="0"/>
          <w:noProof w:val="0"/>
          <w:color w:val="000000"/>
          <w:position w:val="0"/>
          <w:sz w:val="20"/>
          <w:u w:val="none"/>
          <w:vertAlign w:val="baseline"/>
        </w:rPr>
        <w:t xml:space="preserve">Further, the area's characteristics and the agent's information contributed to reasonable suspicion because the agent testified that he knew Highway 83 was a common route for smuggling. </w:t>
      </w:r>
      <w:bookmarkStart w:id="27" w:name="Bookmark_I5YPXRCH28T49M0040000400"/>
      <w:bookmarkEnd w:id="27"/>
      <w:r>
        <w:rPr>
          <w:rFonts w:ascii="arial" w:eastAsia="arial" w:hAnsi="arial" w:cs="arial"/>
          <w:b w:val="0"/>
          <w:i/>
          <w:strike w:val="0"/>
          <w:noProof w:val="0"/>
          <w:color w:val="000000"/>
          <w:position w:val="0"/>
          <w:sz w:val="20"/>
          <w:u w:val="none"/>
          <w:vertAlign w:val="baseline"/>
        </w:rPr>
        <w:t xml:space="preserve">See </w:t>
      </w:r>
      <w:bookmarkStart w:id="28" w:name="Bookmark_I5YPXRCH28T49M0010000400"/>
      <w:bookmarkEnd w:id="28"/>
      <w:hyperlink r:id="rId16" w:history="1">
        <w:r>
          <w:rPr>
            <w:rFonts w:ascii="arial" w:eastAsia="arial" w:hAnsi="arial" w:cs="arial"/>
            <w:b w:val="0"/>
            <w:i/>
            <w:strike w:val="0"/>
            <w:noProof w:val="0"/>
            <w:color w:val="0077CC"/>
            <w:position w:val="0"/>
            <w:sz w:val="20"/>
            <w:u w:val="single"/>
            <w:vertAlign w:val="baseline"/>
          </w:rPr>
          <w:t>United States v. Hernandez</w:t>
        </w:r>
      </w:hyperlink>
      <w:hyperlink r:id="rId16" w:history="1">
        <w:r>
          <w:rPr>
            <w:rFonts w:ascii="arial" w:eastAsia="arial" w:hAnsi="arial" w:cs="arial"/>
            <w:b w:val="0"/>
            <w:i/>
            <w:strike w:val="0"/>
            <w:noProof w:val="0"/>
            <w:color w:val="0077CC"/>
            <w:position w:val="0"/>
            <w:sz w:val="20"/>
            <w:u w:val="single"/>
            <w:vertAlign w:val="baseline"/>
          </w:rPr>
          <w:t>, 477 F.3d 210, 211-12 (5th Cir. 2007)</w:t>
        </w:r>
      </w:hyperlink>
      <w:r>
        <w:rPr>
          <w:rFonts w:ascii="arial" w:eastAsia="arial" w:hAnsi="arial" w:cs="arial"/>
          <w:b w:val="0"/>
          <w:i w:val="0"/>
          <w:strike w:val="0"/>
          <w:noProof w:val="0"/>
          <w:color w:val="000000"/>
          <w:position w:val="0"/>
          <w:sz w:val="20"/>
          <w:u w:val="none"/>
          <w:vertAlign w:val="baseline"/>
        </w:rPr>
        <w:t xml:space="preserve">. </w:t>
      </w:r>
      <w:bookmarkStart w:id="29" w:name="Bookmark_I5YPXRCH28T49M0040000400_2"/>
      <w:bookmarkEnd w:id="29"/>
      <w:r>
        <w:rPr>
          <w:rFonts w:ascii="arial" w:eastAsia="arial" w:hAnsi="arial" w:cs="arial"/>
          <w:b w:val="0"/>
          <w:i w:val="0"/>
          <w:strike w:val="0"/>
          <w:noProof w:val="0"/>
          <w:color w:val="000000"/>
          <w:position w:val="0"/>
          <w:sz w:val="20"/>
          <w:u w:val="none"/>
          <w:vertAlign w:val="baseline"/>
        </w:rPr>
        <w:t xml:space="preserve">The agent's experience also contributed to reasonable suspicion in this case because he was a 10-year veteran of the Border Control with extensive experience in patrolling Highway 83. </w:t>
      </w:r>
      <w:r>
        <w:rPr>
          <w:rFonts w:ascii="arial" w:eastAsia="arial" w:hAnsi="arial" w:cs="arial"/>
          <w:b w:val="0"/>
          <w:i/>
          <w:strike w:val="0"/>
          <w:noProof w:val="0"/>
          <w:color w:val="000000"/>
          <w:position w:val="0"/>
          <w:sz w:val="20"/>
          <w:u w:val="none"/>
          <w:vertAlign w:val="baseline"/>
        </w:rPr>
        <w:t xml:space="preserve">See </w:t>
      </w:r>
      <w:bookmarkStart w:id="30" w:name="Bookmark_I5YPXRCH28T49M0030000400"/>
      <w:bookmarkEnd w:id="30"/>
      <w:hyperlink r:id="rId17" w:history="1">
        <w:r>
          <w:rPr>
            <w:rFonts w:ascii="arial" w:eastAsia="arial" w:hAnsi="arial" w:cs="arial"/>
            <w:b w:val="0"/>
            <w:i/>
            <w:strike w:val="0"/>
            <w:noProof w:val="0"/>
            <w:color w:val="0077CC"/>
            <w:position w:val="0"/>
            <w:sz w:val="20"/>
            <w:u w:val="single"/>
            <w:vertAlign w:val="baseline"/>
          </w:rPr>
          <w:t>United States v. Ramirez</w:t>
        </w:r>
      </w:hyperlink>
      <w:hyperlink r:id="rId17" w:history="1">
        <w:r>
          <w:rPr>
            <w:rFonts w:ascii="arial" w:eastAsia="arial" w:hAnsi="arial" w:cs="arial"/>
            <w:b w:val="0"/>
            <w:i/>
            <w:strike w:val="0"/>
            <w:noProof w:val="0"/>
            <w:color w:val="0077CC"/>
            <w:position w:val="0"/>
            <w:sz w:val="20"/>
            <w:u w:val="single"/>
            <w:vertAlign w:val="baseline"/>
          </w:rPr>
          <w:t>, 839 F.3d 437, 440 (5th Cir. 2016)</w:t>
        </w:r>
      </w:hyperlink>
      <w:r>
        <w:rPr>
          <w:rFonts w:ascii="arial" w:eastAsia="arial" w:hAnsi="arial" w:cs="arial"/>
          <w:b w:val="0"/>
          <w:i w:val="0"/>
          <w:strike w:val="0"/>
          <w:noProof w:val="0"/>
          <w:color w:val="000000"/>
          <w:position w:val="0"/>
          <w:sz w:val="20"/>
          <w:u w:val="none"/>
          <w:vertAlign w:val="baseline"/>
        </w:rPr>
        <w:t xml:space="preserve">; </w:t>
      </w:r>
      <w:bookmarkStart w:id="31" w:name="Bookmark_I5YPXRCH28T49M0050000400"/>
      <w:bookmarkEnd w:id="31"/>
      <w:hyperlink r:id="rId18" w:history="1">
        <w:r>
          <w:rPr>
            <w:rFonts w:ascii="arial" w:eastAsia="arial" w:hAnsi="arial" w:cs="arial"/>
            <w:b w:val="0"/>
            <w:i/>
            <w:strike w:val="0"/>
            <w:noProof w:val="0"/>
            <w:color w:val="0077CC"/>
            <w:position w:val="0"/>
            <w:sz w:val="20"/>
            <w:u w:val="single"/>
            <w:vertAlign w:val="baseline"/>
          </w:rPr>
          <w:t>United States v. Chavez-Chavez</w:t>
        </w:r>
      </w:hyperlink>
      <w:hyperlink r:id="rId18" w:history="1">
        <w:r>
          <w:rPr>
            <w:rFonts w:ascii="arial" w:eastAsia="arial" w:hAnsi="arial" w:cs="arial"/>
            <w:b w:val="0"/>
            <w:i/>
            <w:strike w:val="0"/>
            <w:noProof w:val="0"/>
            <w:color w:val="0077CC"/>
            <w:position w:val="0"/>
            <w:sz w:val="20"/>
            <w:u w:val="single"/>
            <w:vertAlign w:val="baseline"/>
          </w:rPr>
          <w:t>, 205 F.3d 145, 149 (5th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7"/>
      <w:bookmarkEnd w:id="32"/>
      <w:bookmarkStart w:id="33" w:name="Bookmark_I5YPXRCJ28T49P0030000400"/>
      <w:bookmarkEnd w:id="33"/>
      <w:r>
        <w:rPr>
          <w:rFonts w:ascii="arial" w:eastAsia="arial" w:hAnsi="arial" w:cs="arial"/>
          <w:b w:val="0"/>
          <w:i w:val="0"/>
          <w:strike w:val="0"/>
          <w:noProof w:val="0"/>
          <w:color w:val="000000"/>
          <w:position w:val="0"/>
          <w:sz w:val="20"/>
          <w:u w:val="none"/>
          <w:vertAlign w:val="baseline"/>
        </w:rPr>
        <w:t>Further,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driver's unusually low speeds—approximately 15 miles below the speed limit—contributed to reasonable suspicion, as did his other unusual driving behaviors, such as increasing speed and passing several vehicles, apparently in an attempt to avoid apprehension. </w:t>
      </w:r>
      <w:bookmarkStart w:id="34" w:name="Bookmark_I5YPXRCJ28T49P0050000400"/>
      <w:bookmarkEnd w:id="34"/>
      <w:r>
        <w:rPr>
          <w:rFonts w:ascii="arial" w:eastAsia="arial" w:hAnsi="arial" w:cs="arial"/>
          <w:b w:val="0"/>
          <w:i/>
          <w:strike w:val="0"/>
          <w:noProof w:val="0"/>
          <w:color w:val="000000"/>
          <w:position w:val="0"/>
          <w:sz w:val="20"/>
          <w:u w:val="none"/>
          <w:vertAlign w:val="baseline"/>
        </w:rPr>
        <w:t xml:space="preserve">See </w:t>
      </w:r>
      <w:bookmarkStart w:id="35" w:name="Bookmark_I5YPXRCJ28T49P0020000400"/>
      <w:bookmarkEnd w:id="35"/>
      <w:hyperlink r:id="rId19" w:history="1">
        <w:r>
          <w:rPr>
            <w:rFonts w:ascii="arial" w:eastAsia="arial" w:hAnsi="arial" w:cs="arial"/>
            <w:b w:val="0"/>
            <w:i/>
            <w:strike w:val="0"/>
            <w:noProof w:val="0"/>
            <w:color w:val="0077CC"/>
            <w:position w:val="0"/>
            <w:sz w:val="20"/>
            <w:u w:val="single"/>
            <w:vertAlign w:val="baseline"/>
          </w:rPr>
          <w:t>United States v. Zapata-Ibarra</w:t>
        </w:r>
      </w:hyperlink>
      <w:hyperlink r:id="rId19" w:history="1">
        <w:r>
          <w:rPr>
            <w:rFonts w:ascii="arial" w:eastAsia="arial" w:hAnsi="arial" w:cs="arial"/>
            <w:b w:val="0"/>
            <w:i/>
            <w:strike w:val="0"/>
            <w:noProof w:val="0"/>
            <w:color w:val="0077CC"/>
            <w:position w:val="0"/>
            <w:sz w:val="20"/>
            <w:u w:val="single"/>
            <w:vertAlign w:val="baseline"/>
          </w:rPr>
          <w:t>, 212 F.3d 877, 883-84 (5th Cir. 2000)</w:t>
        </w:r>
      </w:hyperlink>
      <w:r>
        <w:rPr>
          <w:rFonts w:ascii="arial" w:eastAsia="arial" w:hAnsi="arial" w:cs="arial"/>
          <w:b w:val="0"/>
          <w:i w:val="0"/>
          <w:strike w:val="0"/>
          <w:noProof w:val="0"/>
          <w:color w:val="000000"/>
          <w:position w:val="0"/>
          <w:sz w:val="20"/>
          <w:u w:val="none"/>
          <w:vertAlign w:val="baseline"/>
        </w:rPr>
        <w:t xml:space="preserve">. </w:t>
      </w:r>
      <w:bookmarkStart w:id="36" w:name="Bookmark_I5YPXRCK28T49W0010000400"/>
      <w:bookmarkEnd w:id="36"/>
      <w:r>
        <w:rPr>
          <w:rFonts w:ascii="arial" w:eastAsia="arial" w:hAnsi="arial" w:cs="arial"/>
          <w:b w:val="0"/>
          <w:i w:val="0"/>
          <w:strike w:val="0"/>
          <w:noProof w:val="0"/>
          <w:color w:val="000000"/>
          <w:position w:val="0"/>
          <w:sz w:val="20"/>
          <w:u w:val="none"/>
          <w:vertAlign w:val="baseline"/>
        </w:rPr>
        <w:t xml:space="preserve">Finally, the characteristics of the vehicle—dirty, heavily laden in the back, and bearing temporary license plates despite being an older model—contributed to reasonable suspicion. </w:t>
      </w:r>
      <w:bookmarkStart w:id="37" w:name="Bookmark_I5YPXRCK28T49W0010000400_2"/>
      <w:bookmarkEnd w:id="37"/>
      <w:bookmarkStart w:id="38" w:name="Bookmark_I5YPXRCJ28T49P0050000400_2"/>
      <w:bookmarkEnd w:id="38"/>
      <w:r>
        <w:rPr>
          <w:rFonts w:ascii="arial" w:eastAsia="arial" w:hAnsi="arial" w:cs="arial"/>
          <w:b w:val="0"/>
          <w:i/>
          <w:strike w:val="0"/>
          <w:noProof w:val="0"/>
          <w:color w:val="000000"/>
          <w:position w:val="0"/>
          <w:sz w:val="20"/>
          <w:u w:val="none"/>
          <w:vertAlign w:val="baseline"/>
        </w:rPr>
        <w:t xml:space="preserve">See </w:t>
      </w:r>
      <w:bookmarkStart w:id="39" w:name="Bookmark_I5YPXRCJ28T49P0040000400"/>
      <w:bookmarkEnd w:id="39"/>
      <w:hyperlink r:id="rId20" w:history="1">
        <w:r>
          <w:rPr>
            <w:rFonts w:ascii="arial" w:eastAsia="arial" w:hAnsi="arial" w:cs="arial"/>
            <w:b w:val="0"/>
            <w:i/>
            <w:strike w:val="0"/>
            <w:noProof w:val="0"/>
            <w:color w:val="0077CC"/>
            <w:position w:val="0"/>
            <w:sz w:val="20"/>
            <w:u w:val="single"/>
            <w:vertAlign w:val="baseline"/>
          </w:rPr>
          <w:t>United States v. Orozco</w:t>
        </w:r>
      </w:hyperlink>
      <w:hyperlink r:id="rId20" w:history="1">
        <w:r>
          <w:rPr>
            <w:rFonts w:ascii="arial" w:eastAsia="arial" w:hAnsi="arial" w:cs="arial"/>
            <w:b w:val="0"/>
            <w:i/>
            <w:strike w:val="0"/>
            <w:noProof w:val="0"/>
            <w:color w:val="0077CC"/>
            <w:position w:val="0"/>
            <w:sz w:val="20"/>
            <w:u w:val="single"/>
            <w:vertAlign w:val="baseline"/>
          </w:rPr>
          <w:t>, 191 F.3d 578, 582 (5th Cir. 1999)</w:t>
        </w:r>
      </w:hyperlink>
      <w:r>
        <w:rPr>
          <w:rFonts w:ascii="arial" w:eastAsia="arial" w:hAnsi="arial" w:cs="arial"/>
          <w:b w:val="0"/>
          <w:i w:val="0"/>
          <w:strike w:val="0"/>
          <w:noProof w:val="0"/>
          <w:color w:val="000000"/>
          <w:position w:val="0"/>
          <w:sz w:val="20"/>
          <w:u w:val="none"/>
          <w:vertAlign w:val="baseline"/>
        </w:rPr>
        <w:t xml:space="preserve">; </w:t>
      </w:r>
      <w:bookmarkStart w:id="40" w:name="Bookmark_I5YPXRCJ2SF8TC0010000400"/>
      <w:bookmarkEnd w:id="40"/>
      <w:hyperlink r:id="rId21" w:history="1">
        <w:r>
          <w:rPr>
            <w:rFonts w:ascii="arial" w:eastAsia="arial" w:hAnsi="arial" w:cs="arial"/>
            <w:b w:val="0"/>
            <w:i/>
            <w:strike w:val="0"/>
            <w:noProof w:val="0"/>
            <w:color w:val="0077CC"/>
            <w:position w:val="0"/>
            <w:sz w:val="20"/>
            <w:u w:val="single"/>
            <w:vertAlign w:val="baseline"/>
          </w:rPr>
          <w:t>United States v. Villalobos</w:t>
        </w:r>
      </w:hyperlink>
      <w:hyperlink r:id="rId21" w:history="1">
        <w:r>
          <w:rPr>
            <w:rFonts w:ascii="arial" w:eastAsia="arial" w:hAnsi="arial" w:cs="arial"/>
            <w:b w:val="0"/>
            <w:i/>
            <w:strike w:val="0"/>
            <w:noProof w:val="0"/>
            <w:color w:val="0077CC"/>
            <w:position w:val="0"/>
            <w:sz w:val="20"/>
            <w:u w:val="single"/>
            <w:vertAlign w:val="baseline"/>
          </w:rPr>
          <w:t>, 161 F.3d 285, 289 (5th Cir. 1998)</w:t>
        </w:r>
      </w:hyperlink>
      <w:r>
        <w:rPr>
          <w:rFonts w:ascii="arial" w:eastAsia="arial" w:hAnsi="arial" w:cs="arial"/>
          <w:b w:val="0"/>
          <w:i w:val="0"/>
          <w:strike w:val="0"/>
          <w:noProof w:val="0"/>
          <w:color w:val="000000"/>
          <w:position w:val="0"/>
          <w:sz w:val="20"/>
          <w:u w:val="none"/>
          <w:vertAlign w:val="baseline"/>
        </w:rPr>
        <w:t xml:space="preserve">; </w:t>
      </w:r>
      <w:bookmarkStart w:id="41" w:name="Bookmark_I5YPXRCJ2SF8TC0030000400"/>
      <w:bookmarkEnd w:id="41"/>
      <w:hyperlink r:id="rId22" w:history="1">
        <w:r>
          <w:rPr>
            <w:rFonts w:ascii="arial" w:eastAsia="arial" w:hAnsi="arial" w:cs="arial"/>
            <w:b w:val="0"/>
            <w:i/>
            <w:strike w:val="0"/>
            <w:noProof w:val="0"/>
            <w:color w:val="0077CC"/>
            <w:position w:val="0"/>
            <w:sz w:val="20"/>
            <w:u w:val="single"/>
            <w:vertAlign w:val="baseline"/>
          </w:rPr>
          <w:t>United States v. Upchurch</w:t>
        </w:r>
      </w:hyperlink>
      <w:hyperlink r:id="rId22" w:history="1">
        <w:r>
          <w:rPr>
            <w:rFonts w:ascii="arial" w:eastAsia="arial" w:hAnsi="arial" w:cs="arial"/>
            <w:b w:val="0"/>
            <w:i/>
            <w:strike w:val="0"/>
            <w:noProof w:val="0"/>
            <w:color w:val="0077CC"/>
            <w:position w:val="0"/>
            <w:sz w:val="20"/>
            <w:u w:val="single"/>
            <w:vertAlign w:val="baseline"/>
          </w:rPr>
          <w:t>, No. 93-8402, 1994 U.S. App. LEXIS 41659, 1994 WL 14138, 1 (5th Cir. Jan. 5, 1994)</w:t>
        </w:r>
      </w:hyperlink>
      <w:r>
        <w:rPr>
          <w:rFonts w:ascii="arial" w:eastAsia="arial" w:hAnsi="arial" w:cs="arial"/>
          <w:b w:val="0"/>
          <w:i w:val="0"/>
          <w:strike w:val="0"/>
          <w:noProof w:val="0"/>
          <w:color w:val="000000"/>
          <w:position w:val="0"/>
          <w:sz w:val="20"/>
          <w:u w:val="none"/>
          <w:vertAlign w:val="baseline"/>
        </w:rPr>
        <w:t xml:space="preserve"> (unpublished). The factors observed by the agent provided a "composite picture" sufficient to create reasonable suspicion in his mind. </w:t>
      </w:r>
      <w:bookmarkStart w:id="42" w:name="Bookmark_I5YPXRCJ2SF8TC0050000400"/>
      <w:bookmarkEnd w:id="42"/>
      <w:hyperlink r:id="rId15" w:history="1">
        <w:r>
          <w:rPr>
            <w:rFonts w:ascii="arial" w:eastAsia="arial" w:hAnsi="arial" w:cs="arial"/>
            <w:b w:val="0"/>
            <w:i/>
            <w:strike w:val="0"/>
            <w:noProof w:val="0"/>
            <w:color w:val="0077CC"/>
            <w:position w:val="0"/>
            <w:sz w:val="20"/>
            <w:u w:val="single"/>
            <w:vertAlign w:val="baseline"/>
          </w:rPr>
          <w:t>United States v. Jacquinot</w:t>
        </w:r>
      </w:hyperlink>
      <w:hyperlink r:id="rId15" w:history="1">
        <w:r>
          <w:rPr>
            <w:rFonts w:ascii="arial" w:eastAsia="arial" w:hAnsi="arial" w:cs="arial"/>
            <w:b w:val="0"/>
            <w:i/>
            <w:strike w:val="0"/>
            <w:noProof w:val="0"/>
            <w:color w:val="0077CC"/>
            <w:position w:val="0"/>
            <w:sz w:val="20"/>
            <w:u w:val="single"/>
            <w:vertAlign w:val="baseline"/>
          </w:rPr>
          <w:t>, 258 F.3d 423, 427-28 (5th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8"/>
      <w:bookmarkEnd w:id="43"/>
      <w:r>
        <w:rPr>
          <w:rFonts w:ascii="arial" w:eastAsia="arial" w:hAnsi="arial" w:cs="arial"/>
          <w:b w:val="0"/>
          <w:i w:val="0"/>
          <w:strike w:val="0"/>
          <w:noProof w:val="0"/>
          <w:color w:val="000000"/>
          <w:position w:val="0"/>
          <w:sz w:val="20"/>
          <w:u w:val="none"/>
          <w:vertAlign w:val="baseline"/>
        </w:rPr>
        <w:t>Accordingly, the district court's denial of the motion to suppress is 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trike w:val="0"/>
          <w:noProof w:val="0"/>
          <w:color w:val="000000"/>
          <w:position w:val="0"/>
          <w:sz w:val="18"/>
          <w:u w:val="none"/>
          <w:vertAlign w:val="baseline"/>
        </w:rPr>
        <w:t>5TH CIR. R.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trike w:val="0"/>
          <w:noProof w:val="0"/>
          <w:color w:val="000000"/>
          <w:position w:val="0"/>
          <w:sz w:val="18"/>
          <w:u w:val="none"/>
          <w:vertAlign w:val="baseline"/>
        </w:rPr>
        <w:t>5TH CIR. R.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Urquizo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MW9-PH31-F04F-C1DB-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cases&amp;id=urn:contentItem:5BC7-KPY1-F04K-N3C4-00000-00&amp;context=1519360" TargetMode="External" /><Relationship Id="rId13" Type="http://schemas.openxmlformats.org/officeDocument/2006/relationships/hyperlink" Target="https://advance.lexis.com/api/document?collection=cases&amp;id=urn:contentItem:595S-0XF1-F04K-N004-00000-00&amp;context=1519360" TargetMode="External" /><Relationship Id="rId14" Type="http://schemas.openxmlformats.org/officeDocument/2006/relationships/hyperlink" Target="https://advance.lexis.com/api/document?collection=cases&amp;id=urn:contentItem:3S4X-BDV0-003B-S1TF-00000-00&amp;context=1519360" TargetMode="External" /><Relationship Id="rId15" Type="http://schemas.openxmlformats.org/officeDocument/2006/relationships/hyperlink" Target="https://advance.lexis.com/api/document?collection=cases&amp;id=urn:contentItem:43J1-M2F0-0038-X1HJ-00000-00&amp;context=1519360" TargetMode="External" /><Relationship Id="rId16" Type="http://schemas.openxmlformats.org/officeDocument/2006/relationships/hyperlink" Target="https://advance.lexis.com/api/document?collection=cases&amp;id=urn:contentItem:4MX0-JTD0-0038-X3R2-00000-00&amp;context=1519360" TargetMode="External" /><Relationship Id="rId17" Type="http://schemas.openxmlformats.org/officeDocument/2006/relationships/hyperlink" Target="https://advance.lexis.com/api/document?collection=cases&amp;id=urn:contentItem:5KY3-BD41-F04K-N030-00000-00&amp;context=1519360" TargetMode="External" /><Relationship Id="rId18" Type="http://schemas.openxmlformats.org/officeDocument/2006/relationships/hyperlink" Target="https://advance.lexis.com/api/document?collection=cases&amp;id=urn:contentItem:3YMS-NDF0-0038-X1JX-00000-00&amp;context=1519360" TargetMode="External" /><Relationship Id="rId19" Type="http://schemas.openxmlformats.org/officeDocument/2006/relationships/hyperlink" Target="https://advance.lexis.com/api/document?collection=cases&amp;id=urn:contentItem:409B-CVT0-0038-X4S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XJK-F6N0-0038-X01S-00000-00&amp;context=1519360" TargetMode="External" /><Relationship Id="rId21" Type="http://schemas.openxmlformats.org/officeDocument/2006/relationships/hyperlink" Target="https://advance.lexis.com/api/document?collection=cases&amp;id=urn:contentItem:3V4X-4HW0-0038-X188-00000-00&amp;context=1519360" TargetMode="External" /><Relationship Id="rId22" Type="http://schemas.openxmlformats.org/officeDocument/2006/relationships/hyperlink" Target="https://advance.lexis.com/api/document?collection=cases&amp;id=urn:contentItem:5DWV-DW51-F04K-M4B9-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YP4-W2P1-JYYX-608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Urquizo, 801 Fed. Appx. 318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Doc::urn:hlct:5|contextualFeaturePermID::1519360</vt:lpwstr>
  </property>
  <property fmtid="{D5CDD505-2E9C-101B-9397-08002B2CF9AE}" pid="5" name="UserPermID">
    <vt:lpwstr>urn:user:PA186186298</vt:lpwstr>
  </property>
</Properties>
</file>