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Hale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San Antonio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2022, Decided; December 9, 2022,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SA-22-CR-138-OLG</w:t>
      </w:r>
    </w:p>
    <w:p>
      <w:pPr>
        <w:keepNext w:val="0"/>
        <w:spacing w:after="0" w:line="240" w:lineRule="atLeast"/>
        <w:ind w:right="0"/>
        <w:jc w:val="both"/>
      </w:pPr>
      <w:bookmarkStart w:id="0" w:name="Bookmark_8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2022 U.S. Dist. LEXIS 243141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20138735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DAONTAE NATHANIEL HALE,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Hale, 2023 U.S. Dist. LEXIS 104524 (W.D. Tex., June 15,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reasonable suspicion, Recommendation, patrol, traffic, passengers, highway, aliens, seat, Suppress, exit, totality of the circumstances, smuggling, traveled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Daontae Nathaniel Hale, Defendant: Marina Thais Douenat, LEAD ATTORNEY, Office of the Federal Public Defender, San Antonio, TX; Roland J. Garcia, Federal Public Defender, San Antonio,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Amanda C. Brown, LEAD ATTORNEY, Office of the U.S. Attorney, San Antonio, TX USA; Mark Tindall, LEAD ATTORNEY, United States Attorneys Office, Austin, TX; Ray Gattinella, LEAD ATTORNEY, United States Attorney Office, San Antonio,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Henry J. Bemporad,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Henry J. Bemporad</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 OF UNITED STATES MAGISTRATE JUDGE</w:t>
      </w:r>
    </w:p>
    <w:p>
      <w:pPr>
        <w:keepNext w:val="0"/>
        <w:spacing w:before="200" w:after="0" w:line="260" w:lineRule="atLeast"/>
        <w:ind w:left="0" w:right="0" w:firstLine="0"/>
        <w:jc w:val="both"/>
      </w:pPr>
      <w:bookmarkStart w:id="8" w:name="Bookmark_para_1"/>
      <w:bookmarkEnd w:id="8"/>
      <w:r>
        <w:rPr>
          <w:rFonts w:ascii="arial" w:eastAsia="arial" w:hAnsi="arial" w:cs="arial"/>
          <w:b/>
          <w:i w:val="0"/>
          <w:strike w:val="0"/>
          <w:noProof w:val="0"/>
          <w:color w:val="000000"/>
          <w:position w:val="0"/>
          <w:sz w:val="20"/>
          <w:u w:val="none"/>
          <w:vertAlign w:val="baseline"/>
        </w:rPr>
        <w:t>To the Honorable Orlando L. Garcia, United States District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This Report and Recommendation concerns the Motion to Suppress filed by Defendant Daontae Nathaniel Hale (Docket Entry 30), which was referred to the undersigned for consideration pursuant to </w:t>
      </w:r>
      <w:hyperlink r:id="rId11"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Text Order dated August 26, 2022.) The undersigned held a hearing on the motion on November 7, 2022. After considering all the evidence presented at the hearing, and the post-hearing evidence presented by Defendant (Docket Entry 45), I recommend that Defendant's Motion (Docket Entry 30)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Defendant is charged with conspiracy to transport illegal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aliens in violation of </w:t>
      </w:r>
      <w:hyperlink r:id="rId12" w:history="1">
        <w:r>
          <w:rPr>
            <w:rFonts w:ascii="arial" w:eastAsia="arial" w:hAnsi="arial" w:cs="arial"/>
            <w:b w:val="0"/>
            <w:i/>
            <w:strike w:val="0"/>
            <w:noProof w:val="0"/>
            <w:color w:val="0077CC"/>
            <w:position w:val="0"/>
            <w:sz w:val="20"/>
            <w:u w:val="single"/>
            <w:vertAlign w:val="baseline"/>
          </w:rPr>
          <w:t>8 U.S.C. § 1324(a)(1)(A)(v)</w:t>
        </w:r>
      </w:hyperlink>
      <w:r>
        <w:rPr>
          <w:rFonts w:ascii="arial" w:eastAsia="arial" w:hAnsi="arial" w:cs="arial"/>
          <w:b w:val="0"/>
          <w:i w:val="0"/>
          <w:strike w:val="0"/>
          <w:noProof w:val="0"/>
          <w:color w:val="000000"/>
          <w:position w:val="0"/>
          <w:sz w:val="20"/>
          <w:u w:val="none"/>
          <w:vertAlign w:val="baseline"/>
        </w:rPr>
        <w:t xml:space="preserve">, and transportation of illegal aliens in violation of </w:t>
      </w:r>
      <w:hyperlink r:id="rId12"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(Docket Entry 12.) The charges arise out of a roving Border Patrol stop conducted on March 2, 2022. Defendant argues that the stop violated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and accordingly that its fruits should be suppressed. (Docket Entry 30, at 6.)</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At 11:00 A.M. on the date in question, U.S. Border Patrol Agent Andres Avila, Jr., was observing traffic in his marked patrol vehicle on Interstate Highway 35 ("IH 35")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San Antonio. (Docket Entry 44, at 4-6, 20.) Avila has 13 years' experience with the Border Patrol, mostly in the area he was patrolling on that date.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Avila saw a brown Nissan Altima headed northbound on the highway, approximately 91 miles from the U.S.-Mexico border.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6-9, 21.) IH 35 is a major traffic artery that extends from the southern border not only through San Antonio, but also through the major metropolitan areas of Austin, Dallas-Ft. Worth, and beyond. It supports a large amount of legitimate traffic, but, as Avila explained, the area he was patrolling at that time was also known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As Avila testified, in that area IH 35 is "surrounded by county roads, all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of which are used by smugglers," and "in that area specifically, and during that time, we had had a lot of smuggling cases . . . coming from those county roads to lead up [IH] 35."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Agent Avila noted that it appeared something was weighing down the rear of the Nissan; he found this unusual because he saw passengers only in the front seat. (Docket Entry 44, at 8.) The occupants of the vehicle also appeared "a little stiff and seemed a little nervous."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Agent Avila decided to give the vehicle "a second look," and so he turned northbound to follow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He noticed that the windows were all cracked open one or two inches, which in his experience sometimes occurred when illegal aliens were being transported, since they have often traveled for days in the brush and had stale and dirty clothing.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Avila then checked the vehicle registration, learning that the vehicle was registered in San Antonio, and that it had not passed through either a border point of entry or the border checkpoint within the previous 72 hours.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28.) Avila considered this significant because, in his experience, persons driving on that stretch of IH 35 who had not traveled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through a checkpoint were typically local to the small towns in the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Agent Avila followed the vehicle as it traveled through Pearsall, Texas, passing a gas station at exit 101. (Docket Entry 44, at 11, 34.) At the 104-mile marker, the vehicle suddenly crossed from the inside, or left, lane across another lane of traffic to exit the highway.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 Avila could not recall if the driver signaled before crossing lanes of traffic, but he did recall that the vehicle crossed the lanes of traffic rather abruptly, without warning.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 32.) Avila believed the action was a public safety concern and that it appeared evasive.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Agent Avila continued following the vehicle as it took the turnaround lane and headed southbound on the frontage road. (Docket Entry 44, at 13.) Once back near Pearsall, the vehicle pulled into the gas station at exit 101, again rather abruptly, and parked near a pump.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34.) Avila decided to detain the vehicle and turned on his emergency lights; Defendant, who was driving the vehicle, "pop[ped] out of the vehicle pretty quickly," but Avila got out of his vehicle and ordered Defendant back into the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14-15.)</w:t>
      </w:r>
    </w:p>
    <w:p>
      <w:pPr>
        <w:keepNext w:val="0"/>
        <w:spacing w:before="200" w:after="0" w:line="260" w:lineRule="atLeast"/>
        <w:ind w:left="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As Agent Avila approached the vehicle, he saw three men laying down in the back seat, wearing soiled clothing; at this point, Avila "was almost 100 percent sure that that was a smuggling load." (Docket Entry 44, at 16, 19.) Avila instructed Defendant to turn off the car; he asked the back seat passengers their nationality, and learned they were all aliens in the country illegally.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16-17.) Now assisted by other officers who had arrived at the scene, Avila removed Defendant and the front seat passenger and searched the vehicle, finding loaded handguns under both the driver and passenger seats.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Law and Analysis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 w:name="Bookmark_para_9"/>
      <w:bookmarkEnd w:id="16"/>
      <w:bookmarkStart w:id="17" w:name="Bookmark_I68HF0KF28T4RD0020000400"/>
      <w:bookmarkEnd w:id="17"/>
      <w:r>
        <w:rPr>
          <w:rFonts w:ascii="arial" w:eastAsia="arial" w:hAnsi="arial" w:cs="arial"/>
          <w:b w:val="0"/>
          <w:i w:val="0"/>
          <w:strike w:val="0"/>
          <w:noProof w:val="0"/>
          <w:color w:val="000000"/>
          <w:position w:val="0"/>
          <w:sz w:val="20"/>
          <w:u w:val="none"/>
          <w:vertAlign w:val="baseline"/>
        </w:rPr>
        <w:t xml:space="preserve">Defendant seeks to suppress all evidence obtained as a result of Agent Avila's stop of his vehicle, arguing that Avila lacked reasonable suspicion to detain him. (Docket Entry 30, at 6.) </w:t>
      </w:r>
      <w:bookmarkStart w:id="18" w:name="Bookmark_I68HF0KF28T4RD0040000400"/>
      <w:bookmarkEnd w:id="18"/>
      <w:r>
        <w:rPr>
          <w:rFonts w:ascii="arial" w:eastAsia="arial" w:hAnsi="arial" w:cs="arial"/>
          <w:b w:val="0"/>
          <w:i w:val="0"/>
          <w:strike w:val="0"/>
          <w:noProof w:val="0"/>
          <w:color w:val="000000"/>
          <w:position w:val="0"/>
          <w:sz w:val="20"/>
          <w:u w:val="none"/>
          <w:vertAlign w:val="baseline"/>
        </w:rPr>
        <w:t xml:space="preserve">The law applicable to such arguments is well settled. "A temporary, warrantless detention of an individual constitutes a seizure for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purposes and must be justified by reasonable suspicion that criminal activity has taken or is currently taking place . . . ." </w:t>
      </w:r>
      <w:bookmarkStart w:id="19" w:name="Bookmark_I68HF0KF28T4RD0010000400"/>
      <w:bookmarkEnd w:id="19"/>
      <w:hyperlink r:id="rId14" w:history="1">
        <w:r>
          <w:rPr>
            <w:rFonts w:ascii="arial" w:eastAsia="arial" w:hAnsi="arial" w:cs="arial"/>
            <w:b w:val="0"/>
            <w:i/>
            <w:strike w:val="0"/>
            <w:noProof w:val="0"/>
            <w:color w:val="0077CC"/>
            <w:position w:val="0"/>
            <w:sz w:val="20"/>
            <w:u w:val="single"/>
            <w:vertAlign w:val="baseline"/>
          </w:rPr>
          <w:t>United States v. Garza</w:t>
        </w:r>
      </w:hyperlink>
      <w:hyperlink r:id="rId14" w:history="1">
        <w:r>
          <w:rPr>
            <w:rFonts w:ascii="arial" w:eastAsia="arial" w:hAnsi="arial" w:cs="arial"/>
            <w:b w:val="0"/>
            <w:i/>
            <w:strike w:val="0"/>
            <w:noProof w:val="0"/>
            <w:color w:val="0077CC"/>
            <w:position w:val="0"/>
            <w:sz w:val="20"/>
            <w:u w:val="single"/>
            <w:vertAlign w:val="baseline"/>
          </w:rPr>
          <w:t>, 727 F.3d 436, 440 (5th Cir. 2013)</w:t>
        </w:r>
      </w:hyperlink>
      <w:r>
        <w:rPr>
          <w:rFonts w:ascii="arial" w:eastAsia="arial" w:hAnsi="arial" w:cs="arial"/>
          <w:b w:val="0"/>
          <w:i w:val="0"/>
          <w:strike w:val="0"/>
          <w:noProof w:val="0"/>
          <w:color w:val="000000"/>
          <w:position w:val="0"/>
          <w:sz w:val="20"/>
          <w:u w:val="none"/>
          <w:vertAlign w:val="baseline"/>
        </w:rPr>
        <w:t xml:space="preserve">. </w:t>
      </w:r>
      <w:bookmarkStart w:id="20" w:name="Bookmark_I68HF0KF28T4RD0040000400_2"/>
      <w:bookmarkEnd w:id="20"/>
      <w:bookmarkStart w:id="21" w:name="Bookmark_I68HF0KG2SF8KF0030000400"/>
      <w:bookmarkEnd w:id="21"/>
      <w:r>
        <w:rPr>
          <w:rFonts w:ascii="arial" w:eastAsia="arial" w:hAnsi="arial" w:cs="arial"/>
          <w:b w:val="0"/>
          <w:i w:val="0"/>
          <w:strike w:val="0"/>
          <w:noProof w:val="0"/>
          <w:color w:val="000000"/>
          <w:position w:val="0"/>
          <w:sz w:val="20"/>
          <w:u w:val="none"/>
          <w:vertAlign w:val="baseline"/>
        </w:rPr>
        <w:t>Accordingly, "[a] border patrol agent conducting a roving patrol may make a temporary investigative stop</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a vehicle only if the agent is aware of specific articulable facts, together with rational inferences from those facts, that reasonably warrant suspicion that the vehicle's occupant is engaged in criminal activity." </w:t>
      </w:r>
      <w:bookmarkStart w:id="22" w:name="Bookmark_I68HF0KF28T4RD0030000400"/>
      <w:bookmarkEnd w:id="22"/>
      <w:hyperlink r:id="rId15" w:history="1">
        <w:r>
          <w:rPr>
            <w:rFonts w:ascii="arial" w:eastAsia="arial" w:hAnsi="arial" w:cs="arial"/>
            <w:b w:val="0"/>
            <w:i/>
            <w:strike w:val="0"/>
            <w:noProof w:val="0"/>
            <w:color w:val="0077CC"/>
            <w:position w:val="0"/>
            <w:sz w:val="20"/>
            <w:u w:val="single"/>
            <w:vertAlign w:val="baseline"/>
          </w:rPr>
          <w:t>United States v. Jacquinot</w:t>
        </w:r>
      </w:hyperlink>
      <w:hyperlink r:id="rId15" w:history="1">
        <w:r>
          <w:rPr>
            <w:rFonts w:ascii="arial" w:eastAsia="arial" w:hAnsi="arial" w:cs="arial"/>
            <w:b w:val="0"/>
            <w:i/>
            <w:strike w:val="0"/>
            <w:noProof w:val="0"/>
            <w:color w:val="0077CC"/>
            <w:position w:val="0"/>
            <w:sz w:val="20"/>
            <w:u w:val="single"/>
            <w:vertAlign w:val="baseline"/>
          </w:rPr>
          <w:t>, 258 F.3d 423, 427 (5th Cir.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3" w:name="Bookmark_I68HF0KF28T4RD0050000400"/>
      <w:bookmarkEnd w:id="23"/>
      <w:hyperlink r:id="rId16" w:history="1">
        <w:r>
          <w:rPr>
            <w:rFonts w:ascii="arial" w:eastAsia="arial" w:hAnsi="arial" w:cs="arial"/>
            <w:b w:val="0"/>
            <w:i/>
            <w:strike w:val="0"/>
            <w:noProof w:val="0"/>
            <w:color w:val="0077CC"/>
            <w:position w:val="0"/>
            <w:sz w:val="20"/>
            <w:u w:val="single"/>
            <w:vertAlign w:val="baseline"/>
          </w:rPr>
          <w:t>United States v. Brignoni-Ponce</w:t>
        </w:r>
      </w:hyperlink>
      <w:hyperlink r:id="rId16" w:history="1">
        <w:r>
          <w:rPr>
            <w:rFonts w:ascii="arial" w:eastAsia="arial" w:hAnsi="arial" w:cs="arial"/>
            <w:b w:val="0"/>
            <w:i/>
            <w:strike w:val="0"/>
            <w:noProof w:val="0"/>
            <w:color w:val="0077CC"/>
            <w:position w:val="0"/>
            <w:sz w:val="20"/>
            <w:u w:val="single"/>
            <w:vertAlign w:val="baseline"/>
          </w:rPr>
          <w:t>, 422 U.S. 873, 884, 95 S. Ct. 2574, 45 L. Ed. 2d 607 (1975)</w:t>
        </w:r>
      </w:hyperlink>
      <w:r>
        <w:rPr>
          <w:rFonts w:ascii="arial" w:eastAsia="arial" w:hAnsi="arial" w:cs="arial"/>
          <w:b w:val="0"/>
          <w:i w:val="0"/>
          <w:strike w:val="0"/>
          <w:noProof w:val="0"/>
          <w:color w:val="000000"/>
          <w:position w:val="0"/>
          <w:sz w:val="20"/>
          <w:u w:val="none"/>
          <w:vertAlign w:val="baseline"/>
        </w:rPr>
        <w:t xml:space="preserve">. </w:t>
      </w:r>
      <w:bookmarkStart w:id="24" w:name="Bookmark_I68HF0KG2SF8KF0030000400_2"/>
      <w:bookmarkEnd w:id="24"/>
      <w:bookmarkStart w:id="25" w:name="Bookmark_I68HF0KG2SF8KF0050000400"/>
      <w:bookmarkEnd w:id="25"/>
      <w:r>
        <w:rPr>
          <w:rFonts w:ascii="arial" w:eastAsia="arial" w:hAnsi="arial" w:cs="arial"/>
          <w:b w:val="0"/>
          <w:i w:val="0"/>
          <w:strike w:val="0"/>
          <w:noProof w:val="0"/>
          <w:color w:val="000000"/>
          <w:position w:val="0"/>
          <w:sz w:val="20"/>
          <w:u w:val="none"/>
          <w:vertAlign w:val="baseline"/>
        </w:rPr>
        <w:t xml:space="preserve">Reasonable suspicion is a low threshold; it is not probable cause. </w:t>
      </w:r>
      <w:r>
        <w:rPr>
          <w:rFonts w:ascii="arial" w:eastAsia="arial" w:hAnsi="arial" w:cs="arial"/>
          <w:b w:val="0"/>
          <w:i/>
          <w:strike w:val="0"/>
          <w:noProof w:val="0"/>
          <w:color w:val="000000"/>
          <w:position w:val="0"/>
          <w:sz w:val="20"/>
          <w:u w:val="none"/>
          <w:vertAlign w:val="baseline"/>
        </w:rPr>
        <w:t xml:space="preserve">See </w:t>
      </w:r>
      <w:bookmarkStart w:id="26" w:name="Bookmark_I68HF0KG2SF8KF0020000400"/>
      <w:bookmarkEnd w:id="26"/>
      <w:hyperlink r:id="rId17" w:history="1">
        <w:r>
          <w:rPr>
            <w:rFonts w:ascii="arial" w:eastAsia="arial" w:hAnsi="arial" w:cs="arial"/>
            <w:b w:val="0"/>
            <w:i/>
            <w:strike w:val="0"/>
            <w:noProof w:val="0"/>
            <w:color w:val="0077CC"/>
            <w:position w:val="0"/>
            <w:sz w:val="20"/>
            <w:u w:val="single"/>
            <w:vertAlign w:val="baseline"/>
          </w:rPr>
          <w:t>United States v. Castillo</w:t>
        </w:r>
      </w:hyperlink>
      <w:hyperlink r:id="rId17" w:history="1">
        <w:r>
          <w:rPr>
            <w:rFonts w:ascii="arial" w:eastAsia="arial" w:hAnsi="arial" w:cs="arial"/>
            <w:b w:val="0"/>
            <w:i/>
            <w:strike w:val="0"/>
            <w:noProof w:val="0"/>
            <w:color w:val="0077CC"/>
            <w:position w:val="0"/>
            <w:sz w:val="20"/>
            <w:u w:val="single"/>
            <w:vertAlign w:val="baseline"/>
          </w:rPr>
          <w:t>, 804 F.3d 361, 364, 367 (5th Cir. 2015)</w:t>
        </w:r>
      </w:hyperlink>
      <w:r>
        <w:rPr>
          <w:rFonts w:ascii="arial" w:eastAsia="arial" w:hAnsi="arial" w:cs="arial"/>
          <w:b w:val="0"/>
          <w:i w:val="0"/>
          <w:strike w:val="0"/>
          <w:noProof w:val="0"/>
          <w:color w:val="000000"/>
          <w:position w:val="0"/>
          <w:sz w:val="20"/>
          <w:u w:val="none"/>
          <w:vertAlign w:val="baseline"/>
        </w:rPr>
        <w:t xml:space="preserve">. </w:t>
      </w:r>
      <w:bookmarkStart w:id="27" w:name="Bookmark_I68HF0KG2SF8KF0050000400_2"/>
      <w:bookmarkEnd w:id="27"/>
      <w:r>
        <w:rPr>
          <w:rFonts w:ascii="arial" w:eastAsia="arial" w:hAnsi="arial" w:cs="arial"/>
          <w:b w:val="0"/>
          <w:i w:val="0"/>
          <w:strike w:val="0"/>
          <w:noProof w:val="0"/>
          <w:color w:val="000000"/>
          <w:position w:val="0"/>
          <w:sz w:val="20"/>
          <w:u w:val="none"/>
          <w:vertAlign w:val="baseline"/>
        </w:rPr>
        <w:t xml:space="preserve">"Reasonable suspicion requires more than merely an unparticularized hunch, but considerably less than proof of wrongdoing by a preponderance of the evidence." </w:t>
      </w:r>
      <w:bookmarkStart w:id="28" w:name="Bookmark_I68HF0KG2SF8KF0040000400"/>
      <w:bookmarkEnd w:id="28"/>
      <w:hyperlink r:id="rId14" w:history="1">
        <w:r>
          <w:rPr>
            <w:rFonts w:ascii="arial" w:eastAsia="arial" w:hAnsi="arial" w:cs="arial"/>
            <w:b w:val="0"/>
            <w:i/>
            <w:strike w:val="0"/>
            <w:noProof w:val="0"/>
            <w:color w:val="0077CC"/>
            <w:position w:val="0"/>
            <w:sz w:val="20"/>
            <w:u w:val="single"/>
            <w:vertAlign w:val="baseline"/>
          </w:rPr>
          <w:t>Garza</w:t>
        </w:r>
      </w:hyperlink>
      <w:hyperlink r:id="rId14" w:history="1">
        <w:r>
          <w:rPr>
            <w:rFonts w:ascii="arial" w:eastAsia="arial" w:hAnsi="arial" w:cs="arial"/>
            <w:b w:val="0"/>
            <w:i/>
            <w:strike w:val="0"/>
            <w:noProof w:val="0"/>
            <w:color w:val="0077CC"/>
            <w:position w:val="0"/>
            <w:sz w:val="20"/>
            <w:u w:val="single"/>
            <w:vertAlign w:val="baseline"/>
          </w:rPr>
          <w:t>, 727 F.3d at 440</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29" w:name="Bookmark_para_10"/>
      <w:bookmarkEnd w:id="29"/>
      <w:bookmarkStart w:id="30" w:name="Bookmark_I68HF0KG2SF8KH0020000400"/>
      <w:bookmarkEnd w:id="30"/>
      <w:r>
        <w:rPr>
          <w:rFonts w:ascii="arial" w:eastAsia="arial" w:hAnsi="arial" w:cs="arial"/>
          <w:b w:val="0"/>
          <w:i w:val="0"/>
          <w:strike w:val="0"/>
          <w:noProof w:val="0"/>
          <w:color w:val="000000"/>
          <w:position w:val="0"/>
          <w:sz w:val="20"/>
          <w:u w:val="none"/>
          <w:vertAlign w:val="baseline"/>
        </w:rPr>
        <w:t xml:space="preserve">When determining whether reasonable suspicion existed for a roving border patrol stop, the Court must examine the totality of the circumstances and weigh the factors established in </w:t>
      </w:r>
      <w:bookmarkStart w:id="31" w:name="Bookmark_I68HF0KG2SF8KH0010000400"/>
      <w:bookmarkEnd w:id="31"/>
      <w:hyperlink r:id="rId16" w:history="1">
        <w:r>
          <w:rPr>
            <w:rFonts w:ascii="arial" w:eastAsia="arial" w:hAnsi="arial" w:cs="arial"/>
            <w:b w:val="0"/>
            <w:i/>
            <w:strike w:val="0"/>
            <w:noProof w:val="0"/>
            <w:color w:val="0077CC"/>
            <w:position w:val="0"/>
            <w:sz w:val="20"/>
            <w:u w:val="single"/>
            <w:vertAlign w:val="baseline"/>
          </w:rPr>
          <w:t>Brignoni-Ponce</w:t>
        </w:r>
      </w:hyperlink>
      <w:bookmarkStart w:id="32" w:name="Bookmark_I68HF0KG2SF8KH0040000400"/>
      <w:bookmarkEnd w:id="32"/>
      <w:r>
        <w:rPr>
          <w:rFonts w:ascii="arial" w:eastAsia="arial" w:hAnsi="arial" w:cs="arial"/>
          <w:b w:val="0"/>
          <w:i w:val="0"/>
          <w:strike w:val="0"/>
          <w:noProof w:val="0"/>
          <w:color w:val="000000"/>
          <w:position w:val="0"/>
          <w:sz w:val="20"/>
          <w:u w:val="none"/>
          <w:vertAlign w:val="baseline"/>
        </w:rPr>
        <w:t>, including:</w:t>
      </w:r>
    </w:p>
    <w:p>
      <w:pPr>
        <w:keepNext w:val="0"/>
        <w:spacing w:after="0" w:line="260" w:lineRule="atLeast"/>
        <w:ind w:left="400" w:right="0" w:firstLine="0"/>
        <w:jc w:val="both"/>
      </w:pPr>
      <w:bookmarkStart w:id="33" w:name="Bookmark_para_11"/>
      <w:bookmarkEnd w:id="33"/>
      <w:bookmarkStart w:id="34" w:name="Bookmark_I68HF0KG2SF8KH0040000400_2"/>
      <w:bookmarkEnd w:id="34"/>
      <w:bookmarkStart w:id="35" w:name="Bookmark_I68HF0KG2SF8KH0020000400_2"/>
      <w:bookmarkEnd w:id="35"/>
      <w:r>
        <w:rPr>
          <w:rFonts w:ascii="arial" w:eastAsia="arial" w:hAnsi="arial" w:cs="arial"/>
          <w:b w:val="0"/>
          <w:i w:val="0"/>
          <w:strike w:val="0"/>
          <w:noProof w:val="0"/>
          <w:color w:val="000000"/>
          <w:position w:val="0"/>
          <w:sz w:val="20"/>
          <w:u w:val="none"/>
          <w:vertAlign w:val="baseline"/>
        </w:rPr>
        <w:t>(1) the characteristics of the area in which the vehicle is encountered; (2) the arresting agent's previous experience with criminal activity; (3) the area's proximity to the border; (4) the usual traffic patterns on the road; (5) information about recent illegal trafficking in aliens or narcotics in the area; (6) the appearance of the vehicle; (7) the driver's behavior; and, (8) the passengers' number, appearance, and behavior.</w:t>
      </w:r>
    </w:p>
    <w:p>
      <w:pPr>
        <w:keepNext w:val="0"/>
        <w:spacing w:before="240" w:after="0" w:line="260" w:lineRule="atLeast"/>
        <w:ind w:left="0" w:right="0" w:firstLine="0"/>
        <w:jc w:val="both"/>
      </w:pPr>
      <w:bookmarkStart w:id="36" w:name="Bookmark_I68HF0KG2SF8KH0040000400_3"/>
      <w:bookmarkEnd w:id="36"/>
      <w:bookmarkStart w:id="37" w:name="Bookmark_I68HF0KG2SF8KJ0030000400"/>
      <w:bookmarkEnd w:id="37"/>
      <w:bookmarkStart w:id="38" w:name="Bookmark_I68HF0KG2SF8KH0030000400"/>
      <w:bookmarkEnd w:id="38"/>
      <w:hyperlink r:id="rId18" w:history="1">
        <w:r>
          <w:rPr>
            <w:rFonts w:ascii="arial" w:eastAsia="arial" w:hAnsi="arial" w:cs="arial"/>
            <w:b w:val="0"/>
            <w:i/>
            <w:strike w:val="0"/>
            <w:color w:val="0077CC"/>
            <w:sz w:val="20"/>
            <w:u w:val="single"/>
            <w:vertAlign w:val="baseline"/>
          </w:rPr>
          <w:t>United States v. Hernandez</w:t>
        </w:r>
      </w:hyperlink>
      <w:hyperlink r:id="rId18" w:history="1">
        <w:r>
          <w:rPr>
            <w:rFonts w:ascii="arial" w:eastAsia="arial" w:hAnsi="arial" w:cs="arial"/>
            <w:b w:val="0"/>
            <w:i/>
            <w:strike w:val="0"/>
            <w:color w:val="0077CC"/>
            <w:sz w:val="20"/>
            <w:u w:val="single"/>
            <w:vertAlign w:val="baseline"/>
          </w:rPr>
          <w:t>, 477 F.3d 210, 213 (5th Cir.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9" w:name="Bookmark_I68HF0KG2SF8KH0050000400"/>
      <w:bookmarkEnd w:id="39"/>
      <w:hyperlink r:id="rId19" w:history="1">
        <w:r>
          <w:rPr>
            <w:rFonts w:ascii="arial" w:eastAsia="arial" w:hAnsi="arial" w:cs="arial"/>
            <w:b w:val="0"/>
            <w:i/>
            <w:strike w:val="0"/>
            <w:noProof w:val="0"/>
            <w:color w:val="0077CC"/>
            <w:position w:val="0"/>
            <w:sz w:val="20"/>
            <w:u w:val="single"/>
            <w:vertAlign w:val="baseline"/>
          </w:rPr>
          <w:t>United States v. Cervantes</w:t>
        </w:r>
      </w:hyperlink>
      <w:hyperlink r:id="rId19" w:history="1">
        <w:r>
          <w:rPr>
            <w:rFonts w:ascii="arial" w:eastAsia="arial" w:hAnsi="arial" w:cs="arial"/>
            <w:b w:val="0"/>
            <w:i/>
            <w:strike w:val="0"/>
            <w:noProof w:val="0"/>
            <w:color w:val="0077CC"/>
            <w:position w:val="0"/>
            <w:sz w:val="20"/>
            <w:u w:val="single"/>
            <w:vertAlign w:val="baseline"/>
          </w:rPr>
          <w:t>, 797 F.3d 326, 329 (5th Cir. 2015)</w:t>
        </w:r>
      </w:hyperlink>
      <w:r>
        <w:rPr>
          <w:rFonts w:ascii="arial" w:eastAsia="arial" w:hAnsi="arial" w:cs="arial"/>
          <w:b w:val="0"/>
          <w:i w:val="0"/>
          <w:strike w:val="0"/>
          <w:noProof w:val="0"/>
          <w:color w:val="000000"/>
          <w:position w:val="0"/>
          <w:sz w:val="20"/>
          <w:u w:val="none"/>
          <w:vertAlign w:val="baseline"/>
        </w:rPr>
        <w:t xml:space="preserve">. </w:t>
      </w:r>
      <w:bookmarkStart w:id="40" w:name="Bookmark_I68HF0KG2SF8KJ0030000400_2"/>
      <w:bookmarkEnd w:id="40"/>
      <w:r>
        <w:rPr>
          <w:rFonts w:ascii="arial" w:eastAsia="arial" w:hAnsi="arial" w:cs="arial"/>
          <w:b w:val="0"/>
          <w:i w:val="0"/>
          <w:strike w:val="0"/>
          <w:noProof w:val="0"/>
          <w:color w:val="000000"/>
          <w:position w:val="0"/>
          <w:sz w:val="20"/>
          <w:u w:val="none"/>
          <w:vertAlign w:val="baseline"/>
        </w:rPr>
        <w:t>The above factors are not exclusive, and no single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factor is dispositive. "[E]ach case must be examined based on the totality of the circumstances known to the agents at the time of the stop and their experience in evaluating such circumstances." </w:t>
      </w:r>
      <w:bookmarkStart w:id="41" w:name="Bookmark_I68HF0KG2SF8KJ0020000400"/>
      <w:bookmarkEnd w:id="41"/>
      <w:hyperlink r:id="rId20" w:history="1">
        <w:r>
          <w:rPr>
            <w:rFonts w:ascii="arial" w:eastAsia="arial" w:hAnsi="arial" w:cs="arial"/>
            <w:b w:val="0"/>
            <w:i/>
            <w:strike w:val="0"/>
            <w:noProof w:val="0"/>
            <w:color w:val="0077CC"/>
            <w:position w:val="0"/>
            <w:sz w:val="20"/>
            <w:u w:val="single"/>
            <w:vertAlign w:val="baseline"/>
          </w:rPr>
          <w:t>United States v. Rangel-Portillo</w:t>
        </w:r>
      </w:hyperlink>
      <w:hyperlink r:id="rId20" w:history="1">
        <w:r>
          <w:rPr>
            <w:rFonts w:ascii="arial" w:eastAsia="arial" w:hAnsi="arial" w:cs="arial"/>
            <w:b w:val="0"/>
            <w:i/>
            <w:strike w:val="0"/>
            <w:noProof w:val="0"/>
            <w:color w:val="0077CC"/>
            <w:position w:val="0"/>
            <w:sz w:val="20"/>
            <w:u w:val="single"/>
            <w:vertAlign w:val="baseline"/>
          </w:rPr>
          <w:t>, 586 F.3d 376, 380 (5th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2"/>
      <w:bookmarkEnd w:id="42"/>
      <w:bookmarkStart w:id="43" w:name="Bookmark_I68HF0KG2SF8KJ0050000400"/>
      <w:bookmarkEnd w:id="43"/>
      <w:bookmarkStart w:id="44" w:name="Bookmark_I68HF0KH28T4RR0020000400"/>
      <w:bookmarkEnd w:id="44"/>
      <w:r>
        <w:rPr>
          <w:rFonts w:ascii="arial" w:eastAsia="arial" w:hAnsi="arial" w:cs="arial"/>
          <w:b w:val="0"/>
          <w:i w:val="0"/>
          <w:strike w:val="0"/>
          <w:noProof w:val="0"/>
          <w:color w:val="000000"/>
          <w:position w:val="0"/>
          <w:sz w:val="20"/>
          <w:u w:val="none"/>
          <w:vertAlign w:val="baseline"/>
        </w:rPr>
        <w:t xml:space="preserve">In considering the validity of the stop, the Court must keep in mind that "[f]actors that ordinarily constitute innocent behavior may provide a composite picture sufficient to raise reasonable suspicion in the minds of experienced officers." </w:t>
      </w:r>
      <w:bookmarkStart w:id="45" w:name="Bookmark_I68HF0KG2SF8KJ0040000400"/>
      <w:bookmarkEnd w:id="45"/>
      <w:hyperlink r:id="rId15" w:history="1">
        <w:r>
          <w:rPr>
            <w:rFonts w:ascii="arial" w:eastAsia="arial" w:hAnsi="arial" w:cs="arial"/>
            <w:b w:val="0"/>
            <w:i/>
            <w:strike w:val="0"/>
            <w:noProof w:val="0"/>
            <w:color w:val="0077CC"/>
            <w:position w:val="0"/>
            <w:sz w:val="20"/>
            <w:u w:val="single"/>
            <w:vertAlign w:val="baseline"/>
          </w:rPr>
          <w:t>Jacquinot</w:t>
        </w:r>
      </w:hyperlink>
      <w:hyperlink r:id="rId15" w:history="1">
        <w:r>
          <w:rPr>
            <w:rFonts w:ascii="arial" w:eastAsia="arial" w:hAnsi="arial" w:cs="arial"/>
            <w:b w:val="0"/>
            <w:i/>
            <w:strike w:val="0"/>
            <w:noProof w:val="0"/>
            <w:color w:val="0077CC"/>
            <w:position w:val="0"/>
            <w:sz w:val="20"/>
            <w:u w:val="single"/>
            <w:vertAlign w:val="baseline"/>
          </w:rPr>
          <w:t>, 258 F.3d at 427-28</w:t>
        </w:r>
      </w:hyperlink>
      <w:r>
        <w:rPr>
          <w:rFonts w:ascii="arial" w:eastAsia="arial" w:hAnsi="arial" w:cs="arial"/>
          <w:b w:val="0"/>
          <w:i w:val="0"/>
          <w:strike w:val="0"/>
          <w:noProof w:val="0"/>
          <w:color w:val="000000"/>
          <w:position w:val="0"/>
          <w:sz w:val="20"/>
          <w:u w:val="none"/>
          <w:vertAlign w:val="baseline"/>
        </w:rPr>
        <w:t xml:space="preserve">. </w:t>
      </w:r>
      <w:bookmarkStart w:id="46" w:name="Bookmark_I68HF0KH28T4RR0040000400"/>
      <w:bookmarkEnd w:id="46"/>
      <w:r>
        <w:rPr>
          <w:rFonts w:ascii="arial" w:eastAsia="arial" w:hAnsi="arial" w:cs="arial"/>
          <w:b w:val="0"/>
          <w:i w:val="0"/>
          <w:strike w:val="0"/>
          <w:noProof w:val="0"/>
          <w:color w:val="000000"/>
          <w:position w:val="0"/>
          <w:sz w:val="20"/>
          <w:u w:val="none"/>
          <w:vertAlign w:val="baseline"/>
        </w:rPr>
        <w:t xml:space="preserve">For this reason, the Court should consider "all circumstances together" to weigh not the individual layers but the "laminated total." </w:t>
      </w:r>
      <w:bookmarkStart w:id="47" w:name="Bookmark_I68HF0KH28T4RR0010000400"/>
      <w:bookmarkEnd w:id="47"/>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427</w:t>
        </w:r>
      </w:hyperlink>
      <w:r>
        <w:rPr>
          <w:rFonts w:ascii="arial" w:eastAsia="arial" w:hAnsi="arial" w:cs="arial"/>
          <w:b w:val="0"/>
          <w:i w:val="0"/>
          <w:strike w:val="0"/>
          <w:noProof w:val="0"/>
          <w:color w:val="000000"/>
          <w:position w:val="0"/>
          <w:sz w:val="20"/>
          <w:u w:val="none"/>
          <w:vertAlign w:val="baseline"/>
        </w:rPr>
        <w:t xml:space="preserve">. </w:t>
      </w:r>
      <w:bookmarkStart w:id="48" w:name="Bookmark_I68HF0KH2HM5XM0010000400"/>
      <w:bookmarkEnd w:id="48"/>
      <w:r>
        <w:rPr>
          <w:rFonts w:ascii="arial" w:eastAsia="arial" w:hAnsi="arial" w:cs="arial"/>
          <w:b w:val="0"/>
          <w:i w:val="0"/>
          <w:strike w:val="0"/>
          <w:noProof w:val="0"/>
          <w:color w:val="000000"/>
          <w:position w:val="0"/>
          <w:sz w:val="20"/>
          <w:u w:val="none"/>
          <w:vertAlign w:val="baseline"/>
        </w:rPr>
        <w:t xml:space="preserve">In assessing the totality of circumstances, courts adjudicate the facts "against an objective standard" of reasonableness. </w:t>
      </w:r>
      <w:bookmarkStart w:id="49" w:name="Bookmark_I68HF0KH2HM5XM0010000400_2"/>
      <w:bookmarkEnd w:id="49"/>
      <w:bookmarkStart w:id="50" w:name="Bookmark_I68HF0KH28T4RR0040000400_2"/>
      <w:bookmarkEnd w:id="50"/>
      <w:bookmarkStart w:id="51" w:name="Bookmark_I68HF0KH28T4RR0030000400"/>
      <w:bookmarkEnd w:id="51"/>
      <w:hyperlink r:id="rId21" w:history="1">
        <w:r>
          <w:rPr>
            <w:rFonts w:ascii="arial" w:eastAsia="arial" w:hAnsi="arial" w:cs="arial"/>
            <w:b w:val="0"/>
            <w:i/>
            <w:strike w:val="0"/>
            <w:noProof w:val="0"/>
            <w:color w:val="0077CC"/>
            <w:position w:val="0"/>
            <w:sz w:val="20"/>
            <w:u w:val="single"/>
            <w:vertAlign w:val="baseline"/>
          </w:rPr>
          <w:t>United States v. Gomez</w:t>
        </w:r>
      </w:hyperlink>
      <w:hyperlink r:id="rId21" w:history="1">
        <w:r>
          <w:rPr>
            <w:rFonts w:ascii="arial" w:eastAsia="arial" w:hAnsi="arial" w:cs="arial"/>
            <w:b w:val="0"/>
            <w:i/>
            <w:strike w:val="0"/>
            <w:noProof w:val="0"/>
            <w:color w:val="0077CC"/>
            <w:position w:val="0"/>
            <w:sz w:val="20"/>
            <w:u w:val="single"/>
            <w:vertAlign w:val="baseline"/>
          </w:rPr>
          <w:t>, 776 F.2d 542, 546 (5th Cir. 1985)</w:t>
        </w:r>
      </w:hyperlink>
      <w:r>
        <w:rPr>
          <w:rFonts w:ascii="arial" w:eastAsia="arial" w:hAnsi="arial" w:cs="arial"/>
          <w:b w:val="0"/>
          <w:i w:val="0"/>
          <w:strike w:val="0"/>
          <w:noProof w:val="0"/>
          <w:color w:val="000000"/>
          <w:position w:val="0"/>
          <w:sz w:val="20"/>
          <w:u w:val="none"/>
          <w:vertAlign w:val="baseline"/>
        </w:rPr>
        <w:t xml:space="preserve">. Otherwise, the court may arrive at an impermissible conclusion of reasonable suspicion "simply by piling hunch upon hunch." </w:t>
      </w:r>
      <w:bookmarkStart w:id="52" w:name="Bookmark_I68HF0KH28T4RR0050000400"/>
      <w:bookmarkEnd w:id="52"/>
      <w:hyperlink r:id="rId22" w:history="1">
        <w:r>
          <w:rPr>
            <w:rFonts w:ascii="arial" w:eastAsia="arial" w:hAnsi="arial" w:cs="arial"/>
            <w:b w:val="0"/>
            <w:i/>
            <w:strike w:val="0"/>
            <w:noProof w:val="0"/>
            <w:color w:val="0077CC"/>
            <w:position w:val="0"/>
            <w:sz w:val="20"/>
            <w:u w:val="single"/>
            <w:vertAlign w:val="baseline"/>
          </w:rPr>
          <w:t>United States v. Ross</w:t>
        </w:r>
      </w:hyperlink>
      <w:hyperlink r:id="rId22" w:history="1">
        <w:r>
          <w:rPr>
            <w:rFonts w:ascii="arial" w:eastAsia="arial" w:hAnsi="arial" w:cs="arial"/>
            <w:b w:val="0"/>
            <w:i/>
            <w:strike w:val="0"/>
            <w:noProof w:val="0"/>
            <w:color w:val="0077CC"/>
            <w:position w:val="0"/>
            <w:sz w:val="20"/>
            <w:u w:val="single"/>
            <w:vertAlign w:val="baseline"/>
          </w:rPr>
          <w:t>, 400 F. Supp. 2d 939, 947 (W.D. Tex. 2005)</w:t>
        </w:r>
      </w:hyperlink>
      <w:r>
        <w:rPr>
          <w:rFonts w:ascii="arial" w:eastAsia="arial" w:hAnsi="arial" w:cs="arial"/>
          <w:b w:val="0"/>
          <w:i w:val="0"/>
          <w:strike w:val="0"/>
          <w:noProof w:val="0"/>
          <w:color w:val="000000"/>
          <w:position w:val="0"/>
          <w:sz w:val="20"/>
          <w:u w:val="none"/>
          <w:vertAlign w:val="baseline"/>
        </w:rPr>
        <w:t xml:space="preserve"> (internal quotation omitted).</w:t>
      </w:r>
    </w:p>
    <w:p>
      <w:pPr>
        <w:keepNext w:val="0"/>
        <w:spacing w:before="240" w:after="0" w:line="260" w:lineRule="atLeast"/>
        <w:ind w:left="0" w:right="0" w:firstLine="0"/>
        <w:jc w:val="both"/>
      </w:pPr>
      <w:bookmarkStart w:id="53" w:name="Bookmark_para_13"/>
      <w:bookmarkEnd w:id="53"/>
      <w:bookmarkStart w:id="54" w:name="Bookmark_I68HF0KH2HM5XM0030000400"/>
      <w:bookmarkEnd w:id="54"/>
      <w:bookmarkStart w:id="55" w:name="Bookmark_I68HF0KH2HM5XM0050000400"/>
      <w:bookmarkEnd w:id="55"/>
      <w:r>
        <w:rPr>
          <w:rFonts w:ascii="arial" w:eastAsia="arial" w:hAnsi="arial" w:cs="arial"/>
          <w:b w:val="0"/>
          <w:i w:val="0"/>
          <w:strike w:val="0"/>
          <w:noProof w:val="0"/>
          <w:color w:val="000000"/>
          <w:position w:val="0"/>
          <w:sz w:val="20"/>
          <w:u w:val="none"/>
          <w:vertAlign w:val="baseline"/>
        </w:rPr>
        <w:t xml:space="preserve">Although the Court must look to the totality of the circumstances, proximity to the border can be a "paramount factor" in assessing reasonable suspicion for a border patrol stop. </w:t>
      </w:r>
      <w:bookmarkStart w:id="56" w:name="Bookmark_I68HF0KH2HM5XM0020000400"/>
      <w:bookmarkEnd w:id="56"/>
      <w:hyperlink r:id="rId23" w:history="1">
        <w:r>
          <w:rPr>
            <w:rFonts w:ascii="arial" w:eastAsia="arial" w:hAnsi="arial" w:cs="arial"/>
            <w:b w:val="0"/>
            <w:i/>
            <w:strike w:val="0"/>
            <w:noProof w:val="0"/>
            <w:color w:val="0077CC"/>
            <w:position w:val="0"/>
            <w:sz w:val="20"/>
            <w:u w:val="single"/>
            <w:vertAlign w:val="baseline"/>
          </w:rPr>
          <w:t>United States v. Orozco</w:t>
        </w:r>
      </w:hyperlink>
      <w:hyperlink r:id="rId23" w:history="1">
        <w:r>
          <w:rPr>
            <w:rFonts w:ascii="arial" w:eastAsia="arial" w:hAnsi="arial" w:cs="arial"/>
            <w:b w:val="0"/>
            <w:i/>
            <w:strike w:val="0"/>
            <w:noProof w:val="0"/>
            <w:color w:val="0077CC"/>
            <w:position w:val="0"/>
            <w:sz w:val="20"/>
            <w:u w:val="single"/>
            <w:vertAlign w:val="baseline"/>
          </w:rPr>
          <w:t>, 191 F.3d 578, 581 (5th Cir. 1999)</w:t>
        </w:r>
      </w:hyperlink>
      <w:r>
        <w:rPr>
          <w:rFonts w:ascii="arial" w:eastAsia="arial" w:hAnsi="arial" w:cs="arial"/>
          <w:b w:val="0"/>
          <w:i w:val="0"/>
          <w:strike w:val="0"/>
          <w:noProof w:val="0"/>
          <w:color w:val="000000"/>
          <w:position w:val="0"/>
          <w:sz w:val="20"/>
          <w:u w:val="none"/>
          <w:vertAlign w:val="baseline"/>
        </w:rPr>
        <w:t xml:space="preserve">. </w:t>
      </w:r>
      <w:bookmarkStart w:id="57" w:name="Bookmark_I68HF0KH2SF8KT0040000400"/>
      <w:bookmarkEnd w:id="57"/>
      <w:r>
        <w:rPr>
          <w:rFonts w:ascii="arial" w:eastAsia="arial" w:hAnsi="arial" w:cs="arial"/>
          <w:b w:val="0"/>
          <w:i w:val="0"/>
          <w:strike w:val="0"/>
          <w:noProof w:val="0"/>
          <w:color w:val="000000"/>
          <w:position w:val="0"/>
          <w:sz w:val="20"/>
          <w:u w:val="none"/>
          <w:vertAlign w:val="baseline"/>
        </w:rPr>
        <w:t xml:space="preserve">When a vehicle is observed more than fifty miles from the Mexican border, there is no stand-alone inference that the vehicle's journey originated at the border. </w:t>
      </w:r>
      <w:bookmarkStart w:id="58" w:name="Bookmark_I68HF0KH28T4RY0010000400"/>
      <w:bookmarkEnd w:id="58"/>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[*8] </w:t>
      </w:r>
      <w:r>
        <w:rPr>
          <w:rFonts w:ascii="arial" w:eastAsia="arial" w:hAnsi="arial" w:cs="arial"/>
          <w:b w:val="0"/>
          <w:i/>
          <w:strike w:val="0"/>
          <w:noProof w:val="0"/>
          <w:color w:val="000000"/>
          <w:position w:val="0"/>
          <w:sz w:val="20"/>
          <w:u w:val="none"/>
          <w:vertAlign w:val="baseline"/>
        </w:rPr>
        <w:t xml:space="preserve"> </w:t>
      </w:r>
      <w:bookmarkStart w:id="59" w:name="Bookmark_I68HF0KH2HM5XM0040000400"/>
      <w:bookmarkEnd w:id="59"/>
      <w:hyperlink r:id="rId24" w:history="1">
        <w:r>
          <w:rPr>
            <w:rFonts w:ascii="arial" w:eastAsia="arial" w:hAnsi="arial" w:cs="arial"/>
            <w:b w:val="0"/>
            <w:i/>
            <w:strike w:val="0"/>
            <w:noProof w:val="0"/>
            <w:color w:val="0077CC"/>
            <w:position w:val="0"/>
            <w:sz w:val="20"/>
            <w:u w:val="single"/>
            <w:vertAlign w:val="baseline"/>
          </w:rPr>
          <w:t>United States v. Jones</w:t>
        </w:r>
      </w:hyperlink>
      <w:hyperlink r:id="rId24" w:history="1">
        <w:r>
          <w:rPr>
            <w:rFonts w:ascii="arial" w:eastAsia="arial" w:hAnsi="arial" w:cs="arial"/>
            <w:b w:val="0"/>
            <w:i/>
            <w:strike w:val="0"/>
            <w:noProof w:val="0"/>
            <w:color w:val="0077CC"/>
            <w:position w:val="0"/>
            <w:sz w:val="20"/>
            <w:u w:val="single"/>
            <w:vertAlign w:val="baseline"/>
          </w:rPr>
          <w:t>, 149 F.3d 364, 368 (5th Cir. 1998)</w:t>
        </w:r>
      </w:hyperlink>
      <w:r>
        <w:rPr>
          <w:rFonts w:ascii="arial" w:eastAsia="arial" w:hAnsi="arial" w:cs="arial"/>
          <w:b w:val="0"/>
          <w:i w:val="0"/>
          <w:strike w:val="0"/>
          <w:noProof w:val="0"/>
          <w:color w:val="000000"/>
          <w:position w:val="0"/>
          <w:sz w:val="20"/>
          <w:u w:val="none"/>
          <w:vertAlign w:val="baseline"/>
        </w:rPr>
        <w:t xml:space="preserve"> ("[A] car traveling more than fifty (50) miles from the border is usually viewed as being too far from the border to support an inference that it originated its journey there."); </w:t>
      </w:r>
      <w:bookmarkStart w:id="60" w:name="Bookmark_I68HF0KH2SF8KT0010000400"/>
      <w:bookmarkEnd w:id="60"/>
      <w:hyperlink r:id="rId25" w:history="1">
        <w:r>
          <w:rPr>
            <w:rFonts w:ascii="arial" w:eastAsia="arial" w:hAnsi="arial" w:cs="arial"/>
            <w:b w:val="0"/>
            <w:i/>
            <w:strike w:val="0"/>
            <w:noProof w:val="0"/>
            <w:color w:val="0077CC"/>
            <w:position w:val="0"/>
            <w:sz w:val="20"/>
            <w:u w:val="single"/>
            <w:vertAlign w:val="baseline"/>
          </w:rPr>
          <w:t>United States v. Melendez-Gonzalez</w:t>
        </w:r>
      </w:hyperlink>
      <w:hyperlink r:id="rId25" w:history="1">
        <w:r>
          <w:rPr>
            <w:rFonts w:ascii="arial" w:eastAsia="arial" w:hAnsi="arial" w:cs="arial"/>
            <w:b w:val="0"/>
            <w:i/>
            <w:strike w:val="0"/>
            <w:noProof w:val="0"/>
            <w:color w:val="0077CC"/>
            <w:position w:val="0"/>
            <w:sz w:val="20"/>
            <w:u w:val="single"/>
            <w:vertAlign w:val="baseline"/>
          </w:rPr>
          <w:t>, 727 F.2d 407, 411 (5th Cir. 1984)</w:t>
        </w:r>
      </w:hyperlink>
      <w:r>
        <w:rPr>
          <w:rFonts w:ascii="arial" w:eastAsia="arial" w:hAnsi="arial" w:cs="arial"/>
          <w:b w:val="0"/>
          <w:i w:val="0"/>
          <w:strike w:val="0"/>
          <w:noProof w:val="0"/>
          <w:color w:val="000000"/>
          <w:position w:val="0"/>
          <w:sz w:val="20"/>
          <w:u w:val="none"/>
          <w:vertAlign w:val="baseline"/>
        </w:rPr>
        <w:t xml:space="preserve"> (holding that proximity element was missing where vehicle was stopped sixty miles from the Mexican border). </w:t>
      </w:r>
      <w:bookmarkStart w:id="61" w:name="Bookmark_I68HF0KH28T4RY0010000400_2"/>
      <w:bookmarkEnd w:id="61"/>
      <w:bookmarkStart w:id="62" w:name="Bookmark_I68HF0KH2SF8KT0040000400_2"/>
      <w:bookmarkEnd w:id="62"/>
      <w:bookmarkStart w:id="63" w:name="Bookmark_I68HF0KH28T4RY0030000400"/>
      <w:bookmarkEnd w:id="63"/>
      <w:r>
        <w:rPr>
          <w:rFonts w:ascii="arial" w:eastAsia="arial" w:hAnsi="arial" w:cs="arial"/>
          <w:b w:val="0"/>
          <w:i w:val="0"/>
          <w:strike w:val="0"/>
          <w:noProof w:val="0"/>
          <w:color w:val="000000"/>
          <w:position w:val="0"/>
          <w:sz w:val="20"/>
          <w:u w:val="none"/>
          <w:vertAlign w:val="baseline"/>
        </w:rPr>
        <w:t xml:space="preserve">However, the fifty-mile benchmark is not a "bright line" rule. </w:t>
      </w:r>
      <w:bookmarkStart w:id="64" w:name="Bookmark_I68HF0KH2SF8KT0030000400"/>
      <w:bookmarkEnd w:id="64"/>
      <w:hyperlink r:id="rId24" w:history="1">
        <w:r>
          <w:rPr>
            <w:rFonts w:ascii="arial" w:eastAsia="arial" w:hAnsi="arial" w:cs="arial"/>
            <w:b w:val="0"/>
            <w:i/>
            <w:strike w:val="0"/>
            <w:noProof w:val="0"/>
            <w:color w:val="0077CC"/>
            <w:position w:val="0"/>
            <w:sz w:val="20"/>
            <w:u w:val="single"/>
            <w:vertAlign w:val="baseline"/>
          </w:rPr>
          <w:t>Jones</w:t>
        </w:r>
      </w:hyperlink>
      <w:hyperlink r:id="rId24" w:history="1">
        <w:r>
          <w:rPr>
            <w:rFonts w:ascii="arial" w:eastAsia="arial" w:hAnsi="arial" w:cs="arial"/>
            <w:b w:val="0"/>
            <w:i/>
            <w:strike w:val="0"/>
            <w:noProof w:val="0"/>
            <w:color w:val="0077CC"/>
            <w:position w:val="0"/>
            <w:sz w:val="20"/>
            <w:u w:val="single"/>
            <w:vertAlign w:val="baseline"/>
          </w:rPr>
          <w:t>, 149 F.3d at 368</w:t>
        </w:r>
      </w:hyperlink>
      <w:r>
        <w:rPr>
          <w:rFonts w:ascii="arial" w:eastAsia="arial" w:hAnsi="arial" w:cs="arial"/>
          <w:b w:val="0"/>
          <w:i w:val="0"/>
          <w:strike w:val="0"/>
          <w:noProof w:val="0"/>
          <w:color w:val="000000"/>
          <w:position w:val="0"/>
          <w:sz w:val="20"/>
          <w:u w:val="none"/>
          <w:vertAlign w:val="baseline"/>
        </w:rPr>
        <w:t xml:space="preserve">. </w:t>
      </w:r>
      <w:bookmarkStart w:id="65" w:name="Bookmark_I68HF0KH28T4RY0030000400_2"/>
      <w:bookmarkEnd w:id="65"/>
      <w:r>
        <w:rPr>
          <w:rFonts w:ascii="arial" w:eastAsia="arial" w:hAnsi="arial" w:cs="arial"/>
          <w:b w:val="0"/>
          <w:i w:val="0"/>
          <w:strike w:val="0"/>
          <w:noProof w:val="0"/>
          <w:color w:val="000000"/>
          <w:position w:val="0"/>
          <w:sz w:val="20"/>
          <w:u w:val="none"/>
          <w:vertAlign w:val="baseline"/>
        </w:rPr>
        <w:t xml:space="preserve">Even where a vehicle is beyond the fifty-mile benchmark, "the fact that the northbound vehicle was traveling from the direction of the Mexico-United States border [can be] a legitimate factor when viewed in conjunction with the other factors," and "[c]lose proximity to the border is not required if other specific articulable facts support a finding of reasonable suspicion." </w:t>
      </w:r>
      <w:bookmarkStart w:id="66" w:name="Bookmark_I68HF0KH2SF8KT0050000400"/>
      <w:bookmarkEnd w:id="66"/>
      <w:r>
        <w:rPr>
          <w:rFonts w:ascii="arial" w:eastAsia="arial" w:hAnsi="arial" w:cs="arial"/>
          <w:b w:val="0"/>
          <w:i/>
          <w:strike w:val="0"/>
          <w:noProof w:val="0"/>
          <w:color w:val="000000"/>
          <w:position w:val="0"/>
          <w:sz w:val="20"/>
          <w:u w:val="none"/>
          <w:vertAlign w:val="baseline"/>
        </w:rPr>
        <w:t>United States v. Ceniceros</w:t>
      </w:r>
      <w:r>
        <w:rPr>
          <w:rFonts w:ascii="arial" w:eastAsia="arial" w:hAnsi="arial" w:cs="arial"/>
          <w:b w:val="0"/>
          <w:i/>
          <w:strike w:val="0"/>
          <w:noProof w:val="0"/>
          <w:color w:val="000000"/>
          <w:position w:val="0"/>
          <w:sz w:val="20"/>
          <w:u w:val="none"/>
          <w:vertAlign w:val="baseline"/>
        </w:rPr>
        <w:t>, 204 F.3d 581, 584 (5th Cir. 2000)</w:t>
      </w:r>
      <w:r>
        <w:rPr>
          <w:rFonts w:ascii="arial" w:eastAsia="arial" w:hAnsi="arial" w:cs="arial"/>
          <w:b w:val="0"/>
          <w:i w:val="0"/>
          <w:strike w:val="0"/>
          <w:noProof w:val="0"/>
          <w:color w:val="000000"/>
          <w:position w:val="0"/>
          <w:sz w:val="20"/>
          <w:u w:val="none"/>
          <w:vertAlign w:val="baseline"/>
        </w:rPr>
        <w:t xml:space="preserve">. </w:t>
      </w:r>
      <w:bookmarkStart w:id="67" w:name="Bookmark_I68HF0KH28T4RY0030000400_3"/>
      <w:bookmarkEnd w:id="67"/>
      <w:r>
        <w:rPr>
          <w:rFonts w:ascii="arial" w:eastAsia="arial" w:hAnsi="arial" w:cs="arial"/>
          <w:b w:val="0"/>
          <w:i w:val="0"/>
          <w:strike w:val="0"/>
          <w:noProof w:val="0"/>
          <w:color w:val="000000"/>
          <w:position w:val="0"/>
          <w:sz w:val="20"/>
          <w:u w:val="none"/>
          <w:vertAlign w:val="baseline"/>
        </w:rPr>
        <w:t xml:space="preserve">Nevertheless, when a stop takes place more than fifty miles from the border, the Court must "look at the remaining factors 'most carefully' to ensure the stop complied with the requirements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68" w:name="Bookmark_I68HF0KH28T4RY0020000400"/>
      <w:bookmarkEnd w:id="68"/>
      <w:hyperlink r:id="rId23" w:history="1">
        <w:r>
          <w:rPr>
            <w:rFonts w:ascii="arial" w:eastAsia="arial" w:hAnsi="arial" w:cs="arial"/>
            <w:b w:val="0"/>
            <w:i/>
            <w:strike w:val="0"/>
            <w:noProof w:val="0"/>
            <w:color w:val="0077CC"/>
            <w:position w:val="0"/>
            <w:sz w:val="20"/>
            <w:u w:val="single"/>
            <w:vertAlign w:val="baseline"/>
          </w:rPr>
          <w:t>Orozco</w:t>
        </w:r>
      </w:hyperlink>
      <w:hyperlink r:id="rId23" w:history="1">
        <w:r>
          <w:rPr>
            <w:rFonts w:ascii="arial" w:eastAsia="arial" w:hAnsi="arial" w:cs="arial"/>
            <w:b w:val="0"/>
            <w:i/>
            <w:strike w:val="0"/>
            <w:noProof w:val="0"/>
            <w:color w:val="0077CC"/>
            <w:position w:val="0"/>
            <w:sz w:val="20"/>
            <w:u w:val="single"/>
            <w:vertAlign w:val="baseline"/>
          </w:rPr>
          <w:t>, 191 F.3d at 581</w:t>
        </w:r>
      </w:hyperlink>
      <w:r>
        <w:rPr>
          <w:rFonts w:ascii="arial" w:eastAsia="arial" w:hAnsi="arial" w:cs="arial"/>
          <w:b w:val="0"/>
          <w:i w:val="0"/>
          <w:strike w:val="0"/>
          <w:noProof w:val="0"/>
          <w:color w:val="000000"/>
          <w:position w:val="0"/>
          <w:sz w:val="20"/>
          <w:u w:val="none"/>
          <w:vertAlign w:val="baseline"/>
        </w:rPr>
        <w:t xml:space="preserve"> (quoting </w:t>
      </w:r>
      <w:bookmarkStart w:id="69" w:name="Bookmark_I68HF0KH28T4RY0040000400"/>
      <w:bookmarkEnd w:id="69"/>
      <w:hyperlink r:id="rId26" w:history="1">
        <w:r>
          <w:rPr>
            <w:rFonts w:ascii="arial" w:eastAsia="arial" w:hAnsi="arial" w:cs="arial"/>
            <w:b w:val="0"/>
            <w:i/>
            <w:strike w:val="0"/>
            <w:noProof w:val="0"/>
            <w:color w:val="0077CC"/>
            <w:position w:val="0"/>
            <w:sz w:val="20"/>
            <w:u w:val="single"/>
            <w:vertAlign w:val="baseline"/>
          </w:rPr>
          <w:t>United States v. Rodriguez-Rivas</w:t>
        </w:r>
      </w:hyperlink>
      <w:hyperlink r:id="rId26" w:history="1">
        <w:r>
          <w:rPr>
            <w:rFonts w:ascii="arial" w:eastAsia="arial" w:hAnsi="arial" w:cs="arial"/>
            <w:b w:val="0"/>
            <w:i/>
            <w:strike w:val="0"/>
            <w:noProof w:val="0"/>
            <w:color w:val="0077CC"/>
            <w:position w:val="0"/>
            <w:sz w:val="20"/>
            <w:u w:val="single"/>
            <w:vertAlign w:val="baseline"/>
          </w:rPr>
          <w:t>, 151 F.3d 377, 380 (5th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14"/>
      <w:bookmarkEnd w:id="70"/>
      <w:r>
        <w:rPr>
          <w:rFonts w:ascii="arial" w:eastAsia="arial" w:hAnsi="arial" w:cs="arial"/>
          <w:b w:val="0"/>
          <w:i w:val="0"/>
          <w:strike w:val="0"/>
          <w:noProof w:val="0"/>
          <w:color w:val="000000"/>
          <w:position w:val="0"/>
          <w:sz w:val="20"/>
          <w:u w:val="none"/>
          <w:vertAlign w:val="baseline"/>
        </w:rPr>
        <w:t>In this case, Agent Avila first observed Defendant's vehicle more than 90 miles from the border; despite this, the location of the vehicle provided a basis for some suspicion. Even though the stop occurred far from the border on a major highway, Avila had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recent experience with smuggling in the area—particularly smuggling from the county roads that fed into the IH 35. (Docket Entry 44, at 7.) </w:t>
      </w:r>
      <w:bookmarkStart w:id="71" w:name="Bookmark_I68HF0KJ28T4S10020000400"/>
      <w:bookmarkEnd w:id="71"/>
      <w:r>
        <w:rPr>
          <w:rFonts w:ascii="arial" w:eastAsia="arial" w:hAnsi="arial" w:cs="arial"/>
          <w:b w:val="0"/>
          <w:i w:val="0"/>
          <w:strike w:val="0"/>
          <w:noProof w:val="0"/>
          <w:color w:val="000000"/>
          <w:position w:val="0"/>
          <w:sz w:val="20"/>
          <w:u w:val="none"/>
          <w:vertAlign w:val="baseline"/>
        </w:rPr>
        <w:t>As a result, he made no inference that the vehicle had come from the border—indeed, the bordering-crossing and checkpoint information he obtained indicated that the vehicle had not done so.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Nevertheless, these circumstances heightened rather than lessened Avila's suspicion, because in his experience most traffic not coming from the border was local to the area, and Defendant's vehicle was registered to an address in San Antonio.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Avila's inferences in this regard are due some deference, in light of his 13 years of experience as a Border Patrol agent, most of it in the local area. </w:t>
      </w:r>
      <w:r>
        <w:rPr>
          <w:rFonts w:ascii="arial" w:eastAsia="arial" w:hAnsi="arial" w:cs="arial"/>
          <w:b w:val="0"/>
          <w:i/>
          <w:strike w:val="0"/>
          <w:noProof w:val="0"/>
          <w:color w:val="000000"/>
          <w:position w:val="0"/>
          <w:sz w:val="20"/>
          <w:u w:val="none"/>
          <w:vertAlign w:val="baseline"/>
        </w:rPr>
        <w:t xml:space="preserve">Cf. </w:t>
      </w:r>
      <w:bookmarkStart w:id="72" w:name="Bookmark_I68HF0KJ28T4S10010000400"/>
      <w:bookmarkEnd w:id="72"/>
      <w:hyperlink r:id="rId23" w:history="1">
        <w:r>
          <w:rPr>
            <w:rFonts w:ascii="arial" w:eastAsia="arial" w:hAnsi="arial" w:cs="arial"/>
            <w:b w:val="0"/>
            <w:i/>
            <w:strike w:val="0"/>
            <w:noProof w:val="0"/>
            <w:color w:val="0077CC"/>
            <w:position w:val="0"/>
            <w:sz w:val="20"/>
            <w:u w:val="single"/>
            <w:vertAlign w:val="baseline"/>
          </w:rPr>
          <w:t>Orozco</w:t>
        </w:r>
      </w:hyperlink>
      <w:hyperlink r:id="rId23" w:history="1">
        <w:r>
          <w:rPr>
            <w:rFonts w:ascii="arial" w:eastAsia="arial" w:hAnsi="arial" w:cs="arial"/>
            <w:b w:val="0"/>
            <w:i/>
            <w:strike w:val="0"/>
            <w:noProof w:val="0"/>
            <w:color w:val="0077CC"/>
            <w:position w:val="0"/>
            <w:sz w:val="20"/>
            <w:u w:val="single"/>
            <w:vertAlign w:val="baseline"/>
          </w:rPr>
          <w:t>, 191 F.3d at 582</w:t>
        </w:r>
      </w:hyperlink>
      <w:r>
        <w:rPr>
          <w:rFonts w:ascii="arial" w:eastAsia="arial" w:hAnsi="arial" w:cs="arial"/>
          <w:b w:val="0"/>
          <w:i w:val="0"/>
          <w:strike w:val="0"/>
          <w:noProof w:val="0"/>
          <w:color w:val="000000"/>
          <w:position w:val="0"/>
          <w:sz w:val="20"/>
          <w:u w:val="none"/>
          <w:vertAlign w:val="baseline"/>
        </w:rPr>
        <w:t xml:space="preserve"> (even though stop took place on interstate some 200-300 miles away from border, other facts existed indicating that particular stretch of highway was favored route for illegal alien smugglers).</w:t>
      </w:r>
    </w:p>
    <w:p>
      <w:pPr>
        <w:keepNext w:val="0"/>
        <w:spacing w:before="200" w:after="0" w:line="260" w:lineRule="atLeast"/>
        <w:ind w:left="0" w:right="0" w:firstLine="0"/>
        <w:jc w:val="both"/>
      </w:pPr>
      <w:bookmarkStart w:id="73" w:name="Bookmark_para_15"/>
      <w:bookmarkEnd w:id="73"/>
      <w:r>
        <w:rPr>
          <w:rFonts w:ascii="arial" w:eastAsia="arial" w:hAnsi="arial" w:cs="arial"/>
          <w:b w:val="0"/>
          <w:i w:val="0"/>
          <w:strike w:val="0"/>
          <w:noProof w:val="0"/>
          <w:color w:val="000000"/>
          <w:position w:val="0"/>
          <w:sz w:val="20"/>
          <w:u w:val="none"/>
          <w:vertAlign w:val="baseline"/>
        </w:rPr>
        <w:t>Standing by themselves, the registration of the vehicle and the characteristics of the area would likely not justify a stop in this case. But these facts provide important context for Agent Avila's other observations. He noted that the vehicle appeared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be weighed down, as though there was something heavy in the rear—even though he saw only two occupants in the vehicle. (Docket Entry 44, at 8.)</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also saw that all the windows were cracked open, a circumstance consistent with carrying passengers with heavily soiled clothing.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9-10.) More importantly, Avila observed suspicious behavior on the part of the vehicle's occupants. Not only did they look stiff and nervous, but the driver took measures that reasonably appeared to be evasive: cutting across lanes of traffic to exit the highway abruptly, turning around to drive back the other direction on the highway, and then turning abruptly into a gas station that could have been more reasonably accessed at a prior exit.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76" w:name="Bookmark_para_16"/>
      <w:bookmarkEnd w:id="76"/>
      <w:bookmarkStart w:id="77" w:name="Bookmark_I68HF0KJ28T4S10040000400"/>
      <w:bookmarkEnd w:id="77"/>
      <w:bookmarkStart w:id="78" w:name="Bookmark_I68HF0KJ2N1PSW0010000400"/>
      <w:bookmarkEnd w:id="78"/>
      <w:r>
        <w:rPr>
          <w:rFonts w:ascii="arial" w:eastAsia="arial" w:hAnsi="arial" w:cs="arial"/>
          <w:b w:val="0"/>
          <w:i w:val="0"/>
          <w:strike w:val="0"/>
          <w:noProof w:val="0"/>
          <w:color w:val="000000"/>
          <w:position w:val="0"/>
          <w:sz w:val="20"/>
          <w:u w:val="none"/>
          <w:vertAlign w:val="baseline"/>
        </w:rPr>
        <w:t xml:space="preserve">Defendant rightly points out that each of the observations listed above could very well have an innocent explanation. </w:t>
      </w:r>
      <w:bookmarkStart w:id="79" w:name="Bookmark_I68HF0KJ2N1PSW0030000400"/>
      <w:bookmarkEnd w:id="79"/>
      <w:r>
        <w:rPr>
          <w:rFonts w:ascii="arial" w:eastAsia="arial" w:hAnsi="arial" w:cs="arial"/>
          <w:b w:val="0"/>
          <w:i w:val="0"/>
          <w:strike w:val="0"/>
          <w:noProof w:val="0"/>
          <w:color w:val="000000"/>
          <w:position w:val="0"/>
          <w:sz w:val="20"/>
          <w:u w:val="none"/>
          <w:vertAlign w:val="baseline"/>
        </w:rPr>
        <w:t xml:space="preserve">But, as already noted, "[f]actors that ordinarily constitute innocent behavior may provide a composite picture sufficient to raise reasonable suspicion in the minds of experienced officers." </w:t>
      </w:r>
      <w:bookmarkStart w:id="80" w:name="Bookmark_I68HF0KJ28T4S10030000400"/>
      <w:bookmarkEnd w:id="80"/>
      <w:hyperlink r:id="rId15" w:history="1">
        <w:r>
          <w:rPr>
            <w:rFonts w:ascii="arial" w:eastAsia="arial" w:hAnsi="arial" w:cs="arial"/>
            <w:b w:val="0"/>
            <w:i/>
            <w:strike w:val="0"/>
            <w:noProof w:val="0"/>
            <w:color w:val="0077CC"/>
            <w:position w:val="0"/>
            <w:sz w:val="20"/>
            <w:u w:val="single"/>
            <w:vertAlign w:val="baseline"/>
          </w:rPr>
          <w:t>Jacquinot</w:t>
        </w:r>
      </w:hyperlink>
      <w:hyperlink r:id="rId15" w:history="1">
        <w:r>
          <w:rPr>
            <w:rFonts w:ascii="arial" w:eastAsia="arial" w:hAnsi="arial" w:cs="arial"/>
            <w:b w:val="0"/>
            <w:i/>
            <w:strike w:val="0"/>
            <w:noProof w:val="0"/>
            <w:color w:val="0077CC"/>
            <w:position w:val="0"/>
            <w:sz w:val="20"/>
            <w:u w:val="single"/>
            <w:vertAlign w:val="baseline"/>
          </w:rPr>
          <w:t>, 258 F.3d at 427-28</w:t>
        </w:r>
      </w:hyperlink>
      <w:r>
        <w:rPr>
          <w:rFonts w:ascii="arial" w:eastAsia="arial" w:hAnsi="arial" w:cs="arial"/>
          <w:b w:val="0"/>
          <w:i w:val="0"/>
          <w:strike w:val="0"/>
          <w:noProof w:val="0"/>
          <w:color w:val="000000"/>
          <w:position w:val="0"/>
          <w:sz w:val="20"/>
          <w:u w:val="none"/>
          <w:vertAlign w:val="baseline"/>
        </w:rPr>
        <w:t xml:space="preserve">. </w:t>
      </w:r>
      <w:bookmarkStart w:id="81" w:name="Bookmark_I68HF0KJ2N1PSW0050000400"/>
      <w:bookmarkEnd w:id="81"/>
      <w:r>
        <w:rPr>
          <w:rFonts w:ascii="arial" w:eastAsia="arial" w:hAnsi="arial" w:cs="arial"/>
          <w:b w:val="0"/>
          <w:i w:val="0"/>
          <w:strike w:val="0"/>
          <w:noProof w:val="0"/>
          <w:color w:val="000000"/>
          <w:position w:val="0"/>
          <w:sz w:val="20"/>
          <w:u w:val="none"/>
          <w:vertAlign w:val="baseline"/>
        </w:rPr>
        <w:t>Each case "must be examined based on the totality of the circumstances known to the agents at the time of the stop and their experience in evaluating</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such circumstances." </w:t>
      </w:r>
      <w:bookmarkStart w:id="82" w:name="Bookmark_I68HF0KJ28T4S10050000400"/>
      <w:bookmarkEnd w:id="82"/>
      <w:hyperlink r:id="rId20" w:history="1">
        <w:r>
          <w:rPr>
            <w:rFonts w:ascii="arial" w:eastAsia="arial" w:hAnsi="arial" w:cs="arial"/>
            <w:b w:val="0"/>
            <w:i/>
            <w:strike w:val="0"/>
            <w:noProof w:val="0"/>
            <w:color w:val="0077CC"/>
            <w:position w:val="0"/>
            <w:sz w:val="20"/>
            <w:u w:val="single"/>
            <w:vertAlign w:val="baseline"/>
          </w:rPr>
          <w:t>Rangel-Portillo</w:t>
        </w:r>
      </w:hyperlink>
      <w:hyperlink r:id="rId20" w:history="1">
        <w:r>
          <w:rPr>
            <w:rFonts w:ascii="arial" w:eastAsia="arial" w:hAnsi="arial" w:cs="arial"/>
            <w:b w:val="0"/>
            <w:i/>
            <w:strike w:val="0"/>
            <w:noProof w:val="0"/>
            <w:color w:val="0077CC"/>
            <w:position w:val="0"/>
            <w:sz w:val="20"/>
            <w:u w:val="single"/>
            <w:vertAlign w:val="baseline"/>
          </w:rPr>
          <w:t>, 586 F.3d at 380</w:t>
        </w:r>
      </w:hyperlink>
      <w:r>
        <w:rPr>
          <w:rFonts w:ascii="arial" w:eastAsia="arial" w:hAnsi="arial" w:cs="arial"/>
          <w:b w:val="0"/>
          <w:i w:val="0"/>
          <w:strike w:val="0"/>
          <w:noProof w:val="0"/>
          <w:color w:val="000000"/>
          <w:position w:val="0"/>
          <w:sz w:val="20"/>
          <w:u w:val="none"/>
          <w:vertAlign w:val="baseline"/>
        </w:rPr>
        <w:t xml:space="preserve"> (quotation marks and citation omitted). </w:t>
      </w:r>
      <w:bookmarkStart w:id="83" w:name="Bookmark_I68HF0KJ2N1PSW0050000400_2"/>
      <w:bookmarkEnd w:id="83"/>
      <w:bookmarkStart w:id="84" w:name="Bookmark_I68HF0KJ2N1PSW0030000400_2"/>
      <w:bookmarkEnd w:id="84"/>
      <w:r>
        <w:rPr>
          <w:rFonts w:ascii="arial" w:eastAsia="arial" w:hAnsi="arial" w:cs="arial"/>
          <w:b w:val="0"/>
          <w:i w:val="0"/>
          <w:strike w:val="0"/>
          <w:noProof w:val="0"/>
          <w:color w:val="000000"/>
          <w:position w:val="0"/>
          <w:sz w:val="20"/>
          <w:u w:val="none"/>
          <w:vertAlign w:val="baseline"/>
        </w:rPr>
        <w:t xml:space="preserve">The reasonable suspicion inquiry precludes any "divide-and-conquer analysis." </w:t>
      </w:r>
      <w:bookmarkStart w:id="85" w:name="Bookmark_I68HF0KJ2N1PSW0020000400"/>
      <w:bookmarkEnd w:id="85"/>
      <w:hyperlink r:id="rId27" w:history="1">
        <w:r>
          <w:rPr>
            <w:rFonts w:ascii="arial" w:eastAsia="arial" w:hAnsi="arial" w:cs="arial"/>
            <w:b w:val="0"/>
            <w:i/>
            <w:strike w:val="0"/>
            <w:noProof w:val="0"/>
            <w:color w:val="0077CC"/>
            <w:position w:val="0"/>
            <w:sz w:val="20"/>
            <w:u w:val="single"/>
            <w:vertAlign w:val="baseline"/>
          </w:rPr>
          <w:t>United States v. Arvizu</w:t>
        </w:r>
      </w:hyperlink>
      <w:hyperlink r:id="rId27" w:history="1">
        <w:r>
          <w:rPr>
            <w:rFonts w:ascii="arial" w:eastAsia="arial" w:hAnsi="arial" w:cs="arial"/>
            <w:b w:val="0"/>
            <w:i/>
            <w:strike w:val="0"/>
            <w:noProof w:val="0"/>
            <w:color w:val="0077CC"/>
            <w:position w:val="0"/>
            <w:sz w:val="20"/>
            <w:u w:val="single"/>
            <w:vertAlign w:val="baseline"/>
          </w:rPr>
          <w:t>, 534 U.S. 266, 274, 122 S. Ct. 744, 151 L. Ed. 2d 740 (2002)</w:t>
        </w:r>
      </w:hyperlink>
      <w:r>
        <w:rPr>
          <w:rFonts w:ascii="arial" w:eastAsia="arial" w:hAnsi="arial" w:cs="arial"/>
          <w:b w:val="0"/>
          <w:i w:val="0"/>
          <w:strike w:val="0"/>
          <w:noProof w:val="0"/>
          <w:color w:val="000000"/>
          <w:position w:val="0"/>
          <w:sz w:val="20"/>
          <w:u w:val="none"/>
          <w:vertAlign w:val="baseline"/>
        </w:rPr>
        <w:t xml:space="preserve">. "Although each of the series of acts was 'perhaps innocent in itself,' . . . taken together, they 'warranted further investigation.'"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86" w:name="Bookmark_I68HF0KJ2N1PSW0040000400"/>
      <w:bookmarkEnd w:id="86"/>
      <w:hyperlink r:id="rId28" w:history="1">
        <w:r>
          <w:rPr>
            <w:rFonts w:ascii="arial" w:eastAsia="arial" w:hAnsi="arial" w:cs="arial"/>
            <w:b w:val="0"/>
            <w:i/>
            <w:strike w:val="0"/>
            <w:noProof w:val="0"/>
            <w:color w:val="0077CC"/>
            <w:position w:val="0"/>
            <w:sz w:val="20"/>
            <w:u w:val="single"/>
            <w:vertAlign w:val="baseline"/>
          </w:rPr>
          <w:t>Terry v. Ohio</w:t>
        </w:r>
      </w:hyperlink>
      <w:hyperlink r:id="rId28" w:history="1">
        <w:r>
          <w:rPr>
            <w:rFonts w:ascii="arial" w:eastAsia="arial" w:hAnsi="arial" w:cs="arial"/>
            <w:b w:val="0"/>
            <w:i/>
            <w:strike w:val="0"/>
            <w:noProof w:val="0"/>
            <w:color w:val="0077CC"/>
            <w:position w:val="0"/>
            <w:sz w:val="20"/>
            <w:u w:val="single"/>
            <w:vertAlign w:val="baseline"/>
          </w:rPr>
          <w:t>, 392 U.S. 1, 22, 88 S. Ct. 1868, 20 L. Ed. 2d 889 (1968)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17"/>
      <w:bookmarkEnd w:id="87"/>
      <w:bookmarkStart w:id="88" w:name="Bookmark_I68HF0KJ2SF8M10020000400"/>
      <w:bookmarkEnd w:id="88"/>
      <w:r>
        <w:rPr>
          <w:rFonts w:ascii="arial" w:eastAsia="arial" w:hAnsi="arial" w:cs="arial"/>
          <w:b w:val="0"/>
          <w:i w:val="0"/>
          <w:strike w:val="0"/>
          <w:noProof w:val="0"/>
          <w:color w:val="000000"/>
          <w:position w:val="0"/>
          <w:sz w:val="20"/>
          <w:u w:val="none"/>
          <w:vertAlign w:val="baseline"/>
        </w:rPr>
        <w:t xml:space="preserve">Defendant relies on </w:t>
      </w:r>
      <w:bookmarkStart w:id="89" w:name="Bookmark_I68HF0KJ2SF8M10010000400"/>
      <w:bookmarkEnd w:id="89"/>
      <w:hyperlink r:id="rId20" w:history="1">
        <w:r>
          <w:rPr>
            <w:rFonts w:ascii="arial" w:eastAsia="arial" w:hAnsi="arial" w:cs="arial"/>
            <w:b w:val="0"/>
            <w:i/>
            <w:strike w:val="0"/>
            <w:noProof w:val="0"/>
            <w:color w:val="0077CC"/>
            <w:position w:val="0"/>
            <w:sz w:val="20"/>
            <w:u w:val="single"/>
            <w:vertAlign w:val="baseline"/>
          </w:rPr>
          <w:t>Rangel-Portillo</w:t>
        </w:r>
      </w:hyperlink>
      <w:bookmarkStart w:id="90" w:name="Bookmark_I68HF0KJ2SF8M10040000400"/>
      <w:bookmarkEnd w:id="90"/>
      <w:r>
        <w:rPr>
          <w:rFonts w:ascii="arial" w:eastAsia="arial" w:hAnsi="arial" w:cs="arial"/>
          <w:b w:val="0"/>
          <w:i w:val="0"/>
          <w:strike w:val="0"/>
          <w:noProof w:val="0"/>
          <w:color w:val="000000"/>
          <w:position w:val="0"/>
          <w:sz w:val="20"/>
          <w:u w:val="none"/>
          <w:vertAlign w:val="baseline"/>
        </w:rPr>
        <w:t xml:space="preserve"> as supporting suppression in this case. (Docket Entry 30, at 5-6.) But the facts in that case were significantly different. </w:t>
      </w:r>
      <w:bookmarkStart w:id="91" w:name="Bookmark_I68HF0KJ2SF8M10040000400_2"/>
      <w:bookmarkEnd w:id="91"/>
      <w:bookmarkStart w:id="92" w:name="Bookmark_I68HF0KJ28T4S50030000400"/>
      <w:bookmarkEnd w:id="92"/>
      <w:r>
        <w:rPr>
          <w:rFonts w:ascii="arial" w:eastAsia="arial" w:hAnsi="arial" w:cs="arial"/>
          <w:b w:val="0"/>
          <w:i w:val="0"/>
          <w:strike w:val="0"/>
          <w:noProof w:val="0"/>
          <w:color w:val="000000"/>
          <w:position w:val="0"/>
          <w:sz w:val="20"/>
          <w:u w:val="none"/>
          <w:vertAlign w:val="baseline"/>
        </w:rPr>
        <w:t xml:space="preserve">In </w:t>
      </w:r>
      <w:bookmarkStart w:id="93" w:name="Bookmark_I68HF0KJ28T4S50030000400_2"/>
      <w:bookmarkEnd w:id="93"/>
      <w:bookmarkStart w:id="94" w:name="Bookmark_I68HF0KJ2SF8M10040000400_3"/>
      <w:bookmarkEnd w:id="94"/>
      <w:bookmarkStart w:id="95" w:name="Bookmark_I68HF0KJ2SF8M10030000400"/>
      <w:bookmarkEnd w:id="95"/>
      <w:hyperlink r:id="rId20" w:history="1">
        <w:r>
          <w:rPr>
            <w:rFonts w:ascii="arial" w:eastAsia="arial" w:hAnsi="arial" w:cs="arial"/>
            <w:b w:val="0"/>
            <w:i/>
            <w:strike w:val="0"/>
            <w:noProof w:val="0"/>
            <w:color w:val="0077CC"/>
            <w:position w:val="0"/>
            <w:sz w:val="20"/>
            <w:u w:val="single"/>
            <w:vertAlign w:val="baseline"/>
          </w:rPr>
          <w:t>Rangel-Portillo</w:t>
        </w:r>
      </w:hyperlink>
      <w:r>
        <w:rPr>
          <w:rFonts w:ascii="arial" w:eastAsia="arial" w:hAnsi="arial" w:cs="arial"/>
          <w:b w:val="0"/>
          <w:i w:val="0"/>
          <w:strike w:val="0"/>
          <w:noProof w:val="0"/>
          <w:color w:val="000000"/>
          <w:position w:val="0"/>
          <w:sz w:val="20"/>
          <w:u w:val="none"/>
          <w:vertAlign w:val="baseline"/>
        </w:rPr>
        <w:t xml:space="preserve">, the officer observed two cars exiting a Wal-Mart parking lot in a border city. </w:t>
      </w:r>
      <w:bookmarkStart w:id="96" w:name="Bookmark_I68HF0KJ2SF8M10050000400"/>
      <w:bookmarkEnd w:id="96"/>
      <w:hyperlink r:id="rId20" w:history="1">
        <w:r>
          <w:rPr>
            <w:rFonts w:ascii="arial" w:eastAsia="arial" w:hAnsi="arial" w:cs="arial"/>
            <w:b w:val="0"/>
            <w:i/>
            <w:strike w:val="0"/>
            <w:noProof w:val="0"/>
            <w:color w:val="0077CC"/>
            <w:position w:val="0"/>
            <w:sz w:val="20"/>
            <w:u w:val="single"/>
            <w:vertAlign w:val="baseline"/>
          </w:rPr>
          <w:t>586 F.3d at 378</w:t>
        </w:r>
      </w:hyperlink>
      <w:r>
        <w:rPr>
          <w:rFonts w:ascii="arial" w:eastAsia="arial" w:hAnsi="arial" w:cs="arial"/>
          <w:b w:val="0"/>
          <w:i w:val="0"/>
          <w:strike w:val="0"/>
          <w:noProof w:val="0"/>
          <w:color w:val="000000"/>
          <w:position w:val="0"/>
          <w:sz w:val="20"/>
          <w:u w:val="none"/>
          <w:vertAlign w:val="baseline"/>
        </w:rPr>
        <w:t xml:space="preserve">. </w:t>
      </w:r>
      <w:bookmarkStart w:id="97" w:name="Bookmark_I68HF0KJ28T4S50050000400"/>
      <w:bookmarkEnd w:id="97"/>
      <w:r>
        <w:rPr>
          <w:rFonts w:ascii="arial" w:eastAsia="arial" w:hAnsi="arial" w:cs="arial"/>
          <w:b w:val="0"/>
          <w:i w:val="0"/>
          <w:strike w:val="0"/>
          <w:noProof w:val="0"/>
          <w:color w:val="000000"/>
          <w:position w:val="0"/>
          <w:sz w:val="20"/>
          <w:u w:val="none"/>
          <w:vertAlign w:val="baseline"/>
        </w:rPr>
        <w:t xml:space="preserve">The passengers in one of vehicles looked stiff, stone-faced, and were sweating; the rear seat passengers were wearing seat belts; and although the windows were rolled up, the officer could see into the vehicle, and he saw no Wal-Mart shopping bags. </w:t>
      </w:r>
      <w:bookmarkStart w:id="98" w:name="Bookmark_I68HF0KJ28T4S50020000400"/>
      <w:bookmarkEnd w:id="98"/>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378-79</w:t>
        </w:r>
      </w:hyperlink>
      <w:r>
        <w:rPr>
          <w:rFonts w:ascii="arial" w:eastAsia="arial" w:hAnsi="arial" w:cs="arial"/>
          <w:b w:val="0"/>
          <w:i w:val="0"/>
          <w:strike w:val="0"/>
          <w:noProof w:val="0"/>
          <w:color w:val="000000"/>
          <w:position w:val="0"/>
          <w:sz w:val="20"/>
          <w:u w:val="none"/>
          <w:vertAlign w:val="baseline"/>
        </w:rPr>
        <w:t xml:space="preserve">. </w:t>
      </w:r>
      <w:bookmarkStart w:id="99" w:name="Bookmark_I68HF0KJ28T4S50050000400_2"/>
      <w:bookmarkEnd w:id="99"/>
      <w:bookmarkStart w:id="100" w:name="Bookmark_I68HF0KJ2HM5Y10020000400"/>
      <w:bookmarkEnd w:id="100"/>
      <w:r>
        <w:rPr>
          <w:rFonts w:ascii="arial" w:eastAsia="arial" w:hAnsi="arial" w:cs="arial"/>
          <w:b w:val="0"/>
          <w:i w:val="0"/>
          <w:strike w:val="0"/>
          <w:noProof w:val="0"/>
          <w:color w:val="000000"/>
          <w:position w:val="0"/>
          <w:sz w:val="20"/>
          <w:u w:val="none"/>
          <w:vertAlign w:val="baseline"/>
        </w:rPr>
        <w:t xml:space="preserve">The Fifth Circuit found these facts insufficient to show reasonable suspicion. </w:t>
      </w:r>
      <w:bookmarkStart w:id="101" w:name="Bookmark_I68HF0KJ28T4S50040000400"/>
      <w:bookmarkEnd w:id="101"/>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381</w:t>
        </w:r>
      </w:hyperlink>
      <w:r>
        <w:rPr>
          <w:rFonts w:ascii="arial" w:eastAsia="arial" w:hAnsi="arial" w:cs="arial"/>
          <w:b w:val="0"/>
          <w:i w:val="0"/>
          <w:strike w:val="0"/>
          <w:noProof w:val="0"/>
          <w:color w:val="000000"/>
          <w:position w:val="0"/>
          <w:sz w:val="20"/>
          <w:u w:val="none"/>
          <w:vertAlign w:val="baseline"/>
        </w:rPr>
        <w:t xml:space="preserve">. </w:t>
      </w:r>
      <w:bookmarkStart w:id="102" w:name="Bookmark_I68HF0KJ2HM5Y10020000400_2"/>
      <w:bookmarkEnd w:id="102"/>
      <w:r>
        <w:rPr>
          <w:rFonts w:ascii="arial" w:eastAsia="arial" w:hAnsi="arial" w:cs="arial"/>
          <w:b w:val="0"/>
          <w:i w:val="0"/>
          <w:strike w:val="0"/>
          <w:noProof w:val="0"/>
          <w:color w:val="000000"/>
          <w:position w:val="0"/>
          <w:sz w:val="20"/>
          <w:u w:val="none"/>
          <w:vertAlign w:val="baseline"/>
        </w:rPr>
        <w:t xml:space="preserve">Notably, however, </w:t>
      </w:r>
      <w:bookmarkStart w:id="103" w:name="Bookmark_I68HF0KJ2HM5Y10020000400_3"/>
      <w:bookmarkEnd w:id="103"/>
      <w:bookmarkStart w:id="104" w:name="Bookmark_I68HF0KJ2HM5Y10010000400"/>
      <w:bookmarkEnd w:id="104"/>
      <w:hyperlink r:id="rId20" w:history="1">
        <w:r>
          <w:rPr>
            <w:rFonts w:ascii="arial" w:eastAsia="arial" w:hAnsi="arial" w:cs="arial"/>
            <w:b w:val="0"/>
            <w:i/>
            <w:strike w:val="0"/>
            <w:noProof w:val="0"/>
            <w:color w:val="0077CC"/>
            <w:position w:val="0"/>
            <w:sz w:val="20"/>
            <w:u w:val="single"/>
            <w:vertAlign w:val="baseline"/>
          </w:rPr>
          <w:t>Rangel-Portillo</w:t>
        </w:r>
      </w:hyperlink>
      <w:r>
        <w:rPr>
          <w:rFonts w:ascii="arial" w:eastAsia="arial" w:hAnsi="arial" w:cs="arial"/>
          <w:b w:val="0"/>
          <w:i w:val="0"/>
          <w:strike w:val="0"/>
          <w:noProof w:val="0"/>
          <w:color w:val="000000"/>
          <w:position w:val="0"/>
          <w:sz w:val="20"/>
          <w:u w:val="none"/>
          <w:vertAlign w:val="baseline"/>
        </w:rPr>
        <w:t xml:space="preserve"> did not involve a vehicle that looked to be unduly weighted in the back; more importantly, it did not present the apparently evasive driving that Agent Avila observed in this case.</w:t>
      </w:r>
    </w:p>
    <w:p>
      <w:pPr>
        <w:keepNext w:val="0"/>
        <w:spacing w:before="200" w:after="0" w:line="260" w:lineRule="atLeast"/>
        <w:ind w:left="0" w:right="0" w:firstLine="0"/>
        <w:jc w:val="both"/>
      </w:pPr>
      <w:bookmarkStart w:id="105" w:name="Bookmark_para_18"/>
      <w:bookmarkEnd w:id="105"/>
      <w:r>
        <w:rPr>
          <w:rFonts w:ascii="arial" w:eastAsia="arial" w:hAnsi="arial" w:cs="arial"/>
          <w:b w:val="0"/>
          <w:i w:val="0"/>
          <w:strike w:val="0"/>
          <w:noProof w:val="0"/>
          <w:color w:val="000000"/>
          <w:position w:val="0"/>
          <w:sz w:val="20"/>
          <w:u w:val="none"/>
          <w:vertAlign w:val="baseline"/>
        </w:rPr>
        <w:t>For all these reasons, Agent Avila's observations in this case meet the relatively low threshold for a reasonable-suspicion stop. Accordingly, Defendants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motion to suppress the fruits of that stop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 and Recommendation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19"/>
      <w:bookmarkEnd w:id="106"/>
      <w:r>
        <w:rPr>
          <w:rFonts w:ascii="arial" w:eastAsia="arial" w:hAnsi="arial" w:cs="arial"/>
          <w:b w:val="0"/>
          <w:i w:val="0"/>
          <w:strike w:val="0"/>
          <w:noProof w:val="0"/>
          <w:color w:val="000000"/>
          <w:position w:val="0"/>
          <w:sz w:val="20"/>
          <w:u w:val="none"/>
          <w:vertAlign w:val="baseline"/>
        </w:rPr>
        <w:t xml:space="preserve">Based on the foregoing, I recommend that Defendant's Motion to Suppress (Docket Entry 30)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Instructions for Service and Notice of Right to Object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7" w:name="Bookmark_para_20"/>
      <w:bookmarkEnd w:id="107"/>
      <w:r>
        <w:rPr>
          <w:rFonts w:ascii="arial" w:eastAsia="arial" w:hAnsi="arial" w:cs="arial"/>
          <w:b w:val="0"/>
          <w:i w:val="0"/>
          <w:strike w:val="0"/>
          <w:noProof w:val="0"/>
          <w:color w:val="000000"/>
          <w:position w:val="0"/>
          <w:sz w:val="20"/>
          <w:u w:val="none"/>
          <w:vertAlign w:val="baseline"/>
        </w:rPr>
        <w:t xml:space="preserve">The United States District Clerk shall serve a copy of this Report and Recommendation on all parties by either (1) electronic transmittal to all parties represented by attorneys registered as a "filing user" with the clerk of court, or (2) by mailing a copy to those not registered by certified mail, return receipt requested. Written objections to this Report and Recommendation must be filed </w:t>
      </w:r>
      <w:r>
        <w:rPr>
          <w:rFonts w:ascii="arial" w:eastAsia="arial" w:hAnsi="arial" w:cs="arial"/>
          <w:b/>
          <w:i w:val="0"/>
          <w:strike w:val="0"/>
          <w:noProof w:val="0"/>
          <w:color w:val="000000"/>
          <w:position w:val="0"/>
          <w:sz w:val="20"/>
          <w:u w:val="none"/>
          <w:vertAlign w:val="baseline"/>
        </w:rPr>
        <w:t>within fourteen (14) days</w:t>
      </w:r>
      <w:r>
        <w:rPr>
          <w:rFonts w:ascii="arial" w:eastAsia="arial" w:hAnsi="arial" w:cs="arial"/>
          <w:b w:val="0"/>
          <w:i w:val="0"/>
          <w:strike w:val="0"/>
          <w:noProof w:val="0"/>
          <w:color w:val="000000"/>
          <w:position w:val="0"/>
          <w:sz w:val="20"/>
          <w:u w:val="none"/>
          <w:vertAlign w:val="baseline"/>
        </w:rPr>
        <w:t xml:space="preserve"> after being served with a copy of same, unless this time period is modified by the district court. </w:t>
      </w:r>
      <w:hyperlink r:id="rId11"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Fed. R. Civ. P.</w:t>
        </w:r>
      </w:hyperlink>
      <w:hyperlink r:id="rId29" w:history="1">
        <w:r>
          <w:rPr>
            <w:rFonts w:ascii="arial" w:eastAsia="arial" w:hAnsi="arial" w:cs="arial"/>
            <w:b w:val="0"/>
            <w:i/>
            <w:strike w:val="0"/>
            <w:noProof w:val="0"/>
            <w:color w:val="0077CC"/>
            <w:position w:val="0"/>
            <w:sz w:val="20"/>
            <w:u w:val="single"/>
            <w:vertAlign w:val="baseline"/>
          </w:rPr>
          <w:t xml:space="preserve"> 72(b)</w:t>
        </w:r>
      </w:hyperlink>
      <w:r>
        <w:rPr>
          <w:rFonts w:ascii="arial" w:eastAsia="arial" w:hAnsi="arial" w:cs="arial"/>
          <w:b w:val="0"/>
          <w:i w:val="0"/>
          <w:strike w:val="0"/>
          <w:noProof w:val="0"/>
          <w:color w:val="000000"/>
          <w:position w:val="0"/>
          <w:sz w:val="20"/>
          <w:u w:val="none"/>
          <w:vertAlign w:val="baseline"/>
        </w:rPr>
        <w:t xml:space="preserve">. The party shall file the objections with the clerk of the court, and serve the objections on all other parties. </w:t>
      </w:r>
      <w:bookmarkStart w:id="108" w:name="Bookmark_I68HF0KJ2HM5Y10040000400"/>
      <w:bookmarkEnd w:id="108"/>
      <w:r>
        <w:rPr>
          <w:rFonts w:ascii="arial" w:eastAsia="arial" w:hAnsi="arial" w:cs="arial"/>
          <w:b w:val="0"/>
          <w:i w:val="0"/>
          <w:strike w:val="0"/>
          <w:noProof w:val="0"/>
          <w:color w:val="000000"/>
          <w:position w:val="0"/>
          <w:sz w:val="20"/>
          <w:u w:val="none"/>
          <w:vertAlign w:val="baseline"/>
        </w:rPr>
        <w:t>A party filing objections must specifically identify those findings, conclusions or recommendations to which objections are being made and the basis for such objections; the district court need not consider frivolous, conclusive or general objections. A party's failure to file written objections to the proposed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findings, conclusions and recommendations contained in this report shall bar the party from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determination by the district court. </w:t>
      </w:r>
      <w:bookmarkStart w:id="109" w:name="Bookmark_I68HF0KJ2HM5Y20010000400"/>
      <w:bookmarkEnd w:id="109"/>
      <w:bookmarkStart w:id="110" w:name="Bookmark_I68HF0KJ2HM5Y10030000400"/>
      <w:bookmarkEnd w:id="110"/>
      <w:hyperlink r:id="rId30" w:history="1">
        <w:r>
          <w:rPr>
            <w:rFonts w:ascii="arial" w:eastAsia="arial" w:hAnsi="arial" w:cs="arial"/>
            <w:b w:val="0"/>
            <w:i/>
            <w:strike w:val="0"/>
            <w:noProof w:val="0"/>
            <w:color w:val="0077CC"/>
            <w:position w:val="0"/>
            <w:sz w:val="20"/>
            <w:u w:val="single"/>
            <w:vertAlign w:val="baseline"/>
          </w:rPr>
          <w:t>Thomas v. Arn</w:t>
        </w:r>
      </w:hyperlink>
      <w:hyperlink r:id="rId30" w:history="1">
        <w:r>
          <w:rPr>
            <w:rFonts w:ascii="arial" w:eastAsia="arial" w:hAnsi="arial" w:cs="arial"/>
            <w:b w:val="0"/>
            <w:i/>
            <w:strike w:val="0"/>
            <w:noProof w:val="0"/>
            <w:color w:val="0077CC"/>
            <w:position w:val="0"/>
            <w:sz w:val="20"/>
            <w:u w:val="single"/>
            <w:vertAlign w:val="baseline"/>
          </w:rPr>
          <w:t>, 474 U.S. 140, 149-52, 106 S. Ct. 466, 88 L. Ed. 2d 435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Acuña v. Brown &amp; Root, Inc.</w:t>
      </w:r>
      <w:r>
        <w:rPr>
          <w:rFonts w:ascii="arial" w:eastAsia="arial" w:hAnsi="arial" w:cs="arial"/>
          <w:b w:val="0"/>
          <w:i w:val="0"/>
          <w:strike w:val="0"/>
          <w:noProof w:val="0"/>
          <w:color w:val="000000"/>
          <w:position w:val="0"/>
          <w:sz w:val="20"/>
          <w:u w:val="none"/>
          <w:vertAlign w:val="baseline"/>
        </w:rPr>
        <w:t xml:space="preserve">, F.3d 335, 340 (5th Cir. 2000). </w:t>
      </w:r>
      <w:bookmarkStart w:id="111" w:name="Bookmark_I68HF0KJ2HM5Y20010000400_2"/>
      <w:bookmarkEnd w:id="111"/>
      <w:r>
        <w:rPr>
          <w:rFonts w:ascii="arial" w:eastAsia="arial" w:hAnsi="arial" w:cs="arial"/>
          <w:b w:val="0"/>
          <w:i w:val="0"/>
          <w:strike w:val="0"/>
          <w:noProof w:val="0"/>
          <w:color w:val="000000"/>
          <w:position w:val="0"/>
          <w:sz w:val="20"/>
          <w:u w:val="none"/>
          <w:vertAlign w:val="baseline"/>
        </w:rPr>
        <w:t xml:space="preserve">Additionally, failure to file timely written objections to the proposed findings, conclusions and recommendations contained in this Report and Recommendation shall bar the aggrieved party, except upon grounds of plain error, from attacking on appeal the unobjected-to proposed factual findings and legal conclusions accepted by the district court. </w:t>
      </w:r>
      <w:bookmarkStart w:id="112" w:name="Bookmark_I68HF0KJ2HM5Y10050000400"/>
      <w:bookmarkEnd w:id="112"/>
      <w:hyperlink r:id="rId31" w:history="1">
        <w:r>
          <w:rPr>
            <w:rFonts w:ascii="arial" w:eastAsia="arial" w:hAnsi="arial" w:cs="arial"/>
            <w:b w:val="0"/>
            <w:i/>
            <w:strike w:val="0"/>
            <w:noProof w:val="0"/>
            <w:color w:val="0077CC"/>
            <w:position w:val="0"/>
            <w:sz w:val="20"/>
            <w:u w:val="single"/>
            <w:vertAlign w:val="baseline"/>
          </w:rPr>
          <w:t>Douglass v. United Servs. Auto. Ass'n</w:t>
        </w:r>
      </w:hyperlink>
      <w:hyperlink r:id="rId31" w:history="1">
        <w:r>
          <w:rPr>
            <w:rFonts w:ascii="arial" w:eastAsia="arial" w:hAnsi="arial" w:cs="arial"/>
            <w:b w:val="0"/>
            <w:i/>
            <w:strike w:val="0"/>
            <w:noProof w:val="0"/>
            <w:color w:val="0077CC"/>
            <w:position w:val="0"/>
            <w:sz w:val="20"/>
            <w:u w:val="single"/>
            <w:vertAlign w:val="baseline"/>
          </w:rPr>
          <w:t>, 79 F.3d 1415, 1428-29 (5th Cir. 1996)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113" w:name="Bookmark_para_21"/>
      <w:bookmarkEnd w:id="113"/>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on December 9, 2022.</w:t>
      </w:r>
    </w:p>
    <w:p>
      <w:pPr>
        <w:keepNext w:val="0"/>
        <w:spacing w:before="200" w:after="0" w:line="260" w:lineRule="atLeast"/>
        <w:ind w:left="0" w:right="0" w:firstLine="0"/>
        <w:jc w:val="both"/>
      </w:pPr>
      <w:bookmarkStart w:id="114" w:name="Bookmark_para_22"/>
      <w:bookmarkEnd w:id="114"/>
      <w:r>
        <w:rPr>
          <w:rFonts w:ascii="arial" w:eastAsia="arial" w:hAnsi="arial" w:cs="arial"/>
          <w:b w:val="0"/>
          <w:i w:val="0"/>
          <w:strike w:val="0"/>
          <w:noProof w:val="0"/>
          <w:color w:val="000000"/>
          <w:position w:val="0"/>
          <w:sz w:val="20"/>
          <w:u w:val="none"/>
          <w:vertAlign w:val="baseline"/>
        </w:rPr>
        <w:t>/s/ Henry J. Bemporad</w:t>
      </w:r>
    </w:p>
    <w:p>
      <w:pPr>
        <w:keepNext w:val="0"/>
        <w:spacing w:before="200" w:after="0" w:line="260" w:lineRule="atLeast"/>
        <w:ind w:left="0" w:right="0" w:firstLine="0"/>
        <w:jc w:val="both"/>
      </w:pPr>
      <w:bookmarkStart w:id="115" w:name="Bookmark_para_23"/>
      <w:bookmarkEnd w:id="115"/>
      <w:r>
        <w:rPr>
          <w:rFonts w:ascii="arial" w:eastAsia="arial" w:hAnsi="arial" w:cs="arial"/>
          <w:b w:val="0"/>
          <w:i w:val="0"/>
          <w:strike w:val="0"/>
          <w:noProof w:val="0"/>
          <w:color w:val="000000"/>
          <w:position w:val="0"/>
          <w:sz w:val="20"/>
          <w:u w:val="none"/>
          <w:vertAlign w:val="baseline"/>
        </w:rPr>
        <w:t>Henry J. Bemporad</w:t>
      </w:r>
    </w:p>
    <w:p>
      <w:pPr>
        <w:keepNext w:val="0"/>
        <w:spacing w:before="200" w:after="0" w:line="260" w:lineRule="atLeast"/>
        <w:ind w:left="0" w:right="0" w:firstLine="0"/>
        <w:jc w:val="both"/>
      </w:pPr>
      <w:bookmarkStart w:id="116" w:name="Bookmark_para_24"/>
      <w:bookmarkEnd w:id="116"/>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4" w:name="Bookmark_fnpara_1"/>
      <w:bookmarkEnd w:id="74"/>
      <w:r>
        <w:rPr>
          <w:rFonts w:ascii="arial" w:eastAsia="arial" w:hAnsi="arial" w:cs="arial"/>
          <w:b w:val="0"/>
          <w:i w:val="0"/>
          <w:strike w:val="0"/>
          <w:noProof w:val="0"/>
          <w:color w:val="000000"/>
          <w:position w:val="0"/>
          <w:sz w:val="18"/>
          <w:u w:val="none"/>
          <w:vertAlign w:val="baseline"/>
        </w:rPr>
        <w:t>In supplemental briefing, Defendant contends that the vehicle was not actually weighed down, providing the Court with a late-disclosed video that shows that the vehicle did not rise perceptibly when the alien passengers were removed from the back seat.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Entry 45, Exhibit 3.) This contention is of limited import here—the relevant issue is not whether the passengers actually weighed down the rear of the vehicle, but instead whether the vehicle appeared to be unduly weighed down when Agent Avila saw it heading down the highway. On this latter issue, the undersigned finds no basis to discredit the officer's testimony.</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75" w:name="Bookmark_fnpara_2"/>
      <w:bookmarkEnd w:id="75"/>
      <w:r>
        <w:rPr>
          <w:rFonts w:ascii="arial" w:eastAsia="arial" w:hAnsi="arial" w:cs="arial"/>
          <w:b w:val="0"/>
          <w:i w:val="0"/>
          <w:strike w:val="0"/>
          <w:noProof w:val="0"/>
          <w:color w:val="000000"/>
          <w:position w:val="0"/>
          <w:sz w:val="18"/>
          <w:u w:val="none"/>
          <w:vertAlign w:val="baseline"/>
        </w:rPr>
        <w:t>Avila also noted that Defendant "popped out" of the car rather quickly once it stopped at the gas station, and that at the time he inferred that Defendant might be trying to escape on foot. (Docket Entry 44, at 14-15.) Even deferring to the agent's experience, the Court should not credit this inference: the video footage subsequently provided by Defendant shows that he parked next to a pump and actually opened the gas cap before exiting. (Docket Entry 45, Exhibit 3.) In any event, the Government has effectively conceded Avila activated his emergency lights before Defendant exited, and that, in the context of this case, Avila would need reasonable suspicion to make that show of authority.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Docket Entry 44, at 46-47.)</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Hale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GB-BFS1-FCSB-S2MP-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595S-0XF1-F04K-N004-00000-00&amp;context=1519360" TargetMode="External" /><Relationship Id="rId15" Type="http://schemas.openxmlformats.org/officeDocument/2006/relationships/hyperlink" Target="https://advance.lexis.com/api/document?collection=cases&amp;id=urn:contentItem:43J1-M2F0-0038-X1HJ-00000-00&amp;context=1519360" TargetMode="External" /><Relationship Id="rId16" Type="http://schemas.openxmlformats.org/officeDocument/2006/relationships/hyperlink" Target="https://advance.lexis.com/api/document?collection=cases&amp;id=urn:contentItem:3S4X-BDV0-003B-S1TF-00000-00&amp;context=1519360" TargetMode="External" /><Relationship Id="rId17" Type="http://schemas.openxmlformats.org/officeDocument/2006/relationships/hyperlink" Target="https://advance.lexis.com/api/document?collection=cases&amp;id=urn:contentItem:5GX1-08M1-F04K-N04J-00000-00&amp;context=1519360" TargetMode="External" /><Relationship Id="rId18" Type="http://schemas.openxmlformats.org/officeDocument/2006/relationships/hyperlink" Target="https://advance.lexis.com/api/document?collection=cases&amp;id=urn:contentItem:4MX0-JTD0-0038-X3R2-00000-00&amp;context=1519360" TargetMode="External" /><Relationship Id="rId19" Type="http://schemas.openxmlformats.org/officeDocument/2006/relationships/hyperlink" Target="https://advance.lexis.com/api/document?collection=cases&amp;id=urn:contentItem:5GP1-T1B1-F04K-N1JN-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XJG-T5N0-TXFX-72FN-00000-00&amp;context=1519360" TargetMode="External" /><Relationship Id="rId21" Type="http://schemas.openxmlformats.org/officeDocument/2006/relationships/hyperlink" Target="https://advance.lexis.com/api/document?collection=cases&amp;id=urn:contentItem:3S4X-DF30-0039-P45M-00000-00&amp;context=1519360" TargetMode="External" /><Relationship Id="rId22" Type="http://schemas.openxmlformats.org/officeDocument/2006/relationships/hyperlink" Target="https://advance.lexis.com/api/document?collection=cases&amp;id=urn:contentItem:4GK7-J730-TVX1-B218-00000-00&amp;context=1519360" TargetMode="External" /><Relationship Id="rId23" Type="http://schemas.openxmlformats.org/officeDocument/2006/relationships/hyperlink" Target="https://advance.lexis.com/api/document?collection=cases&amp;id=urn:contentItem:3XJK-F6N0-0038-X01S-00000-00&amp;context=1519360" TargetMode="External" /><Relationship Id="rId24" Type="http://schemas.openxmlformats.org/officeDocument/2006/relationships/hyperlink" Target="https://advance.lexis.com/api/document?collection=cases&amp;id=urn:contentItem:3T94-77S0-0038-X4K9-00000-00&amp;context=1519360" TargetMode="External" /><Relationship Id="rId25" Type="http://schemas.openxmlformats.org/officeDocument/2006/relationships/hyperlink" Target="https://advance.lexis.com/api/document?collection=cases&amp;id=urn:contentItem:3S4W-XGK0-003B-G2T8-00000-00&amp;context=1519360" TargetMode="External" /><Relationship Id="rId26" Type="http://schemas.openxmlformats.org/officeDocument/2006/relationships/hyperlink" Target="https://advance.lexis.com/api/document?collection=cases&amp;id=urn:contentItem:3TDP-M3B0-0038-X21Y-00000-00&amp;context=1519360" TargetMode="External" /><Relationship Id="rId27" Type="http://schemas.openxmlformats.org/officeDocument/2006/relationships/hyperlink" Target="https://advance.lexis.com/api/document?collection=cases&amp;id=urn:contentItem:44XD-1FR0-004C-101T-00000-00&amp;context=1519360" TargetMode="External" /><Relationship Id="rId28" Type="http://schemas.openxmlformats.org/officeDocument/2006/relationships/hyperlink" Target="https://advance.lexis.com/api/document?collection=cases&amp;id=urn:contentItem:3S4X-FHX0-003B-S04Y-00000-00&amp;context=1519360" TargetMode="External" /><Relationship Id="rId29" Type="http://schemas.openxmlformats.org/officeDocument/2006/relationships/hyperlink" Target="https://advance.lexis.com/api/document?collection=statutes-legislation&amp;id=urn:contentItem:69J2-YYM3-RSTH-12M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8XP0-0039-N1VY-00000-00&amp;context=1519360" TargetMode="External" /><Relationship Id="rId31" Type="http://schemas.openxmlformats.org/officeDocument/2006/relationships/hyperlink" Target="https://advance.lexis.com/api/document?collection=cases&amp;id=urn:contentItem:3S4X-2V50-006F-M2KX-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GJ-KXY1-FG12-61B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Hale, 2022 U.S. Dist. LEXIS 243141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Doc::urn:hlct:5|contextualFeaturePermID::1519360</vt:lpwstr>
  </property>
  <property fmtid="{D5CDD505-2E9C-101B-9397-08002B2CF9AE}" pid="5" name="UserPermID">
    <vt:lpwstr>urn:user:PA186186298</vt:lpwstr>
  </property>
</Properties>
</file>