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Lopez</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Court of Appeals for the Fifth Circuit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21, 2022,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 21-40666 Summary Calendar</w:t>
      </w:r>
    </w:p>
    <w:p>
      <w:pPr>
        <w:keepNext w:val="0"/>
        <w:spacing w:after="0" w:line="240" w:lineRule="atLeast"/>
        <w:ind w:right="0"/>
        <w:jc w:val="both"/>
      </w:pPr>
      <w:bookmarkStart w:id="0" w:name="Bookmark_5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2022 U.S. App. LEXIS 20171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2022 WL 2867169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Plaintiff—Appellee, versus FRANCISCO LOPEZ, Defendant—Appellant.</w:t>
      </w:r>
    </w:p>
    <w:p>
      <w:pPr>
        <w:keepNext w:val="0"/>
        <w:spacing w:before="240" w:after="0" w:line="260" w:lineRule="atLeast"/>
        <w:ind w:left="0" w:right="0" w:firstLine="0"/>
        <w:jc w:val="both"/>
      </w:pPr>
      <w:bookmarkStart w:id="2" w:name="Notice"/>
      <w:bookmarkEnd w:id="2"/>
      <w:r>
        <w:rPr>
          <w:rFonts w:ascii="arial" w:eastAsia="arial" w:hAnsi="arial" w:cs="arial"/>
          <w:b/>
          <w:i w:val="0"/>
          <w:strike w:val="0"/>
          <w:noProof w:val="0"/>
          <w:color w:val="000000"/>
          <w:position w:val="0"/>
          <w:sz w:val="20"/>
          <w:u w:val="none"/>
          <w:vertAlign w:val="baseline"/>
        </w:rPr>
        <w:t>Notice:</w:t>
      </w:r>
      <w:r>
        <w:rPr>
          <w:rFonts w:ascii="arial" w:eastAsia="arial" w:hAnsi="arial" w:cs="arial"/>
          <w:b w:val="0"/>
          <w:i w:val="0"/>
          <w:strike w:val="0"/>
          <w:noProof w:val="0"/>
          <w:color w:val="000000"/>
          <w:position w:val="0"/>
          <w:sz w:val="20"/>
          <w:u w:val="none"/>
          <w:vertAlign w:val="baseline"/>
        </w:rPr>
        <w:t> </w:t>
      </w:r>
      <w:bookmarkStart w:id="3" w:name="Bookmark_para_1"/>
      <w:bookmarkEnd w:id="3"/>
      <w:r>
        <w:rPr>
          <w:rFonts w:ascii="arial" w:eastAsia="arial" w:hAnsi="arial" w:cs="arial"/>
          <w:b w:val="0"/>
          <w:i w:val="0"/>
          <w:strike w:val="0"/>
          <w:noProof w:val="0"/>
          <w:color w:val="000000"/>
          <w:position w:val="0"/>
          <w:sz w:val="20"/>
          <w:u w:val="none"/>
          <w:vertAlign w:val="baseline"/>
        </w:rPr>
        <w:t xml:space="preserve">PLEASE REFER TO </w:t>
      </w:r>
      <w:r>
        <w:rPr>
          <w:rFonts w:ascii="arial" w:eastAsia="arial" w:hAnsi="arial" w:cs="arial"/>
          <w:b w:val="0"/>
          <w:i/>
          <w:strike w:val="0"/>
          <w:noProof w:val="0"/>
          <w:color w:val="000000"/>
          <w:position w:val="0"/>
          <w:sz w:val="20"/>
          <w:u w:val="none"/>
          <w:vertAlign w:val="baseline"/>
        </w:rPr>
        <w:t>FEDERAL RULES OF APPELLATE PROCEDURE RULE 32.1</w:t>
      </w:r>
      <w:r>
        <w:rPr>
          <w:rFonts w:ascii="arial" w:eastAsia="arial" w:hAnsi="arial" w:cs="arial"/>
          <w:b w:val="0"/>
          <w:i w:val="0"/>
          <w:strike w:val="0"/>
          <w:noProof w:val="0"/>
          <w:color w:val="000000"/>
          <w:position w:val="0"/>
          <w:sz w:val="20"/>
          <w:u w:val="none"/>
          <w:vertAlign w:val="baseline"/>
        </w:rPr>
        <w:t xml:space="preserve"> GOVERNING THE CITATION TO UNPUBLISHED OPINIONS.</w:t>
      </w:r>
    </w:p>
    <w:p>
      <w:pPr>
        <w:keepNext w:val="0"/>
        <w:spacing w:before="240" w:after="0" w:line="260" w:lineRule="atLeast"/>
        <w:ind w:left="0" w:right="0" w:firstLine="0"/>
        <w:jc w:val="both"/>
      </w:pPr>
      <w:bookmarkStart w:id="4" w:name="Prior History"/>
      <w:bookmarkEnd w:id="4"/>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bookmarkStart w:id="5" w:name="Bookmark_para_2"/>
      <w:bookmarkEnd w:id="5"/>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Appeal from the United States District Court for the Southern District of Texas. USDC No. 7:20-CR-1258-2.</w:t>
      </w:r>
    </w:p>
    <w:p>
      <w:pPr>
        <w:keepNext/>
        <w:spacing w:before="240" w:after="0" w:line="340" w:lineRule="atLeast"/>
        <w:ind w:left="0" w:right="0" w:firstLine="0"/>
        <w:jc w:val="left"/>
      </w:pPr>
      <w:bookmarkStart w:id="6" w:name="Core Terms"/>
      <w:bookmarkEnd w:id="6"/>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guilty plea, sentencing, withdraw, district court, recommendation, exposure, alien, motion to withdraw, plain error, factors, totality of the circumstances, assistance of counsel, sentencing hearing, repeated warnings, obvious error,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fair-and-just, rearraignment, harboring, incorrect, contends, weighing, invalid, abused, advice, merits, warned</w:t>
      </w:r>
    </w:p>
    <w:p>
      <w:pPr>
        <w:keepNext/>
        <w:spacing w:before="240" w:after="0" w:line="340" w:lineRule="atLeast"/>
        <w:ind w:left="0" w:right="0" w:firstLine="0"/>
        <w:jc w:val="left"/>
      </w:pPr>
      <w:bookmarkStart w:id="7" w:name="LexisNexis® Headnotes"/>
      <w:bookmarkEnd w:id="7"/>
      <w:r>
        <w:rPr>
          <w:rFonts w:ascii="arial" w:eastAsia="arial" w:hAnsi="arial" w:cs="arial"/>
          <w:b/>
          <w:i w:val="0"/>
          <w:strike w:val="0"/>
          <w:noProof w:val="0"/>
          <w:color w:val="000000"/>
          <w:position w:val="0"/>
          <w:sz w:val="28"/>
          <w:u w:val="none"/>
          <w:vertAlign w:val="baseline"/>
        </w:rPr>
        <w:t>LexisNexis® Headnotes</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bookmarkStart w:id="8" w:name="Bookmark_clscc1"/>
      <w:bookmarkEnd w:id="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Evidence &gt; Burdens of Proof &gt; Allocation</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Changes &amp; Withdrawals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Abuse of Discretion &gt; Guilty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Preliminary Proceedings &gt; Entry of Pleas &gt; Changes &amp; Withdrawals</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LNHNREFclscc1" w:history="1">
        <w:r>
          <w:pict>
            <v:shape id="_x0000_i1028"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9" w:name="Bookmark_hnpara_1"/>
      <w:bookmarkEnd w:id="9"/>
      <w:r>
        <w:rPr>
          <w:rFonts w:ascii="arial" w:eastAsia="arial" w:hAnsi="arial" w:cs="arial"/>
          <w:b w:val="0"/>
          <w:i w:val="0"/>
          <w:strike w:val="0"/>
          <w:noProof w:val="0"/>
          <w:color w:val="000000"/>
          <w:position w:val="0"/>
          <w:sz w:val="20"/>
          <w:u w:val="none"/>
          <w:vertAlign w:val="baseline"/>
        </w:rPr>
        <w:t xml:space="preserve">After a guilty plea has been accepted, a district court may grant a motion to withdraw the plea upon a showing of a fair and just reason for requesting the withdrawal. </w:t>
      </w:r>
      <w:hyperlink r:id="rId12" w:history="1">
        <w:r>
          <w:rPr>
            <w:rFonts w:ascii="arial" w:eastAsia="arial" w:hAnsi="arial" w:cs="arial"/>
            <w:b w:val="0"/>
            <w:i/>
            <w:strike w:val="0"/>
            <w:noProof w:val="0"/>
            <w:color w:val="0077CC"/>
            <w:position w:val="0"/>
            <w:sz w:val="20"/>
            <w:u w:val="single"/>
            <w:vertAlign w:val="baseline"/>
          </w:rPr>
          <w:t>Fed. R. Crim. P. 11(d)(2)(B)</w:t>
        </w:r>
      </w:hyperlink>
      <w:r>
        <w:rPr>
          <w:rFonts w:ascii="arial" w:eastAsia="arial" w:hAnsi="arial" w:cs="arial"/>
          <w:b w:val="0"/>
          <w:i w:val="0"/>
          <w:strike w:val="0"/>
          <w:noProof w:val="0"/>
          <w:color w:val="000000"/>
          <w:position w:val="0"/>
          <w:sz w:val="20"/>
          <w:u w:val="none"/>
          <w:vertAlign w:val="baseline"/>
        </w:rPr>
        <w:t>. The burden of establishing a fair-and-just reason rests with the defendant. The denial of a motion to withdraw a guilty plea is reviewed for abuse of discretion.</w:t>
      </w:r>
    </w:p>
    <w:p>
      <w:pPr>
        <w:spacing w:before="120"/>
      </w:pPr>
      <w:bookmarkStart w:id="10" w:name="Bookmark_clscc2"/>
      <w:bookmarkEnd w:id="10"/>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Appeals &gt; Standards of Review &gt; Abuse of Discretion</w:t>
      </w:r>
    </w:p>
    <w:p>
      <w:pPr>
        <w:keepNext w:val="0"/>
        <w:spacing w:before="240" w:after="0" w:line="260" w:lineRule="atLeast"/>
        <w:ind w:left="0" w:right="0" w:firstLine="0"/>
        <w:jc w:val="both"/>
      </w:pPr>
      <w:hyperlink r:id="rId13" w:history="1">
        <w:r>
          <w:rPr>
            <w:rFonts w:ascii="arial" w:eastAsia="arial" w:hAnsi="arial" w:cs="arial"/>
            <w:b/>
            <w:i/>
            <w:strike w:val="0"/>
            <w:color w:val="0077CC"/>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LNHNREFclscc2" w:history="1">
        <w:r>
          <w:pict>
            <v:shape id="_x0000_i1029"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Standards of Review, Abuse of Discretion</w:t>
      </w:r>
    </w:p>
    <w:p>
      <w:pPr>
        <w:keepNext w:val="0"/>
        <w:spacing w:before="240" w:after="0" w:line="260" w:lineRule="atLeast"/>
        <w:ind w:left="0" w:right="0" w:firstLine="0"/>
        <w:jc w:val="both"/>
      </w:pPr>
      <w:bookmarkStart w:id="11" w:name="Bookmark_hnpara_2"/>
      <w:bookmarkEnd w:id="11"/>
      <w:r>
        <w:rPr>
          <w:rFonts w:ascii="arial" w:eastAsia="arial" w:hAnsi="arial" w:cs="arial"/>
          <w:b w:val="0"/>
          <w:i w:val="0"/>
          <w:strike w:val="0"/>
          <w:noProof w:val="0"/>
          <w:color w:val="000000"/>
          <w:position w:val="0"/>
          <w:sz w:val="20"/>
          <w:u w:val="none"/>
          <w:vertAlign w:val="baseline"/>
        </w:rPr>
        <w:t>A district court abuses its discretion if it bases its decision on an error of law or a clearly erroneous assessment of the evidence.</w:t>
      </w:r>
    </w:p>
    <w:p>
      <w:pPr>
        <w:spacing w:before="120"/>
      </w:pPr>
      <w:bookmarkStart w:id="12" w:name="Bookmark_clscc3"/>
      <w:bookmarkEnd w:id="12"/>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Changes &amp; Withdrawals</w:t>
      </w:r>
    </w:p>
    <w:p>
      <w:pPr>
        <w:keepNext w:val="0"/>
        <w:spacing w:before="240" w:after="0" w:line="260" w:lineRule="atLeast"/>
        <w:ind w:left="0" w:right="0" w:firstLine="0"/>
        <w:jc w:val="both"/>
      </w:pPr>
      <w:hyperlink r:id="rId14" w:history="1">
        <w:r>
          <w:rPr>
            <w:rFonts w:ascii="arial" w:eastAsia="arial" w:hAnsi="arial" w:cs="arial"/>
            <w:b/>
            <w:i/>
            <w:strike w:val="0"/>
            <w:color w:val="0077CC"/>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LNHNREFclscc3" w:history="1">
        <w:r>
          <w:pict>
            <v:shape id="_x0000_i1030"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Changes &amp; Withdrawals</w:t>
      </w:r>
    </w:p>
    <w:p>
      <w:pPr>
        <w:keepNext w:val="0"/>
        <w:spacing w:before="240" w:after="0" w:line="260" w:lineRule="atLeast"/>
        <w:ind w:left="0" w:right="0" w:firstLine="0"/>
        <w:jc w:val="both"/>
      </w:pPr>
      <w:bookmarkStart w:id="13" w:name="Bookmark_hnpara_3"/>
      <w:bookmarkEnd w:id="13"/>
      <w:r>
        <w:rPr>
          <w:rFonts w:ascii="arial" w:eastAsia="arial" w:hAnsi="arial" w:cs="arial"/>
          <w:b w:val="0"/>
          <w:i w:val="0"/>
          <w:strike w:val="0"/>
          <w:noProof w:val="0"/>
          <w:color w:val="000000"/>
          <w:position w:val="0"/>
          <w:sz w:val="20"/>
          <w:u w:val="none"/>
          <w:vertAlign w:val="baseline"/>
        </w:rPr>
        <w:t>When the district court has already reviewed the presentence investigation report and other materials, a motion to withdraw is disruptive to the trial docket and inconveniences the court.</w:t>
      </w:r>
    </w:p>
    <w:p>
      <w:pPr>
        <w:spacing w:before="120"/>
      </w:pPr>
      <w:bookmarkStart w:id="14" w:name="Bookmark_clscc4"/>
      <w:bookmarkEnd w:id="14"/>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Entry of Pleas &gt; Guilty Pleas &gt; Appeals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Guilty Pleas</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De Novo Review &gt; Guilty Pleas</w:t>
      </w:r>
    </w:p>
    <w:p>
      <w:pPr>
        <w:keepNext w:val="0"/>
        <w:spacing w:before="240" w:after="0" w:line="260" w:lineRule="atLeast"/>
        <w:ind w:left="0" w:right="0" w:firstLine="0"/>
        <w:jc w:val="both"/>
      </w:pPr>
      <w:hyperlink r:id="rId15" w:history="1">
        <w:r>
          <w:rPr>
            <w:rFonts w:ascii="arial" w:eastAsia="arial" w:hAnsi="arial" w:cs="arial"/>
            <w:b/>
            <w:i/>
            <w:strike w:val="0"/>
            <w:color w:val="0077CC"/>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LNHNREFclscc4" w:history="1">
        <w:r>
          <w:pict>
            <v:shape id="_x0000_i1031"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Guilty Pleas, Appeals</w:t>
      </w:r>
    </w:p>
    <w:p>
      <w:pPr>
        <w:keepNext w:val="0"/>
        <w:spacing w:before="240" w:after="0" w:line="260" w:lineRule="atLeast"/>
        <w:ind w:left="0" w:right="0" w:firstLine="0"/>
        <w:jc w:val="both"/>
      </w:pPr>
      <w:bookmarkStart w:id="15" w:name="Bookmark_hnpara_4"/>
      <w:bookmarkEnd w:id="15"/>
      <w:r>
        <w:rPr>
          <w:rFonts w:ascii="arial" w:eastAsia="arial" w:hAnsi="arial" w:cs="arial"/>
          <w:b w:val="0"/>
          <w:i w:val="0"/>
          <w:strike w:val="0"/>
          <w:noProof w:val="0"/>
          <w:color w:val="000000"/>
          <w:position w:val="0"/>
          <w:sz w:val="20"/>
          <w:u w:val="none"/>
          <w:vertAlign w:val="baseline"/>
        </w:rPr>
        <w:t>Although the validity of a guilty plea is generally reviewed de novo, an unpreserved challenge to the plea is reviewed only for plain error.</w:t>
      </w:r>
    </w:p>
    <w:p>
      <w:pPr>
        <w:spacing w:before="120"/>
      </w:pPr>
      <w:bookmarkStart w:id="16" w:name="Bookmark_clscc5"/>
      <w:bookmarkEnd w:id="16"/>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Burdens of Proof</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Standards of Review &gt; Plain Error &gt; Definition of Plain Error</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Appeals &gt; Standards of Review &gt; Plain Error</w:t>
      </w:r>
    </w:p>
    <w:p>
      <w:pPr>
        <w:keepNext w:val="0"/>
        <w:spacing w:before="240" w:after="0" w:line="260" w:lineRule="atLeast"/>
        <w:ind w:left="0" w:right="0" w:firstLine="0"/>
        <w:jc w:val="both"/>
      </w:pPr>
      <w:hyperlink r:id="rId16"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LNHNREFclscc5" w:history="1">
        <w:r>
          <w:pict>
            <v:shape id="_x0000_i1032"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Plain Error, Burdens of Proof</w:t>
      </w:r>
    </w:p>
    <w:p>
      <w:pPr>
        <w:keepNext w:val="0"/>
        <w:spacing w:before="240" w:after="0" w:line="260" w:lineRule="atLeast"/>
        <w:ind w:left="0" w:right="0" w:firstLine="0"/>
        <w:jc w:val="both"/>
      </w:pPr>
      <w:bookmarkStart w:id="17" w:name="Bookmark_hnpara_5"/>
      <w:bookmarkEnd w:id="17"/>
      <w:r>
        <w:rPr>
          <w:rFonts w:ascii="arial" w:eastAsia="arial" w:hAnsi="arial" w:cs="arial"/>
          <w:b w:val="0"/>
          <w:i w:val="0"/>
          <w:strike w:val="0"/>
          <w:noProof w:val="0"/>
          <w:color w:val="000000"/>
          <w:position w:val="0"/>
          <w:sz w:val="20"/>
          <w:u w:val="none"/>
          <w:vertAlign w:val="baseline"/>
        </w:rPr>
        <w:t>Under the plain error standard, a defendant must show a forfeited plain error, clear or obvious error, rather than one subject to reasonable dispute, that affected his or her substantial rights. If he or she makes that showing, an appellate court has the discretion to correct the reversible plain error, but generally should do so only if it seriously affects the fairness, integrity or public reputation of judicial proceedings.</w:t>
      </w:r>
    </w:p>
    <w:p>
      <w:pPr>
        <w:spacing w:before="120"/>
      </w:pPr>
      <w:bookmarkStart w:id="18" w:name="Bookmark_clscc6"/>
      <w:bookmarkEnd w:id="18"/>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Constitutional Law &gt; ... &gt; Fundamental Rights &gt; Criminal Process &gt; Assistance of Counsel</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 &gt; Reviewability &gt; Preservation for Review &gt; Ineffective Assistance</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Reviewability</w:t>
      </w:r>
    </w:p>
    <w:p>
      <w:pPr>
        <w:keepNext w:val="0"/>
        <w:spacing w:before="240" w:after="0" w:line="260" w:lineRule="atLeast"/>
        <w:ind w:left="360" w:right="0" w:firstLine="0"/>
        <w:jc w:val="left"/>
      </w:pPr>
      <w:r>
        <w:rPr>
          <w:rFonts w:ascii="arial" w:eastAsia="arial" w:hAnsi="arial" w:cs="arial"/>
          <w:b w:val="0"/>
          <w:i w:val="0"/>
          <w:strike w:val="0"/>
          <w:noProof w:val="0"/>
          <w:color w:val="000000"/>
          <w:position w:val="0"/>
          <w:sz w:val="20"/>
          <w:u w:val="none"/>
          <w:vertAlign w:val="baseline"/>
        </w:rPr>
        <w:t>Criminal Law &amp; Procedure &gt; Counsel &gt; Effective Assistance of Counsel &gt; Trials</w:t>
      </w:r>
    </w:p>
    <w:p>
      <w:pPr>
        <w:keepNext w:val="0"/>
        <w:spacing w:before="240" w:after="0" w:line="260" w:lineRule="atLeast"/>
        <w:ind w:left="0" w:right="0" w:firstLine="0"/>
        <w:jc w:val="both"/>
      </w:pPr>
      <w:hyperlink r:id="rId17" w:history="1">
        <w:r>
          <w:rPr>
            <w:rFonts w:ascii="arial" w:eastAsia="arial" w:hAnsi="arial" w:cs="arial"/>
            <w:b/>
            <w:i/>
            <w:strike w:val="0"/>
            <w:color w:val="0077CC"/>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LNHNREFclscc6" w:history="1">
        <w:r>
          <w:pict>
            <v:shape id="_x0000_i1033" type="#_x0000_t75" style="width:10.5pt;height:10.5pt">
              <v:imagedata r:id="rId11" o:title=""/>
            </v:shape>
          </w:pic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val="0"/>
          <w:strike w:val="0"/>
          <w:noProof w:val="0"/>
          <w:color w:val="000000"/>
          <w:position w:val="0"/>
          <w:sz w:val="20"/>
          <w:u w:val="none"/>
          <w:vertAlign w:val="baseline"/>
        </w:rPr>
        <w:t> Criminal Process, Assistance of Counsel</w:t>
      </w:r>
    </w:p>
    <w:p>
      <w:pPr>
        <w:keepNext w:val="0"/>
        <w:spacing w:before="240" w:after="0" w:line="260" w:lineRule="atLeast"/>
        <w:ind w:left="0" w:right="0" w:firstLine="0"/>
        <w:jc w:val="both"/>
      </w:pPr>
      <w:bookmarkStart w:id="19" w:name="Bookmark_hnpara_6"/>
      <w:bookmarkEnd w:id="19"/>
      <w:hyperlink r:id="rId18" w:history="1">
        <w:r>
          <w:rPr>
            <w:rFonts w:ascii="arial" w:eastAsia="arial" w:hAnsi="arial" w:cs="arial"/>
            <w:b w:val="0"/>
            <w:i/>
            <w:strike w:val="0"/>
            <w:color w:val="0077CC"/>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ineffective assistance of counsel claims should not be litigated on direct appeal, unless they have previously been presented to the trial court. It is only in rare cases in which the record allows a reviewing court to fairly evaluate the merits of the claim that an appellate court will consider such a claim.</w:t>
      </w:r>
    </w:p>
    <w:p>
      <w:pPr>
        <w:keepNext w:val="0"/>
        <w:spacing w:before="240" w:after="0" w:line="260" w:lineRule="atLeast"/>
        <w:ind w:left="0" w:right="0" w:firstLine="0"/>
        <w:jc w:val="left"/>
      </w:pPr>
      <w:bookmarkStart w:id="20" w:name="Counsel"/>
      <w:bookmarkEnd w:id="20"/>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For United States of America, Plaintiff - Appellee: John Richard Berry, Assistant U.S. Attorney, Carmen Castillo Mitchell, Assistant U.S. Attorney, U.S. Attorney's Office, Houston, TX.</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For Francisco Lopez, also known as Chino Loko, Defendant - Appellant: Derly Joel Uribe, Law Offices of Francisco J. Saldana, Jr.,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TX.</w:t>
      </w:r>
    </w:p>
    <w:p>
      <w:pPr>
        <w:keepNext w:val="0"/>
        <w:spacing w:before="240" w:after="0" w:line="260" w:lineRule="atLeast"/>
        <w:ind w:left="0" w:right="0" w:firstLine="0"/>
        <w:jc w:val="left"/>
      </w:pPr>
      <w:bookmarkStart w:id="21" w:name="Judges"/>
      <w:bookmarkEnd w:id="21"/>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Before BARKSDALE, ELROD, and HAYNES, Circuit Judges.</w:t>
      </w:r>
    </w:p>
    <w:p>
      <w:pPr>
        <w:keepNext/>
        <w:spacing w:before="240" w:after="0" w:line="340" w:lineRule="atLeast"/>
        <w:ind w:left="0" w:right="0" w:firstLine="0"/>
        <w:jc w:val="left"/>
      </w:pPr>
      <w:bookmarkStart w:id="22" w:name="Opinion"/>
      <w:bookmarkEnd w:id="22"/>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34" style="position:absolute;z-index:251660288" from="0,2pt" to="512pt,2pt" strokecolor="#009ddb" strokeweight="2pt">
            <v:stroke linestyle="single"/>
            <w10:wrap type="topAndBottom"/>
          </v:line>
        </w:pict>
      </w:r>
    </w:p>
    <w:p/>
    <w:p>
      <w:pPr>
        <w:keepNext w:val="0"/>
        <w:spacing w:before="200" w:after="0" w:line="260" w:lineRule="atLeast"/>
        <w:ind w:left="0" w:right="0" w:firstLine="0"/>
        <w:jc w:val="both"/>
      </w:pPr>
      <w:bookmarkStart w:id="23" w:name="Bookmark_para_3"/>
      <w:bookmarkEnd w:id="23"/>
      <w:r>
        <w:rPr>
          <w:rFonts w:ascii="arial" w:eastAsia="arial" w:hAnsi="arial" w:cs="arial"/>
          <w:b w:val="0"/>
          <w:i w:val="0"/>
          <w:smallCaps/>
          <w:strike w:val="0"/>
          <w:noProof w:val="0"/>
          <w:color w:val="000000"/>
          <w:position w:val="0"/>
          <w:sz w:val="20"/>
          <w:u w:val="none"/>
          <w:vertAlign w:val="baseline"/>
        </w:rPr>
        <w:t>Per Curiam</w:t>
      </w:r>
      <w:r>
        <w:rPr>
          <w:rFonts w:ascii="arial" w:eastAsia="arial" w:hAnsi="arial" w:cs="arial"/>
          <w:b w:val="0"/>
          <w:i w:val="0"/>
          <w:strike w:val="0"/>
          <w:noProof w:val="0"/>
          <w:color w:val="000000"/>
          <w:position w:val="0"/>
          <w:sz w:val="20"/>
          <w:u w:val="none"/>
          <w:vertAlign w:val="baseline"/>
        </w:rPr>
        <w:t>:</w:t>
      </w:r>
      <w:r>
        <w:rPr>
          <w:rFonts w:ascii="arial" w:eastAsia="arial" w:hAnsi="arial" w:cs="arial"/>
          <w:vertAlign w:val="superscript"/>
        </w:rPr>
        <w:footnoteReference w:customMarkFollows="1" w:id="2"/>
        <w:t xml:space="preserve">*</w:t>
      </w:r>
    </w:p>
    <w:p>
      <w:pPr>
        <w:keepNext w:val="0"/>
        <w:spacing w:before="240" w:after="0" w:line="260" w:lineRule="atLeast"/>
        <w:ind w:left="0" w:right="0" w:firstLine="0"/>
        <w:jc w:val="both"/>
      </w:pPr>
      <w:bookmarkStart w:id="25" w:name="Bookmark_para_4"/>
      <w:bookmarkEnd w:id="25"/>
      <w:r>
        <w:rPr>
          <w:rFonts w:ascii="arial" w:eastAsia="arial" w:hAnsi="arial" w:cs="arial"/>
          <w:b w:val="0"/>
          <w:i w:val="0"/>
          <w:strike w:val="0"/>
          <w:noProof w:val="0"/>
          <w:color w:val="000000"/>
          <w:position w:val="0"/>
          <w:sz w:val="20"/>
          <w:u w:val="none"/>
          <w:vertAlign w:val="baseline"/>
        </w:rPr>
        <w:t xml:space="preserve">Francisco Lopez appeals from his guilty-plea conviction and sentence for harboring an alien within the United States, in violation of </w:t>
      </w:r>
      <w:hyperlink r:id="rId19" w:history="1">
        <w:r>
          <w:rPr>
            <w:rFonts w:ascii="arial" w:eastAsia="arial" w:hAnsi="arial" w:cs="arial"/>
            <w:b w:val="0"/>
            <w:i/>
            <w:strike w:val="0"/>
            <w:noProof w:val="0"/>
            <w:color w:val="0077CC"/>
            <w:position w:val="0"/>
            <w:sz w:val="20"/>
            <w:u w:val="single"/>
            <w:vertAlign w:val="baseline"/>
          </w:rPr>
          <w:t>8 U.S.C. § 1324(a)(1)(A)(iii)</w:t>
        </w:r>
      </w:hyperlink>
      <w:r>
        <w:rPr>
          <w:rFonts w:ascii="arial" w:eastAsia="arial" w:hAnsi="arial" w:cs="arial"/>
          <w:b w:val="0"/>
          <w:i w:val="0"/>
          <w:strike w:val="0"/>
          <w:noProof w:val="0"/>
          <w:color w:val="000000"/>
          <w:position w:val="0"/>
          <w:sz w:val="20"/>
          <w:u w:val="none"/>
          <w:vertAlign w:val="baseline"/>
        </w:rPr>
        <w:t xml:space="preserve">, </w:t>
      </w:r>
      <w:hyperlink r:id="rId19" w:history="1">
        <w:r>
          <w:rPr>
            <w:rFonts w:ascii="arial" w:eastAsia="arial" w:hAnsi="arial" w:cs="arial"/>
            <w:b w:val="0"/>
            <w:i/>
            <w:strike w:val="0"/>
            <w:noProof w:val="0"/>
            <w:color w:val="0077CC"/>
            <w:position w:val="0"/>
            <w:sz w:val="20"/>
            <w:u w:val="single"/>
            <w:vertAlign w:val="baseline"/>
          </w:rPr>
          <w:t>(a)(1)(B)(ii)</w:t>
        </w:r>
      </w:hyperlink>
      <w:r>
        <w:rPr>
          <w:rFonts w:ascii="arial" w:eastAsia="arial" w:hAnsi="arial" w:cs="arial"/>
          <w:b w:val="0"/>
          <w:i w:val="0"/>
          <w:strike w:val="0"/>
          <w:noProof w:val="0"/>
          <w:color w:val="000000"/>
          <w:position w:val="0"/>
          <w:sz w:val="20"/>
          <w:u w:val="none"/>
          <w:vertAlign w:val="baseline"/>
        </w:rPr>
        <w:t>. The three issues he presents concern his guilty plea.</w:t>
      </w:r>
    </w:p>
    <w:p>
      <w:pPr>
        <w:keepNext w:val="0"/>
        <w:spacing w:before="200" w:after="0" w:line="260" w:lineRule="atLeast"/>
        <w:ind w:left="0" w:right="0" w:firstLine="0"/>
        <w:jc w:val="both"/>
      </w:pPr>
      <w:bookmarkStart w:id="26" w:name="Bookmark_para_5"/>
      <w:bookmarkEnd w:id="26"/>
      <w:r>
        <w:rPr>
          <w:rFonts w:ascii="arial" w:eastAsia="arial" w:hAnsi="arial" w:cs="arial"/>
          <w:b w:val="0"/>
          <w:i w:val="0"/>
          <w:strike w:val="0"/>
          <w:noProof w:val="0"/>
          <w:color w:val="000000"/>
          <w:position w:val="0"/>
          <w:sz w:val="20"/>
          <w:u w:val="none"/>
          <w:vertAlign w:val="baseline"/>
        </w:rPr>
        <w:t xml:space="preserve">Despite his admission he had been involved in other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activities, the Government recommended, pursuant to a plea agreement, that Lopez relevant conduct be limited to the single alien involved in his count of conviction. In considering at rearraignment Lopez' plea, the district court warned Lopez specifically and repeatedly it was not: bound by that limitation; or required to allow him to withdraw his guilty plea if his sentencing exposure exceeded that limit. Lopez maintained his intention to plead</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guilty.</w:t>
      </w:r>
    </w:p>
    <w:p>
      <w:pPr>
        <w:keepNext w:val="0"/>
        <w:spacing w:before="200" w:after="0" w:line="260" w:lineRule="atLeast"/>
        <w:ind w:left="0" w:right="0" w:firstLine="0"/>
        <w:jc w:val="both"/>
      </w:pPr>
      <w:bookmarkStart w:id="27" w:name="Bookmark_para_6"/>
      <w:bookmarkEnd w:id="27"/>
      <w:r>
        <w:rPr>
          <w:rFonts w:ascii="arial" w:eastAsia="arial" w:hAnsi="arial" w:cs="arial"/>
          <w:b w:val="0"/>
          <w:i w:val="0"/>
          <w:strike w:val="0"/>
          <w:noProof w:val="0"/>
          <w:color w:val="000000"/>
          <w:position w:val="0"/>
          <w:sz w:val="20"/>
          <w:u w:val="none"/>
          <w:vertAlign w:val="baseline"/>
        </w:rPr>
        <w:t xml:space="preserve">At sentencing, the court rejected the Government's recommendation and based Lopez' sentence on both the harboring offense and an </w:t>
      </w:r>
      <w:r>
        <w:rPr>
          <w:rFonts w:ascii="arial" w:eastAsia="arial" w:hAnsi="arial" w:cs="arial"/>
          <w:b/>
          <w:i/>
          <w:strike w:val="0"/>
          <w:noProof w:val="0"/>
          <w:color w:val="000000"/>
          <w:position w:val="0"/>
          <w:sz w:val="20"/>
          <w:u w:val="single"/>
          <w:vertAlign w:val="baseline"/>
        </w:rPr>
        <w:t>alien-smuggling</w:t>
      </w:r>
      <w:r>
        <w:rPr>
          <w:rFonts w:ascii="arial" w:eastAsia="arial" w:hAnsi="arial" w:cs="arial"/>
          <w:b w:val="0"/>
          <w:i w:val="0"/>
          <w:strike w:val="0"/>
          <w:noProof w:val="0"/>
          <w:color w:val="000000"/>
          <w:position w:val="0"/>
          <w:sz w:val="20"/>
          <w:u w:val="none"/>
          <w:vertAlign w:val="baseline"/>
        </w:rPr>
        <w:t xml:space="preserve"> operation involving a minor driver, recruited by Lopez, who crashed a vehicle while carrying five illegal aliens, several of whom were seriously injured. Lopez sought to withdraw his guilty plea during the sentencing hearing, but the court denied the request. Lopez was sentenced to, </w:t>
      </w:r>
      <w:r>
        <w:rPr>
          <w:rFonts w:ascii="arial" w:eastAsia="arial" w:hAnsi="arial" w:cs="arial"/>
          <w:b w:val="0"/>
          <w:i/>
          <w:strike w:val="0"/>
          <w:noProof w:val="0"/>
          <w:color w:val="000000"/>
          <w:position w:val="0"/>
          <w:sz w:val="20"/>
          <w:u w:val="none"/>
          <w:vertAlign w:val="baseline"/>
        </w:rPr>
        <w:t>inter alia</w:t>
      </w:r>
      <w:r>
        <w:rPr>
          <w:rFonts w:ascii="arial" w:eastAsia="arial" w:hAnsi="arial" w:cs="arial"/>
          <w:b w:val="0"/>
          <w:i w:val="0"/>
          <w:strike w:val="0"/>
          <w:noProof w:val="0"/>
          <w:color w:val="000000"/>
          <w:position w:val="0"/>
          <w:sz w:val="20"/>
          <w:u w:val="none"/>
          <w:vertAlign w:val="baseline"/>
        </w:rPr>
        <w:t>, a within-Sentencing Guidelines term of 33 months' imprisonment.</w:t>
      </w:r>
    </w:p>
    <w:p>
      <w:pPr>
        <w:keepNext w:val="0"/>
        <w:spacing w:before="240" w:after="0" w:line="260" w:lineRule="atLeast"/>
        <w:ind w:left="0" w:right="0" w:firstLine="0"/>
        <w:jc w:val="both"/>
      </w:pPr>
      <w:bookmarkStart w:id="28" w:name="Bookmark_para_7"/>
      <w:bookmarkEnd w:id="28"/>
      <w:r>
        <w:rPr>
          <w:rFonts w:ascii="arial" w:eastAsia="arial" w:hAnsi="arial" w:cs="arial"/>
          <w:b w:val="0"/>
          <w:i w:val="0"/>
          <w:strike w:val="0"/>
          <w:noProof w:val="0"/>
          <w:color w:val="000000"/>
          <w:position w:val="0"/>
          <w:sz w:val="20"/>
          <w:u w:val="none"/>
          <w:vertAlign w:val="baseline"/>
        </w:rPr>
        <w:t xml:space="preserve">Lopez contends the court abused its discretion by denying his motion to withdraw his guilty plea. </w:t>
      </w:r>
      <w:bookmarkStart w:id="29" w:name="Bookmark_LNHNREFclscc1"/>
      <w:bookmarkEnd w:id="29"/>
      <w:hyperlink r:id="rId20" w:history="1">
        <w:r>
          <w:rPr>
            <w:rFonts w:ascii="arial" w:eastAsia="arial" w:hAnsi="arial" w:cs="arial"/>
            <w:b/>
            <w:i/>
            <w:strike w:val="0"/>
            <w:noProof w:val="0"/>
            <w:color w:val="0077CC"/>
            <w:position w:val="0"/>
            <w:sz w:val="20"/>
            <w:u w:val="single"/>
            <w:vertAlign w:val="baseline"/>
          </w:rPr>
          <w:t>HN1</w:t>
        </w:r>
      </w:hyperlink>
      <w:r>
        <w:rPr>
          <w:rFonts w:ascii="arial" w:eastAsia="arial" w:hAnsi="arial" w:cs="arial"/>
          <w:b w:val="0"/>
          <w:i w:val="0"/>
          <w:strike w:val="0"/>
          <w:noProof w:val="0"/>
          <w:color w:val="000000"/>
          <w:position w:val="0"/>
          <w:sz w:val="20"/>
          <w:u w:val="none"/>
          <w:vertAlign w:val="baseline"/>
        </w:rPr>
        <w:t>[</w:t>
      </w:r>
      <w:hyperlink w:anchor="Bookmark_clscc1" w:history="1">
        <w:r>
          <w:pict>
            <v:shape id="_x0000_i1035"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After a guilty plea has been accepted, a district court may grant a motion to withdraw the plea upon a showing of "a fair and just reason for requesting the withdrawal". </w:t>
      </w:r>
      <w:bookmarkStart w:id="30" w:name="Bookmark_I6612KWR2D6NN30020000400"/>
      <w:bookmarkEnd w:id="30"/>
      <w:hyperlink r:id="rId12" w:history="1">
        <w:r>
          <w:rPr>
            <w:rFonts w:ascii="arial" w:eastAsia="arial" w:hAnsi="arial" w:cs="arial"/>
            <w:b w:val="0"/>
            <w:i/>
            <w:strike w:val="0"/>
            <w:noProof w:val="0"/>
            <w:color w:val="0077CC"/>
            <w:position w:val="0"/>
            <w:sz w:val="20"/>
            <w:u w:val="single"/>
            <w:vertAlign w:val="baseline"/>
          </w:rPr>
          <w:t>Fed. R. Crim. P. 11(d)(2)(B)</w:t>
        </w:r>
      </w:hyperlink>
      <w:r>
        <w:rPr>
          <w:rFonts w:ascii="arial" w:eastAsia="arial" w:hAnsi="arial" w:cs="arial"/>
          <w:b w:val="0"/>
          <w:i w:val="0"/>
          <w:strike w:val="0"/>
          <w:noProof w:val="0"/>
          <w:color w:val="000000"/>
          <w:position w:val="0"/>
          <w:sz w:val="20"/>
          <w:u w:val="none"/>
          <w:vertAlign w:val="baseline"/>
        </w:rPr>
        <w:t xml:space="preserve"> (considering and accepting a guilty or nolo contendere plea). The burden of establishing a fair-and-just reason rests, of course, with defendant. </w:t>
      </w:r>
      <w:bookmarkStart w:id="31" w:name="Bookmark_I6612KWR2D6NN30040000400"/>
      <w:bookmarkEnd w:id="31"/>
      <w:r>
        <w:rPr>
          <w:rFonts w:ascii="arial" w:eastAsia="arial" w:hAnsi="arial" w:cs="arial"/>
          <w:b w:val="0"/>
          <w:i/>
          <w:strike w:val="0"/>
          <w:noProof w:val="0"/>
          <w:color w:val="000000"/>
          <w:position w:val="0"/>
          <w:sz w:val="20"/>
          <w:u w:val="none"/>
          <w:vertAlign w:val="baseline"/>
        </w:rPr>
        <w:t xml:space="preserve">E.g., </w:t>
      </w:r>
      <w:bookmarkStart w:id="32" w:name="Bookmark_I6612KWR2D6NN30010000400"/>
      <w:bookmarkEnd w:id="32"/>
      <w:hyperlink r:id="rId22" w:history="1">
        <w:r>
          <w:rPr>
            <w:rFonts w:ascii="arial" w:eastAsia="arial" w:hAnsi="arial" w:cs="arial"/>
            <w:b w:val="0"/>
            <w:i/>
            <w:strike w:val="0"/>
            <w:noProof w:val="0"/>
            <w:color w:val="0077CC"/>
            <w:position w:val="0"/>
            <w:sz w:val="20"/>
            <w:u w:val="single"/>
            <w:vertAlign w:val="baseline"/>
          </w:rPr>
          <w:t>United States v. Powell</w:t>
        </w:r>
      </w:hyperlink>
      <w:hyperlink r:id="rId22" w:history="1">
        <w:r>
          <w:rPr>
            <w:rFonts w:ascii="arial" w:eastAsia="arial" w:hAnsi="arial" w:cs="arial"/>
            <w:b w:val="0"/>
            <w:i/>
            <w:strike w:val="0"/>
            <w:noProof w:val="0"/>
            <w:color w:val="0077CC"/>
            <w:position w:val="0"/>
            <w:sz w:val="20"/>
            <w:u w:val="single"/>
            <w:vertAlign w:val="baseline"/>
          </w:rPr>
          <w:t>, 354 F.3d 362, 370 (5th Cir. 2003)</w:t>
        </w:r>
      </w:hyperlink>
      <w:r>
        <w:rPr>
          <w:rFonts w:ascii="arial" w:eastAsia="arial" w:hAnsi="arial" w:cs="arial"/>
          <w:b w:val="0"/>
          <w:i w:val="0"/>
          <w:strike w:val="0"/>
          <w:noProof w:val="0"/>
          <w:color w:val="000000"/>
          <w:position w:val="0"/>
          <w:sz w:val="20"/>
          <w:u w:val="none"/>
          <w:vertAlign w:val="baseline"/>
        </w:rPr>
        <w:t xml:space="preserve">. </w:t>
      </w:r>
      <w:bookmarkStart w:id="33" w:name="Bookmark_I6612KWR2D6NN30040000400_2"/>
      <w:bookmarkEnd w:id="33"/>
      <w:r>
        <w:rPr>
          <w:rFonts w:ascii="arial" w:eastAsia="arial" w:hAnsi="arial" w:cs="arial"/>
          <w:b w:val="0"/>
          <w:i w:val="0"/>
          <w:strike w:val="0"/>
          <w:noProof w:val="0"/>
          <w:color w:val="000000"/>
          <w:position w:val="0"/>
          <w:sz w:val="20"/>
          <w:u w:val="none"/>
          <w:vertAlign w:val="baseline"/>
        </w:rPr>
        <w:t xml:space="preserve">As reflected </w:t>
      </w:r>
      <w:r>
        <w:rPr>
          <w:rFonts w:ascii="arial" w:eastAsia="arial" w:hAnsi="arial" w:cs="arial"/>
          <w:b w:val="0"/>
          <w:i/>
          <w:strike w:val="0"/>
          <w:noProof w:val="0"/>
          <w:color w:val="000000"/>
          <w:position w:val="0"/>
          <w:sz w:val="20"/>
          <w:u w:val="none"/>
          <w:vertAlign w:val="baseline"/>
        </w:rPr>
        <w:t>infra</w:t>
      </w:r>
      <w:r>
        <w:rPr>
          <w:rFonts w:ascii="arial" w:eastAsia="arial" w:hAnsi="arial" w:cs="arial"/>
          <w:b w:val="0"/>
          <w:i w:val="0"/>
          <w:strike w:val="0"/>
          <w:noProof w:val="0"/>
          <w:color w:val="000000"/>
          <w:position w:val="0"/>
          <w:sz w:val="20"/>
          <w:u w:val="none"/>
          <w:vertAlign w:val="baseline"/>
        </w:rPr>
        <w:t xml:space="preserve">, the "denial of a motion to withdraw a guilty plea is reviewed for abuse of discretion". </w:t>
      </w:r>
      <w:bookmarkStart w:id="34" w:name="Bookmark_I6612KWR2D6NN30030000400"/>
      <w:bookmarkEnd w:id="34"/>
      <w:hyperlink r:id="rId23" w:history="1">
        <w:r>
          <w:rPr>
            <w:rFonts w:ascii="arial" w:eastAsia="arial" w:hAnsi="arial" w:cs="arial"/>
            <w:b w:val="0"/>
            <w:i/>
            <w:strike w:val="0"/>
            <w:noProof w:val="0"/>
            <w:color w:val="0077CC"/>
            <w:position w:val="0"/>
            <w:sz w:val="20"/>
            <w:u w:val="single"/>
            <w:vertAlign w:val="baseline"/>
          </w:rPr>
          <w:t>United States v. Lord</w:t>
        </w:r>
      </w:hyperlink>
      <w:hyperlink r:id="rId23" w:history="1">
        <w:r>
          <w:rPr>
            <w:rFonts w:ascii="arial" w:eastAsia="arial" w:hAnsi="arial" w:cs="arial"/>
            <w:b w:val="0"/>
            <w:i/>
            <w:strike w:val="0"/>
            <w:noProof w:val="0"/>
            <w:color w:val="0077CC"/>
            <w:position w:val="0"/>
            <w:sz w:val="20"/>
            <w:u w:val="single"/>
            <w:vertAlign w:val="baseline"/>
          </w:rPr>
          <w:t>, 915 F.3d 1009, 1013 (5th Cir. 2019)</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5" w:name="Bookmark_para_8"/>
      <w:bookmarkEnd w:id="35"/>
      <w:bookmarkStart w:id="36" w:name="Bookmark_I6612KWS2HM5WG0010000400"/>
      <w:bookmarkEnd w:id="36"/>
      <w:r>
        <w:rPr>
          <w:rFonts w:ascii="arial" w:eastAsia="arial" w:hAnsi="arial" w:cs="arial"/>
          <w:b w:val="0"/>
          <w:i w:val="0"/>
          <w:strike w:val="0"/>
          <w:noProof w:val="0"/>
          <w:color w:val="000000"/>
          <w:position w:val="0"/>
          <w:sz w:val="20"/>
          <w:u w:val="none"/>
          <w:vertAlign w:val="baseline"/>
        </w:rPr>
        <w:t xml:space="preserve">Upon our examining the relevant factors and the totality of the circumstances, the court did not abuse its discretion by denying Lopez' motion to withdraw. </w:t>
      </w:r>
      <w:r>
        <w:rPr>
          <w:rFonts w:ascii="arial" w:eastAsia="arial" w:hAnsi="arial" w:cs="arial"/>
          <w:b/>
          <w:i/>
          <w:strike w:val="0"/>
          <w:noProof w:val="0"/>
          <w:color w:val="000000"/>
          <w:position w:val="0"/>
          <w:sz w:val="20"/>
          <w:u w:val="none"/>
          <w:vertAlign w:val="baseline"/>
        </w:rPr>
        <w:t> [*3] </w:t>
      </w:r>
      <w:r>
        <w:rPr>
          <w:rFonts w:ascii="arial" w:eastAsia="arial" w:hAnsi="arial" w:cs="arial"/>
          <w:b w:val="0"/>
          <w:i/>
          <w:strike w:val="0"/>
          <w:noProof w:val="0"/>
          <w:color w:val="000000"/>
          <w:position w:val="0"/>
          <w:sz w:val="20"/>
          <w:u w:val="none"/>
          <w:vertAlign w:val="baseline"/>
        </w:rPr>
        <w:t xml:space="preserve">See </w:t>
      </w:r>
      <w:bookmarkStart w:id="37" w:name="Bookmark_I6612KWR2D6NN30050000400"/>
      <w:bookmarkEnd w:id="37"/>
      <w:hyperlink r:id="rId23" w:history="1">
        <w:r>
          <w:rPr>
            <w:rFonts w:ascii="arial" w:eastAsia="arial" w:hAnsi="arial" w:cs="arial"/>
            <w:b w:val="0"/>
            <w:i/>
            <w:strike w:val="0"/>
            <w:noProof w:val="0"/>
            <w:color w:val="0077CC"/>
            <w:position w:val="0"/>
            <w:sz w:val="20"/>
            <w:u w:val="single"/>
            <w:vertAlign w:val="baseline"/>
          </w:rPr>
          <w:t>id.</w:t>
        </w:r>
      </w:hyperlink>
      <w:hyperlink r:id="rId23" w:history="1">
        <w:r>
          <w:rPr>
            <w:rFonts w:ascii="arial" w:eastAsia="arial" w:hAnsi="arial" w:cs="arial"/>
            <w:b w:val="0"/>
            <w:i/>
            <w:strike w:val="0"/>
            <w:noProof w:val="0"/>
            <w:color w:val="0077CC"/>
            <w:position w:val="0"/>
            <w:sz w:val="20"/>
            <w:u w:val="single"/>
            <w:vertAlign w:val="baseline"/>
          </w:rPr>
          <w:t xml:space="preserve"> at 1013-15</w:t>
        </w:r>
      </w:hyperlink>
      <w:r>
        <w:rPr>
          <w:rFonts w:ascii="arial" w:eastAsia="arial" w:hAnsi="arial" w:cs="arial"/>
          <w:b w:val="0"/>
          <w:i w:val="0"/>
          <w:strike w:val="0"/>
          <w:noProof w:val="0"/>
          <w:color w:val="000000"/>
          <w:position w:val="0"/>
          <w:sz w:val="20"/>
          <w:u w:val="none"/>
          <w:vertAlign w:val="baseline"/>
        </w:rPr>
        <w:t xml:space="preserve"> (stating "</w:t>
      </w:r>
      <w:bookmarkStart w:id="38" w:name="Bookmark_LNHNREFclscc2"/>
      <w:bookmarkEnd w:id="38"/>
      <w:hyperlink r:id="rId24" w:history="1">
        <w:r>
          <w:rPr>
            <w:rFonts w:ascii="arial" w:eastAsia="arial" w:hAnsi="arial" w:cs="arial"/>
            <w:b/>
            <w:i/>
            <w:strike w:val="0"/>
            <w:noProof w:val="0"/>
            <w:color w:val="0077CC"/>
            <w:position w:val="0"/>
            <w:sz w:val="20"/>
            <w:u w:val="single"/>
            <w:vertAlign w:val="baseline"/>
          </w:rPr>
          <w:t>HN2</w:t>
        </w:r>
      </w:hyperlink>
      <w:r>
        <w:rPr>
          <w:rFonts w:ascii="arial" w:eastAsia="arial" w:hAnsi="arial" w:cs="arial"/>
          <w:b w:val="0"/>
          <w:i w:val="0"/>
          <w:strike w:val="0"/>
          <w:noProof w:val="0"/>
          <w:color w:val="000000"/>
          <w:position w:val="0"/>
          <w:sz w:val="20"/>
          <w:u w:val="none"/>
          <w:vertAlign w:val="baseline"/>
        </w:rPr>
        <w:t>[</w:t>
      </w:r>
      <w:hyperlink w:anchor="Bookmark_clscc2" w:history="1">
        <w:r>
          <w:pict>
            <v:shape id="_x0000_i1036"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district court abuses its discretion if it bases its decision on an error of law or a clearly erroneous assessment of the evidence"); </w:t>
      </w:r>
      <w:bookmarkStart w:id="39" w:name="Bookmark_I6612KWS2HM5WG0020000400"/>
      <w:bookmarkEnd w:id="39"/>
      <w:hyperlink r:id="rId25" w:history="1">
        <w:r>
          <w:rPr>
            <w:rFonts w:ascii="arial" w:eastAsia="arial" w:hAnsi="arial" w:cs="arial"/>
            <w:b w:val="0"/>
            <w:i/>
            <w:strike w:val="0"/>
            <w:noProof w:val="0"/>
            <w:color w:val="0077CC"/>
            <w:position w:val="0"/>
            <w:sz w:val="20"/>
            <w:u w:val="single"/>
            <w:vertAlign w:val="baseline"/>
          </w:rPr>
          <w:t>United States v. Carr</w:t>
        </w:r>
      </w:hyperlink>
      <w:hyperlink r:id="rId25" w:history="1">
        <w:r>
          <w:rPr>
            <w:rFonts w:ascii="arial" w:eastAsia="arial" w:hAnsi="arial" w:cs="arial"/>
            <w:b w:val="0"/>
            <w:i/>
            <w:strike w:val="0"/>
            <w:noProof w:val="0"/>
            <w:color w:val="0077CC"/>
            <w:position w:val="0"/>
            <w:sz w:val="20"/>
            <w:u w:val="single"/>
            <w:vertAlign w:val="baseline"/>
          </w:rPr>
          <w:t>, 740 F.2d 339, 343-44 (5th Cir. 1984)</w:t>
        </w:r>
      </w:hyperlink>
      <w:r>
        <w:rPr>
          <w:rFonts w:ascii="arial" w:eastAsia="arial" w:hAnsi="arial" w:cs="arial"/>
          <w:b w:val="0"/>
          <w:i w:val="0"/>
          <w:strike w:val="0"/>
          <w:noProof w:val="0"/>
          <w:color w:val="000000"/>
          <w:position w:val="0"/>
          <w:sz w:val="20"/>
          <w:u w:val="none"/>
          <w:vertAlign w:val="baseline"/>
        </w:rPr>
        <w:t xml:space="preserve"> (identifying factors for considering whether defendant demonstrated fair-and-just reason for withdrawing guilty plea and stating court should consider totality of the circumstances when applying those factors). Notably, Lopez never asserted actual innocence and instead sought simply to enforce the Government's recommendation to avoid criminal liability beyond the count of conviction.</w:t>
      </w:r>
    </w:p>
    <w:p>
      <w:pPr>
        <w:keepNext w:val="0"/>
        <w:spacing w:before="200" w:after="0" w:line="260" w:lineRule="atLeast"/>
        <w:ind w:left="0" w:right="0" w:firstLine="0"/>
        <w:jc w:val="both"/>
      </w:pPr>
      <w:bookmarkStart w:id="40" w:name="Bookmark_para_9"/>
      <w:bookmarkEnd w:id="40"/>
      <w:bookmarkStart w:id="41" w:name="Bookmark_I6612KWS2HM5WG0050000400"/>
      <w:bookmarkEnd w:id="41"/>
      <w:r>
        <w:rPr>
          <w:rFonts w:ascii="arial" w:eastAsia="arial" w:hAnsi="arial" w:cs="arial"/>
          <w:b w:val="0"/>
          <w:i w:val="0"/>
          <w:strike w:val="0"/>
          <w:noProof w:val="0"/>
          <w:color w:val="000000"/>
          <w:position w:val="0"/>
          <w:sz w:val="20"/>
          <w:u w:val="none"/>
          <w:vertAlign w:val="baseline"/>
        </w:rPr>
        <w:t xml:space="preserve">The three-month delay between entry of his guilty plea and the motion for its withdrawal weighs against him, especially given the lack of any substantial reasons explaining that delay. </w:t>
      </w:r>
      <w:bookmarkStart w:id="42" w:name="Bookmark_I6612KWS28T3WY0040000400"/>
      <w:bookmarkEnd w:id="42"/>
      <w:r>
        <w:rPr>
          <w:rFonts w:ascii="arial" w:eastAsia="arial" w:hAnsi="arial" w:cs="arial"/>
          <w:b w:val="0"/>
          <w:i/>
          <w:strike w:val="0"/>
          <w:noProof w:val="0"/>
          <w:color w:val="000000"/>
          <w:position w:val="0"/>
          <w:sz w:val="20"/>
          <w:u w:val="none"/>
          <w:vertAlign w:val="baseline"/>
        </w:rPr>
        <w:t xml:space="preserve">See </w:t>
      </w:r>
      <w:bookmarkStart w:id="43" w:name="Bookmark_I6612KWS2HM5WG0040000400"/>
      <w:bookmarkEnd w:id="43"/>
      <w:hyperlink r:id="rId26" w:history="1">
        <w:r>
          <w:rPr>
            <w:rFonts w:ascii="arial" w:eastAsia="arial" w:hAnsi="arial" w:cs="arial"/>
            <w:b w:val="0"/>
            <w:i/>
            <w:strike w:val="0"/>
            <w:noProof w:val="0"/>
            <w:color w:val="0077CC"/>
            <w:position w:val="0"/>
            <w:sz w:val="20"/>
            <w:u w:val="single"/>
            <w:vertAlign w:val="baseline"/>
          </w:rPr>
          <w:t>United States v. Landreneau</w:t>
        </w:r>
      </w:hyperlink>
      <w:hyperlink r:id="rId26" w:history="1">
        <w:r>
          <w:rPr>
            <w:rFonts w:ascii="arial" w:eastAsia="arial" w:hAnsi="arial" w:cs="arial"/>
            <w:b w:val="0"/>
            <w:i/>
            <w:strike w:val="0"/>
            <w:noProof w:val="0"/>
            <w:color w:val="0077CC"/>
            <w:position w:val="0"/>
            <w:sz w:val="20"/>
            <w:u w:val="single"/>
            <w:vertAlign w:val="baseline"/>
          </w:rPr>
          <w:t>, 967 F.3d 443, 450-51 (5th Cir. 2020)</w:t>
        </w:r>
      </w:hyperlink>
      <w:r>
        <w:rPr>
          <w:rFonts w:ascii="arial" w:eastAsia="arial" w:hAnsi="arial" w:cs="arial"/>
          <w:b w:val="0"/>
          <w:i w:val="0"/>
          <w:strike w:val="0"/>
          <w:noProof w:val="0"/>
          <w:color w:val="000000"/>
          <w:position w:val="0"/>
          <w:sz w:val="20"/>
          <w:u w:val="none"/>
          <w:vertAlign w:val="baseline"/>
        </w:rPr>
        <w:t xml:space="preserve"> (holding court did not abuse its discretion by weighing delay factor against defendant), </w:t>
      </w:r>
      <w:r>
        <w:rPr>
          <w:rFonts w:ascii="arial" w:eastAsia="arial" w:hAnsi="arial" w:cs="arial"/>
          <w:b w:val="0"/>
          <w:i/>
          <w:strike w:val="0"/>
          <w:noProof w:val="0"/>
          <w:color w:val="000000"/>
          <w:position w:val="0"/>
          <w:sz w:val="20"/>
          <w:u w:val="none"/>
          <w:vertAlign w:val="baseline"/>
        </w:rPr>
        <w:t>cert. denied</w:t>
      </w:r>
      <w:r>
        <w:rPr>
          <w:rFonts w:ascii="arial" w:eastAsia="arial" w:hAnsi="arial" w:cs="arial"/>
          <w:b w:val="0"/>
          <w:i w:val="0"/>
          <w:strike w:val="0"/>
          <w:noProof w:val="0"/>
          <w:color w:val="000000"/>
          <w:position w:val="0"/>
          <w:sz w:val="20"/>
          <w:u w:val="none"/>
          <w:vertAlign w:val="baseline"/>
        </w:rPr>
        <w:t xml:space="preserve">, </w:t>
      </w:r>
      <w:bookmarkStart w:id="44" w:name="Bookmark_I6612KWS28T3WY0010000400"/>
      <w:bookmarkEnd w:id="44"/>
      <w:r>
        <w:rPr>
          <w:rFonts w:ascii="arial" w:eastAsia="arial" w:hAnsi="arial" w:cs="arial"/>
          <w:b w:val="0"/>
          <w:i/>
          <w:strike w:val="0"/>
          <w:noProof w:val="0"/>
          <w:color w:val="000000"/>
          <w:position w:val="0"/>
          <w:sz w:val="20"/>
          <w:u w:val="none"/>
          <w:vertAlign w:val="baseline"/>
        </w:rPr>
        <w:t>141 S. Ct. 1443, 209 L. Ed. 2d 160 (2021)</w:t>
      </w:r>
      <w:r>
        <w:rPr>
          <w:rFonts w:ascii="arial" w:eastAsia="arial" w:hAnsi="arial" w:cs="arial"/>
          <w:b w:val="0"/>
          <w:i w:val="0"/>
          <w:strike w:val="0"/>
          <w:noProof w:val="0"/>
          <w:color w:val="000000"/>
          <w:position w:val="0"/>
          <w:sz w:val="20"/>
          <w:u w:val="none"/>
          <w:vertAlign w:val="baseline"/>
        </w:rPr>
        <w:t xml:space="preserve">. And, withdrawal of Lopez' guilty plea after rearraignment, preparation and review of the presentence investigation report (PSR), and commencement of the sentencing hearing certainly would have inconvenienced the district court. </w:t>
      </w:r>
      <w:bookmarkStart w:id="45" w:name="Bookmark_I6612KWS28T3WY0040000400_2"/>
      <w:bookmarkEnd w:id="45"/>
      <w:r>
        <w:rPr>
          <w:rFonts w:ascii="arial" w:eastAsia="arial" w:hAnsi="arial" w:cs="arial"/>
          <w:b w:val="0"/>
          <w:i/>
          <w:strike w:val="0"/>
          <w:noProof w:val="0"/>
          <w:color w:val="000000"/>
          <w:position w:val="0"/>
          <w:sz w:val="20"/>
          <w:u w:val="none"/>
          <w:vertAlign w:val="baseline"/>
        </w:rPr>
        <w:t xml:space="preserve">See </w:t>
      </w:r>
      <w:bookmarkStart w:id="46" w:name="Bookmark_I6612KWS28T3WY0030000400"/>
      <w:bookmarkEnd w:id="46"/>
      <w:hyperlink r:id="rId23" w:history="1">
        <w:r>
          <w:rPr>
            <w:rFonts w:ascii="arial" w:eastAsia="arial" w:hAnsi="arial" w:cs="arial"/>
            <w:b w:val="0"/>
            <w:i/>
            <w:strike w:val="0"/>
            <w:noProof w:val="0"/>
            <w:color w:val="0077CC"/>
            <w:position w:val="0"/>
            <w:sz w:val="20"/>
            <w:u w:val="single"/>
            <w:vertAlign w:val="baseline"/>
          </w:rPr>
          <w:t>Lord</w:t>
        </w:r>
      </w:hyperlink>
      <w:hyperlink r:id="rId23" w:history="1">
        <w:r>
          <w:rPr>
            <w:rFonts w:ascii="arial" w:eastAsia="arial" w:hAnsi="arial" w:cs="arial"/>
            <w:b w:val="0"/>
            <w:i/>
            <w:strike w:val="0"/>
            <w:noProof w:val="0"/>
            <w:color w:val="0077CC"/>
            <w:position w:val="0"/>
            <w:sz w:val="20"/>
            <w:u w:val="single"/>
            <w:vertAlign w:val="baseline"/>
          </w:rPr>
          <w:t>, 915 F.3d at 1015</w:t>
        </w:r>
      </w:hyperlink>
      <w:r>
        <w:rPr>
          <w:rFonts w:ascii="arial" w:eastAsia="arial" w:hAnsi="arial" w:cs="arial"/>
          <w:b w:val="0"/>
          <w:i w:val="0"/>
          <w:strike w:val="0"/>
          <w:noProof w:val="0"/>
          <w:color w:val="000000"/>
          <w:position w:val="0"/>
          <w:sz w:val="20"/>
          <w:u w:val="none"/>
          <w:vertAlign w:val="baseline"/>
        </w:rPr>
        <w:t xml:space="preserve"> (noting "</w:t>
      </w:r>
      <w:bookmarkStart w:id="47" w:name="Bookmark_LNHNREFclscc3"/>
      <w:bookmarkEnd w:id="47"/>
      <w:hyperlink r:id="rId27" w:history="1">
        <w:r>
          <w:rPr>
            <w:rFonts w:ascii="arial" w:eastAsia="arial" w:hAnsi="arial" w:cs="arial"/>
            <w:b/>
            <w:i/>
            <w:strike w:val="0"/>
            <w:noProof w:val="0"/>
            <w:color w:val="0077CC"/>
            <w:position w:val="0"/>
            <w:sz w:val="20"/>
            <w:u w:val="single"/>
            <w:vertAlign w:val="baseline"/>
          </w:rPr>
          <w:t>HN3</w:t>
        </w:r>
      </w:hyperlink>
      <w:r>
        <w:rPr>
          <w:rFonts w:ascii="arial" w:eastAsia="arial" w:hAnsi="arial" w:cs="arial"/>
          <w:b w:val="0"/>
          <w:i w:val="0"/>
          <w:strike w:val="0"/>
          <w:noProof w:val="0"/>
          <w:color w:val="000000"/>
          <w:position w:val="0"/>
          <w:sz w:val="20"/>
          <w:u w:val="none"/>
          <w:vertAlign w:val="baseline"/>
        </w:rPr>
        <w:t>[</w:t>
      </w:r>
      <w:hyperlink w:anchor="Bookmark_clscc3" w:history="1">
        <w:r>
          <w:pict>
            <v:shape id="_x0000_i1037"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[w]hen, as here, the district court has already reviewed the PSR and other materials, a motion to withdraw is disruptive to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trial docket and inconveniences the court").</w:t>
      </w:r>
    </w:p>
    <w:p>
      <w:pPr>
        <w:keepNext w:val="0"/>
        <w:spacing w:before="240" w:after="0" w:line="260" w:lineRule="atLeast"/>
        <w:ind w:left="0" w:right="0" w:firstLine="0"/>
        <w:jc w:val="both"/>
      </w:pPr>
      <w:bookmarkStart w:id="48" w:name="Bookmark_para_10"/>
      <w:bookmarkEnd w:id="48"/>
      <w:bookmarkStart w:id="49" w:name="Bookmark_I6612KWT2HM5WM0010000400"/>
      <w:bookmarkEnd w:id="49"/>
      <w:r>
        <w:rPr>
          <w:rFonts w:ascii="arial" w:eastAsia="arial" w:hAnsi="arial" w:cs="arial"/>
          <w:b w:val="0"/>
          <w:i w:val="0"/>
          <w:strike w:val="0"/>
          <w:noProof w:val="0"/>
          <w:color w:val="000000"/>
          <w:position w:val="0"/>
          <w:sz w:val="20"/>
          <w:u w:val="none"/>
          <w:vertAlign w:val="baseline"/>
        </w:rPr>
        <w:t xml:space="preserve">Lopez' assertions that defense counsel provided incorrect advice as to his sentencing exposure fail to show he did not receive the close assistance of counsel. </w:t>
      </w:r>
      <w:r>
        <w:rPr>
          <w:rFonts w:ascii="arial" w:eastAsia="arial" w:hAnsi="arial" w:cs="arial"/>
          <w:b w:val="0"/>
          <w:i/>
          <w:strike w:val="0"/>
          <w:noProof w:val="0"/>
          <w:color w:val="000000"/>
          <w:position w:val="0"/>
          <w:sz w:val="20"/>
          <w:u w:val="none"/>
          <w:vertAlign w:val="baseline"/>
        </w:rPr>
        <w:t xml:space="preserve">See </w:t>
      </w:r>
      <w:bookmarkStart w:id="50" w:name="Bookmark_I6612KWS28T3WY0050000400"/>
      <w:bookmarkEnd w:id="50"/>
      <w:hyperlink r:id="rId28" w:history="1">
        <w:r>
          <w:rPr>
            <w:rFonts w:ascii="arial" w:eastAsia="arial" w:hAnsi="arial" w:cs="arial"/>
            <w:b w:val="0"/>
            <w:i/>
            <w:strike w:val="0"/>
            <w:noProof w:val="0"/>
            <w:color w:val="0077CC"/>
            <w:position w:val="0"/>
            <w:sz w:val="20"/>
            <w:u w:val="single"/>
            <w:vertAlign w:val="baseline"/>
          </w:rPr>
          <w:t>United States v. McKnight</w:t>
        </w:r>
      </w:hyperlink>
      <w:hyperlink r:id="rId28" w:history="1">
        <w:r>
          <w:rPr>
            <w:rFonts w:ascii="arial" w:eastAsia="arial" w:hAnsi="arial" w:cs="arial"/>
            <w:b w:val="0"/>
            <w:i/>
            <w:strike w:val="0"/>
            <w:noProof w:val="0"/>
            <w:color w:val="0077CC"/>
            <w:position w:val="0"/>
            <w:sz w:val="20"/>
            <w:u w:val="single"/>
            <w:vertAlign w:val="baseline"/>
          </w:rPr>
          <w:t>, 570 F.3d 641, 646-48 (5th Cir. 2009)</w:t>
        </w:r>
      </w:hyperlink>
      <w:r>
        <w:rPr>
          <w:rFonts w:ascii="arial" w:eastAsia="arial" w:hAnsi="arial" w:cs="arial"/>
          <w:b w:val="0"/>
          <w:i w:val="0"/>
          <w:strike w:val="0"/>
          <w:noProof w:val="0"/>
          <w:color w:val="000000"/>
          <w:position w:val="0"/>
          <w:sz w:val="20"/>
          <w:u w:val="none"/>
          <w:vertAlign w:val="baseline"/>
        </w:rPr>
        <w:t xml:space="preserve"> (holding court did not abuse its discretion by denying motion to withdraw guilty plea for deprivation of close assistance of counsel based on counsel's incorrect advice as to sentencing exposure). Moreover, the court's repeated warnings about the non-binding nature of the Government's recommendation limiting Lopez' sentencing exposure contradicts Lopez' assertion that his guilty plea was invalid because he was unaware of that exact consequence.</w:t>
      </w:r>
    </w:p>
    <w:p>
      <w:pPr>
        <w:keepNext w:val="0"/>
        <w:spacing w:before="240" w:after="0" w:line="260" w:lineRule="atLeast"/>
        <w:ind w:left="0" w:right="0" w:firstLine="0"/>
        <w:jc w:val="both"/>
      </w:pPr>
      <w:bookmarkStart w:id="51" w:name="Bookmark_para_11"/>
      <w:bookmarkEnd w:id="51"/>
      <w:bookmarkStart w:id="52" w:name="Bookmark_I6612KWT2HM5WM0030000400"/>
      <w:bookmarkEnd w:id="52"/>
      <w:r>
        <w:rPr>
          <w:rFonts w:ascii="arial" w:eastAsia="arial" w:hAnsi="arial" w:cs="arial"/>
          <w:b w:val="0"/>
          <w:i w:val="0"/>
          <w:strike w:val="0"/>
          <w:noProof w:val="0"/>
          <w:color w:val="000000"/>
          <w:position w:val="0"/>
          <w:sz w:val="20"/>
          <w:u w:val="none"/>
          <w:vertAlign w:val="baseline"/>
        </w:rPr>
        <w:t xml:space="preserve">For the first time on appeal, Lopez contends his guilty plea was invalid because it was not made knowingly and voluntarily: he believed his sentence would be based solely on the one alien involved in his count of conviction. </w:t>
      </w:r>
      <w:bookmarkStart w:id="53" w:name="Bookmark_LNHNREFclscc4"/>
      <w:bookmarkEnd w:id="53"/>
      <w:hyperlink r:id="rId29" w:history="1">
        <w:r>
          <w:rPr>
            <w:rFonts w:ascii="arial" w:eastAsia="arial" w:hAnsi="arial" w:cs="arial"/>
            <w:b/>
            <w:i/>
            <w:strike w:val="0"/>
            <w:noProof w:val="0"/>
            <w:color w:val="0077CC"/>
            <w:position w:val="0"/>
            <w:sz w:val="20"/>
            <w:u w:val="single"/>
            <w:vertAlign w:val="baseline"/>
          </w:rPr>
          <w:t>HN4</w:t>
        </w:r>
      </w:hyperlink>
      <w:r>
        <w:rPr>
          <w:rFonts w:ascii="arial" w:eastAsia="arial" w:hAnsi="arial" w:cs="arial"/>
          <w:b w:val="0"/>
          <w:i w:val="0"/>
          <w:strike w:val="0"/>
          <w:noProof w:val="0"/>
          <w:color w:val="000000"/>
          <w:position w:val="0"/>
          <w:sz w:val="20"/>
          <w:u w:val="none"/>
          <w:vertAlign w:val="baseline"/>
        </w:rPr>
        <w:t>[</w:t>
      </w:r>
      <w:hyperlink w:anchor="Bookmark_clscc4" w:history="1">
        <w:r>
          <w:pict>
            <v:shape id="_x0000_i1038"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Although the validity of a guilty plea is generally reviewed </w:t>
      </w:r>
      <w:r>
        <w:rPr>
          <w:rFonts w:ascii="arial" w:eastAsia="arial" w:hAnsi="arial" w:cs="arial"/>
          <w:b w:val="0"/>
          <w:i/>
          <w:strike w:val="0"/>
          <w:noProof w:val="0"/>
          <w:color w:val="000000"/>
          <w:position w:val="0"/>
          <w:sz w:val="20"/>
          <w:u w:val="none"/>
          <w:vertAlign w:val="baseline"/>
        </w:rPr>
        <w:t>de novo</w:t>
      </w:r>
      <w:r>
        <w:rPr>
          <w:rFonts w:ascii="arial" w:eastAsia="arial" w:hAnsi="arial" w:cs="arial"/>
          <w:b w:val="0"/>
          <w:i w:val="0"/>
          <w:strike w:val="0"/>
          <w:noProof w:val="0"/>
          <w:color w:val="000000"/>
          <w:position w:val="0"/>
          <w:sz w:val="20"/>
          <w:u w:val="none"/>
          <w:vertAlign w:val="baseline"/>
        </w:rPr>
        <w:t xml:space="preserve">, an unpreserved challenge to the plea is reviewed only for plain error. </w:t>
      </w:r>
      <w:r>
        <w:rPr>
          <w:rFonts w:ascii="arial" w:eastAsia="arial" w:hAnsi="arial" w:cs="arial"/>
          <w:b w:val="0"/>
          <w:i/>
          <w:strike w:val="0"/>
          <w:noProof w:val="0"/>
          <w:color w:val="000000"/>
          <w:position w:val="0"/>
          <w:sz w:val="20"/>
          <w:u w:val="none"/>
          <w:vertAlign w:val="baseline"/>
        </w:rPr>
        <w:t xml:space="preserve">See </w:t>
      </w:r>
      <w:bookmarkStart w:id="54" w:name="Bookmark_I6612KWT2HM5WM0020000400"/>
      <w:bookmarkEnd w:id="54"/>
      <w:hyperlink r:id="rId30" w:history="1">
        <w:r>
          <w:rPr>
            <w:rFonts w:ascii="arial" w:eastAsia="arial" w:hAnsi="arial" w:cs="arial"/>
            <w:b w:val="0"/>
            <w:i/>
            <w:strike w:val="0"/>
            <w:noProof w:val="0"/>
            <w:color w:val="0077CC"/>
            <w:position w:val="0"/>
            <w:sz w:val="20"/>
            <w:u w:val="single"/>
            <w:vertAlign w:val="baseline"/>
          </w:rPr>
          <w:t>United States v. Reasor</w:t>
        </w:r>
      </w:hyperlink>
      <w:hyperlink r:id="rId30" w:history="1">
        <w:r>
          <w:rPr>
            <w:rFonts w:ascii="arial" w:eastAsia="arial" w:hAnsi="arial" w:cs="arial"/>
            <w:b w:val="0"/>
            <w:i/>
            <w:strike w:val="0"/>
            <w:noProof w:val="0"/>
            <w:color w:val="0077CC"/>
            <w:position w:val="0"/>
            <w:sz w:val="20"/>
            <w:u w:val="single"/>
            <w:vertAlign w:val="baseline"/>
          </w:rPr>
          <w:t>, 418 F.3d 466, 478 (5th Cir. 2005)</w:t>
        </w:r>
      </w:hyperlink>
      <w:r>
        <w:rPr>
          <w:rFonts w:ascii="arial" w:eastAsia="arial" w:hAnsi="arial" w:cs="arial"/>
          <w:b w:val="0"/>
          <w:i w:val="0"/>
          <w:strike w:val="0"/>
          <w:noProof w:val="0"/>
          <w:color w:val="000000"/>
          <w:position w:val="0"/>
          <w:sz w:val="20"/>
          <w:u w:val="none"/>
          <w:vertAlign w:val="baseline"/>
        </w:rPr>
        <w:t xml:space="preserve">; </w:t>
      </w:r>
      <w:bookmarkStart w:id="55" w:name="Bookmark_I6612KWT2HM5WM0040000400"/>
      <w:bookmarkEnd w:id="55"/>
      <w:hyperlink r:id="rId31" w:history="1">
        <w:r>
          <w:rPr>
            <w:rFonts w:ascii="arial" w:eastAsia="arial" w:hAnsi="arial" w:cs="arial"/>
            <w:b w:val="0"/>
            <w:i/>
            <w:strike w:val="0"/>
            <w:noProof w:val="0"/>
            <w:color w:val="0077CC"/>
            <w:position w:val="0"/>
            <w:sz w:val="20"/>
            <w:u w:val="single"/>
            <w:vertAlign w:val="baseline"/>
          </w:rPr>
          <w:t>United States v. Brown</w:t>
        </w:r>
      </w:hyperlink>
      <w:hyperlink r:id="rId31" w:history="1">
        <w:r>
          <w:rPr>
            <w:rFonts w:ascii="arial" w:eastAsia="arial" w:hAnsi="arial" w:cs="arial"/>
            <w:b w:val="0"/>
            <w:i/>
            <w:strike w:val="0"/>
            <w:noProof w:val="0"/>
            <w:color w:val="0077CC"/>
            <w:position w:val="0"/>
            <w:sz w:val="20"/>
            <w:u w:val="single"/>
            <w:vertAlign w:val="baseline"/>
          </w:rPr>
          <w:t>, 328 F.3d 787, 789 (5th Cir. 2003)</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56" w:name="Bookmark_para_12"/>
      <w:bookmarkEnd w:id="56"/>
      <w:bookmarkStart w:id="57" w:name="Bookmark_I6612KWT2D6NNK0020000400"/>
      <w:bookmarkEnd w:id="57"/>
      <w:bookmarkStart w:id="58" w:name="Bookmark_LNHNREFclscc5"/>
      <w:bookmarkEnd w:id="58"/>
      <w:hyperlink r:id="rId32" w:history="1">
        <w:r>
          <w:rPr>
            <w:rFonts w:ascii="arial" w:eastAsia="arial" w:hAnsi="arial" w:cs="arial"/>
            <w:b/>
            <w:i/>
            <w:strike w:val="0"/>
            <w:color w:val="0077CC"/>
            <w:sz w:val="20"/>
            <w:u w:val="single"/>
            <w:vertAlign w:val="baseline"/>
          </w:rPr>
          <w:t>HN5</w:t>
        </w:r>
      </w:hyperlink>
      <w:r>
        <w:rPr>
          <w:rFonts w:ascii="arial" w:eastAsia="arial" w:hAnsi="arial" w:cs="arial"/>
          <w:b w:val="0"/>
          <w:i w:val="0"/>
          <w:strike w:val="0"/>
          <w:noProof w:val="0"/>
          <w:color w:val="000000"/>
          <w:position w:val="0"/>
          <w:sz w:val="20"/>
          <w:u w:val="none"/>
          <w:vertAlign w:val="baseline"/>
        </w:rPr>
        <w:t>[</w:t>
      </w:r>
      <w:hyperlink w:anchor="Bookmark_clscc5" w:history="1">
        <w:r>
          <w:pict>
            <v:shape id="_x0000_i1039"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Under that standard, Lopez must show a forfeited plain error (clear or obvious error, rather than one subject to reasonable dispute) that affected his substantial rights.</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w:t>
      </w:r>
      <w:bookmarkStart w:id="59" w:name="Bookmark_I6612KWT2D6NNK0010000400"/>
      <w:bookmarkEnd w:id="59"/>
      <w:hyperlink r:id="rId33" w:history="1">
        <w:r>
          <w:rPr>
            <w:rFonts w:ascii="arial" w:eastAsia="arial" w:hAnsi="arial" w:cs="arial"/>
            <w:b w:val="0"/>
            <w:i/>
            <w:strike w:val="0"/>
            <w:noProof w:val="0"/>
            <w:color w:val="0077CC"/>
            <w:position w:val="0"/>
            <w:sz w:val="20"/>
            <w:u w:val="single"/>
            <w:vertAlign w:val="baseline"/>
          </w:rPr>
          <w:t>Puckett v. United States</w:t>
        </w:r>
      </w:hyperlink>
      <w:hyperlink r:id="rId33" w:history="1">
        <w:r>
          <w:rPr>
            <w:rFonts w:ascii="arial" w:eastAsia="arial" w:hAnsi="arial" w:cs="arial"/>
            <w:b w:val="0"/>
            <w:i/>
            <w:strike w:val="0"/>
            <w:noProof w:val="0"/>
            <w:color w:val="0077CC"/>
            <w:position w:val="0"/>
            <w:sz w:val="20"/>
            <w:u w:val="single"/>
            <w:vertAlign w:val="baseline"/>
          </w:rPr>
          <w:t>, 556 U.S. 129, 135, 129 S. Ct. 1423, 173 L. Ed. 2d 266 (2009)</w:t>
        </w:r>
      </w:hyperlink>
      <w:r>
        <w:rPr>
          <w:rFonts w:ascii="arial" w:eastAsia="arial" w:hAnsi="arial" w:cs="arial"/>
          <w:b w:val="0"/>
          <w:i w:val="0"/>
          <w:strike w:val="0"/>
          <w:noProof w:val="0"/>
          <w:color w:val="000000"/>
          <w:position w:val="0"/>
          <w:sz w:val="20"/>
          <w:u w:val="none"/>
          <w:vertAlign w:val="baseline"/>
        </w:rPr>
        <w:t xml:space="preserve">. If he makes that showing, we have the discretion to correct the reversible plain error, but generally should do so only if it "seriously affect[s] the fairness, integrity or public reputation of judicial proceedings".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In the light of the court's repeated warnings, as well as Lopez' repeated acknowledgment of those warnings, Lopez has failed to show the requisite clear or obvious error regarding the validity of his plea.</w:t>
      </w:r>
    </w:p>
    <w:p>
      <w:pPr>
        <w:keepNext w:val="0"/>
        <w:spacing w:before="240" w:after="0" w:line="260" w:lineRule="atLeast"/>
        <w:ind w:left="0" w:right="0" w:firstLine="0"/>
        <w:jc w:val="both"/>
      </w:pPr>
      <w:bookmarkStart w:id="60" w:name="Bookmark_para_13"/>
      <w:bookmarkEnd w:id="60"/>
      <w:bookmarkStart w:id="61" w:name="Bookmark_I6612KWT2D6NNK0040000400"/>
      <w:bookmarkEnd w:id="61"/>
      <w:r>
        <w:rPr>
          <w:rFonts w:ascii="arial" w:eastAsia="arial" w:hAnsi="arial" w:cs="arial"/>
          <w:b w:val="0"/>
          <w:i w:val="0"/>
          <w:strike w:val="0"/>
          <w:noProof w:val="0"/>
          <w:color w:val="000000"/>
          <w:position w:val="0"/>
          <w:sz w:val="20"/>
          <w:u w:val="none"/>
          <w:vertAlign w:val="baseline"/>
        </w:rPr>
        <w:t xml:space="preserve">We decline to consider Lopez' ineffective-assistance-of-counsel (IAC) claim because the record is not sufficient to permit a fair evaluation of its merits. </w:t>
      </w:r>
      <w:r>
        <w:rPr>
          <w:rFonts w:ascii="arial" w:eastAsia="arial" w:hAnsi="arial" w:cs="arial"/>
          <w:b w:val="0"/>
          <w:i/>
          <w:strike w:val="0"/>
          <w:noProof w:val="0"/>
          <w:color w:val="000000"/>
          <w:position w:val="0"/>
          <w:sz w:val="20"/>
          <w:u w:val="none"/>
          <w:vertAlign w:val="baseline"/>
        </w:rPr>
        <w:t xml:space="preserve">See </w:t>
      </w:r>
      <w:bookmarkStart w:id="62" w:name="Bookmark_I6612KWT2D6NNK0030000400"/>
      <w:bookmarkEnd w:id="62"/>
      <w:hyperlink r:id="rId34" w:history="1">
        <w:r>
          <w:rPr>
            <w:rFonts w:ascii="arial" w:eastAsia="arial" w:hAnsi="arial" w:cs="arial"/>
            <w:b w:val="0"/>
            <w:i/>
            <w:strike w:val="0"/>
            <w:noProof w:val="0"/>
            <w:color w:val="0077CC"/>
            <w:position w:val="0"/>
            <w:sz w:val="20"/>
            <w:u w:val="single"/>
            <w:vertAlign w:val="baseline"/>
          </w:rPr>
          <w:t>United States v. Isgar</w:t>
        </w:r>
      </w:hyperlink>
      <w:hyperlink r:id="rId34" w:history="1">
        <w:r>
          <w:rPr>
            <w:rFonts w:ascii="arial" w:eastAsia="arial" w:hAnsi="arial" w:cs="arial"/>
            <w:b w:val="0"/>
            <w:i/>
            <w:strike w:val="0"/>
            <w:noProof w:val="0"/>
            <w:color w:val="0077CC"/>
            <w:position w:val="0"/>
            <w:sz w:val="20"/>
            <w:u w:val="single"/>
            <w:vertAlign w:val="baseline"/>
          </w:rPr>
          <w:t>, 739 F.3d 829, 841 (5th Cir. 2014)</w:t>
        </w:r>
      </w:hyperlink>
      <w:r>
        <w:rPr>
          <w:rFonts w:ascii="arial" w:eastAsia="arial" w:hAnsi="arial" w:cs="arial"/>
          <w:b w:val="0"/>
          <w:i w:val="0"/>
          <w:strike w:val="0"/>
          <w:noProof w:val="0"/>
          <w:color w:val="000000"/>
          <w:position w:val="0"/>
          <w:sz w:val="20"/>
          <w:u w:val="none"/>
          <w:vertAlign w:val="baseline"/>
        </w:rPr>
        <w:t xml:space="preserve"> ("</w:t>
      </w:r>
      <w:bookmarkStart w:id="63" w:name="Bookmark_LNHNREFclscc6"/>
      <w:bookmarkEnd w:id="63"/>
      <w:hyperlink r:id="rId35" w:history="1">
        <w:r>
          <w:rPr>
            <w:rFonts w:ascii="arial" w:eastAsia="arial" w:hAnsi="arial" w:cs="arial"/>
            <w:b/>
            <w:i/>
            <w:strike w:val="0"/>
            <w:noProof w:val="0"/>
            <w:color w:val="0077CC"/>
            <w:position w:val="0"/>
            <w:sz w:val="20"/>
            <w:u w:val="single"/>
            <w:vertAlign w:val="baseline"/>
          </w:rPr>
          <w:t>HN6</w:t>
        </w:r>
      </w:hyperlink>
      <w:r>
        <w:rPr>
          <w:rFonts w:ascii="arial" w:eastAsia="arial" w:hAnsi="arial" w:cs="arial"/>
          <w:b w:val="0"/>
          <w:i w:val="0"/>
          <w:strike w:val="0"/>
          <w:noProof w:val="0"/>
          <w:color w:val="000000"/>
          <w:position w:val="0"/>
          <w:sz w:val="20"/>
          <w:u w:val="none"/>
          <w:vertAlign w:val="baseline"/>
        </w:rPr>
        <w:t>[</w:t>
      </w:r>
      <w:hyperlink w:anchor="Bookmark_clscc6" w:history="1">
        <w:r>
          <w:pict>
            <v:shape id="_x0000_i1040" type="#_x0000_t75" style="width:10.5pt;height:10.5pt">
              <v:imagedata r:id="rId21" o:title=""/>
            </v:shape>
          </w:pict>
        </w:r>
      </w:hyperlink>
      <w:r>
        <w:rPr>
          <w:rFonts w:ascii="arial" w:eastAsia="arial" w:hAnsi="arial" w:cs="arial"/>
          <w:b w:val="0"/>
          <w:i w:val="0"/>
          <w:strike w:val="0"/>
          <w:noProof w:val="0"/>
          <w:color w:val="000000"/>
          <w:position w:val="0"/>
          <w:sz w:val="20"/>
          <w:u w:val="none"/>
          <w:vertAlign w:val="baseline"/>
        </w:rPr>
        <w:t xml:space="preserve">] </w:t>
      </w:r>
      <w:hyperlink r:id="rId18" w:history="1">
        <w:r>
          <w:rPr>
            <w:rFonts w:ascii="arial" w:eastAsia="arial" w:hAnsi="arial" w:cs="arial"/>
            <w:b w:val="0"/>
            <w:i/>
            <w:strike w:val="0"/>
            <w:noProof w:val="0"/>
            <w:color w:val="0077CC"/>
            <w:position w:val="0"/>
            <w:sz w:val="20"/>
            <w:u w:val="single"/>
            <w:vertAlign w:val="baseline"/>
          </w:rPr>
          <w:t>Sixth Amendment</w:t>
        </w:r>
      </w:hyperlink>
      <w:r>
        <w:rPr>
          <w:rFonts w:ascii="arial" w:eastAsia="arial" w:hAnsi="arial" w:cs="arial"/>
          <w:b w:val="0"/>
          <w:i w:val="0"/>
          <w:strike w:val="0"/>
          <w:noProof w:val="0"/>
          <w:color w:val="000000"/>
          <w:position w:val="0"/>
          <w:sz w:val="20"/>
          <w:u w:val="none"/>
          <w:vertAlign w:val="baseline"/>
        </w:rPr>
        <w:t xml:space="preserve"> [IAC] claims . . . should not be litigated on direct appeal, unless they were previously presented to the trial court. It is only in rare cases in which the record allows a reviewing court to fairly evaluate the merits of the claim that we will consider such a claim." (citations omitted)). Needless to say, our not considering the IAC claim is without prejudice to its being raised pursuant to </w:t>
      </w:r>
      <w:hyperlink r:id="rId36" w:history="1">
        <w:r>
          <w:rPr>
            <w:rFonts w:ascii="arial" w:eastAsia="arial" w:hAnsi="arial" w:cs="arial"/>
            <w:b w:val="0"/>
            <w:i/>
            <w:strike w:val="0"/>
            <w:noProof w:val="0"/>
            <w:color w:val="0077CC"/>
            <w:position w:val="0"/>
            <w:sz w:val="20"/>
            <w:u w:val="single"/>
            <w:vertAlign w:val="baseline"/>
          </w:rPr>
          <w:t>28 U.S.C. § 2255</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4" w:name="Bookmark_para_14"/>
      <w:bookmarkEnd w:id="64"/>
      <w:r>
        <w:rPr>
          <w:rFonts w:ascii="arial" w:eastAsia="arial" w:hAnsi="arial" w:cs="arial"/>
          <w:b w:val="0"/>
          <w:i w:val="0"/>
          <w:strike w:val="0"/>
          <w:noProof w:val="0"/>
          <w:color w:val="000000"/>
          <w:position w:val="0"/>
          <w:sz w:val="20"/>
          <w:u w:val="none"/>
          <w:vertAlign w:val="baseline"/>
        </w:rPr>
        <w:t>AFFIRMED.</w:t>
      </w:r>
    </w:p>
    <w:p/>
    <w:p>
      <w:pPr>
        <w:ind w:left="200"/>
      </w:pPr>
      <w:r>
        <w:br/>
      </w:r>
      <w:r>
        <w:pict>
          <v:line id="_x0000_s1041" style="position:absolute;z-index:251661312"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0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 </w:t>
      </w:r>
      <w:bookmarkStart w:id="24" w:name="Bookmark_fnpara_1"/>
      <w:bookmarkEnd w:id="24"/>
      <w:r>
        <w:rPr>
          <w:rFonts w:ascii="arial" w:eastAsia="arial" w:hAnsi="arial" w:cs="arial"/>
          <w:b w:val="0"/>
          <w:i w:val="0"/>
          <w:strike w:val="0"/>
          <w:noProof w:val="0"/>
          <w:color w:val="000000"/>
          <w:position w:val="0"/>
          <w:sz w:val="18"/>
          <w:u w:val="none"/>
          <w:vertAlign w:val="baseline"/>
        </w:rPr>
        <w:t xml:space="preserve">Pursuant to </w:t>
      </w:r>
      <w:r>
        <w:rPr>
          <w:rFonts w:ascii="arial" w:eastAsia="arial" w:hAnsi="arial" w:cs="arial"/>
          <w:b/>
          <w:i/>
          <w:smallCaps/>
          <w:strike w:val="0"/>
          <w:noProof w:val="0"/>
          <w:color w:val="000000"/>
          <w:position w:val="0"/>
          <w:sz w:val="18"/>
          <w:u w:val="none"/>
          <w:vertAlign w:val="baseline"/>
        </w:rPr>
        <w:t>5th Circuit Rule</w:t>
      </w:r>
      <w:r>
        <w:rPr>
          <w:rFonts w:ascii="arial" w:eastAsia="arial" w:hAnsi="arial" w:cs="arial"/>
          <w:b/>
          <w:i/>
          <w:strike w:val="0"/>
          <w:noProof w:val="0"/>
          <w:color w:val="000000"/>
          <w:position w:val="0"/>
          <w:sz w:val="18"/>
          <w:u w:val="none"/>
          <w:vertAlign w:val="baseline"/>
        </w:rPr>
        <w:t xml:space="preserve"> 47.5</w:t>
      </w:r>
      <w:r>
        <w:rPr>
          <w:rFonts w:ascii="arial" w:eastAsia="arial" w:hAnsi="arial" w:cs="arial"/>
          <w:b w:val="0"/>
          <w:i w:val="0"/>
          <w:strike w:val="0"/>
          <w:noProof w:val="0"/>
          <w:color w:val="000000"/>
          <w:position w:val="0"/>
          <w:sz w:val="18"/>
          <w:u w:val="none"/>
          <w:vertAlign w:val="baseline"/>
        </w:rPr>
        <w:t xml:space="preserve">, the court has determined that this opinion should not be published and is not precedent except under the limited circumstances set forth in </w:t>
      </w:r>
      <w:r>
        <w:rPr>
          <w:rFonts w:ascii="arial" w:eastAsia="arial" w:hAnsi="arial" w:cs="arial"/>
          <w:b/>
          <w:i/>
          <w:smallCaps/>
          <w:strike w:val="0"/>
          <w:noProof w:val="0"/>
          <w:color w:val="000000"/>
          <w:position w:val="0"/>
          <w:sz w:val="18"/>
          <w:u w:val="none"/>
          <w:vertAlign w:val="baseline"/>
        </w:rPr>
        <w:t>5th Circuit Rule</w:t>
      </w:r>
      <w:r>
        <w:rPr>
          <w:rFonts w:ascii="arial" w:eastAsia="arial" w:hAnsi="arial" w:cs="arial"/>
          <w:b/>
          <w:i/>
          <w:strike w:val="0"/>
          <w:noProof w:val="0"/>
          <w:color w:val="000000"/>
          <w:position w:val="0"/>
          <w:sz w:val="18"/>
          <w:u w:val="none"/>
          <w:vertAlign w:val="baseline"/>
        </w:rPr>
        <w:t xml:space="preserve"> 47.5.4</w:t>
      </w:r>
      <w:r>
        <w:rPr>
          <w:rFonts w:ascii="arial" w:eastAsia="arial" w:hAnsi="arial" w:cs="arial"/>
          <w:b w:val="0"/>
          <w:i w:val="0"/>
          <w:strike w:val="0"/>
          <w:noProof w:val="0"/>
          <w:color w:val="000000"/>
          <w:position w:val="0"/>
          <w:sz w:val="18"/>
          <w:u w:val="none"/>
          <w:vertAlign w:val="baseline"/>
        </w:rPr>
        <w:t>.</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Lopez, 2022 U.S. App. LEXIS 20171</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606-P1W1-F873-B192-00000-00&amp;context=1519360&amp;link=LNHNREFclscc1" TargetMode="External" /><Relationship Id="rId11" Type="http://schemas.openxmlformats.org/officeDocument/2006/relationships/image" Target="media/image2.png" /><Relationship Id="rId12" Type="http://schemas.openxmlformats.org/officeDocument/2006/relationships/hyperlink" Target="https://advance.lexis.com/api/document?collection=statutes-legislation&amp;id=urn:contentItem:5GYC-2731-FG36-13TD-00000-00&amp;context=1519360" TargetMode="External" /><Relationship Id="rId13" Type="http://schemas.openxmlformats.org/officeDocument/2006/relationships/hyperlink" Target="https://advance.lexis.com/api/document?collection=cases&amp;id=urn:contentItem:6606-P1W1-F873-B192-00000-00&amp;context=1519360&amp;link=LNHNREFclscc2" TargetMode="External" /><Relationship Id="rId14" Type="http://schemas.openxmlformats.org/officeDocument/2006/relationships/hyperlink" Target="https://advance.lexis.com/api/document?collection=cases&amp;id=urn:contentItem:6606-P1W1-F873-B192-00000-00&amp;context=1519360&amp;link=LNHNREFclscc3" TargetMode="External" /><Relationship Id="rId15" Type="http://schemas.openxmlformats.org/officeDocument/2006/relationships/hyperlink" Target="https://advance.lexis.com/api/document?collection=cases&amp;id=urn:contentItem:6606-P1W1-F873-B192-00000-00&amp;context=1519360&amp;link=LNHNREFclscc4" TargetMode="External" /><Relationship Id="rId16" Type="http://schemas.openxmlformats.org/officeDocument/2006/relationships/hyperlink" Target="https://advance.lexis.com/api/document?collection=cases&amp;id=urn:contentItem:6606-P1W1-F873-B192-00000-00&amp;context=1519360&amp;link=LNHNREFclscc5" TargetMode="External" /><Relationship Id="rId17" Type="http://schemas.openxmlformats.org/officeDocument/2006/relationships/hyperlink" Target="https://advance.lexis.com/api/document?collection=cases&amp;id=urn:contentItem:6606-P1W1-F873-B192-00000-00&amp;context=1519360&amp;link=LNHNREFclscc6" TargetMode="External" /><Relationship Id="rId18" Type="http://schemas.openxmlformats.org/officeDocument/2006/relationships/hyperlink" Target="https://advance.lexis.com/api/document?collection=statutes-legislation&amp;id=urn:contentItem:8T9R-T4F2-D6RV-H37N-00000-00&amp;context=1519360" TargetMode="External" /><Relationship Id="rId19" Type="http://schemas.openxmlformats.org/officeDocument/2006/relationships/hyperlink" Target="https://advance.lexis.com/api/document?collection=statutes-legislation&amp;id=urn:contentItem:8S6M-T0S2-D6RV-H49T-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606-P1W1-F873-B192-00000-00&amp;context=1519360&amp;link=clscc1" TargetMode="External" /><Relationship Id="rId21" Type="http://schemas.openxmlformats.org/officeDocument/2006/relationships/image" Target="media/image3.png" /><Relationship Id="rId22" Type="http://schemas.openxmlformats.org/officeDocument/2006/relationships/hyperlink" Target="https://advance.lexis.com/api/document?collection=cases&amp;id=urn:contentItem:4B7Y-K760-0038-X4F5-00000-00&amp;context=1519360" TargetMode="External" /><Relationship Id="rId23" Type="http://schemas.openxmlformats.org/officeDocument/2006/relationships/hyperlink" Target="https://advance.lexis.com/api/document?collection=cases&amp;id=urn:contentItem:5VF6-KWG1-JNS1-M45J-00000-00&amp;context=1519360" TargetMode="External" /><Relationship Id="rId24" Type="http://schemas.openxmlformats.org/officeDocument/2006/relationships/hyperlink" Target="https://advance.lexis.com/api/document?collection=cases&amp;id=urn:contentItem:6606-P1W1-F873-B192-00000-00&amp;context=1519360&amp;link=clscc2" TargetMode="External" /><Relationship Id="rId25" Type="http://schemas.openxmlformats.org/officeDocument/2006/relationships/hyperlink" Target="https://advance.lexis.com/api/document?collection=cases&amp;id=urn:contentItem:3S4W-W550-003B-G0KC-00000-00&amp;context=1519360" TargetMode="External" /><Relationship Id="rId26" Type="http://schemas.openxmlformats.org/officeDocument/2006/relationships/hyperlink" Target="https://advance.lexis.com/api/document?collection=cases&amp;id=urn:contentItem:60DT-K041-K0BB-S000-00000-00&amp;context=1519360" TargetMode="External" /><Relationship Id="rId27" Type="http://schemas.openxmlformats.org/officeDocument/2006/relationships/hyperlink" Target="https://advance.lexis.com/api/document?collection=cases&amp;id=urn:contentItem:6606-P1W1-F873-B192-00000-00&amp;context=1519360&amp;link=clscc3" TargetMode="External" /><Relationship Id="rId28" Type="http://schemas.openxmlformats.org/officeDocument/2006/relationships/hyperlink" Target="https://advance.lexis.com/api/document?collection=cases&amp;id=urn:contentItem:4WGF-2MN0-TXFX-7244-00000-00&amp;context=1519360" TargetMode="External" /><Relationship Id="rId29" Type="http://schemas.openxmlformats.org/officeDocument/2006/relationships/hyperlink" Target="https://advance.lexis.com/api/document?collection=cases&amp;id=urn:contentItem:6606-P1W1-F873-B192-00000-00&amp;context=1519360&amp;link=clscc4"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4GP2-P1H0-0038-X098-00000-00&amp;context=1519360" TargetMode="External" /><Relationship Id="rId31" Type="http://schemas.openxmlformats.org/officeDocument/2006/relationships/hyperlink" Target="https://advance.lexis.com/api/document?collection=cases&amp;id=urn:contentItem:48DR-NGR0-0038-X16M-00000-00&amp;context=1519360" TargetMode="External" /><Relationship Id="rId32" Type="http://schemas.openxmlformats.org/officeDocument/2006/relationships/hyperlink" Target="https://advance.lexis.com/api/document?collection=cases&amp;id=urn:contentItem:6606-P1W1-F873-B192-00000-00&amp;context=1519360&amp;link=clscc5" TargetMode="External" /><Relationship Id="rId33" Type="http://schemas.openxmlformats.org/officeDocument/2006/relationships/hyperlink" Target="https://advance.lexis.com/api/document?collection=cases&amp;id=urn:contentItem:4VXD-5VG0-TXFX-13CX-00000-00&amp;context=1519360" TargetMode="External" /><Relationship Id="rId34" Type="http://schemas.openxmlformats.org/officeDocument/2006/relationships/hyperlink" Target="https://advance.lexis.com/api/document?collection=cases&amp;id=urn:contentItem:5B8S-T2D1-F04K-N33T-00000-00&amp;context=1519360" TargetMode="External" /><Relationship Id="rId35" Type="http://schemas.openxmlformats.org/officeDocument/2006/relationships/hyperlink" Target="https://advance.lexis.com/api/document?collection=cases&amp;id=urn:contentItem:6606-P1W1-F873-B192-00000-00&amp;context=1519360&amp;link=clscc6" TargetMode="External" /><Relationship Id="rId36" Type="http://schemas.openxmlformats.org/officeDocument/2006/relationships/hyperlink" Target="https://advance.lexis.com/api/document?collection=statutes-legislation&amp;id=urn:contentItem:8SG9-5HW2-D6RV-H0VJ-00000-00&amp;context=1519360" TargetMode="External" /><Relationship Id="rId37" Type="http://schemas.openxmlformats.org/officeDocument/2006/relationships/theme" Target="theme/theme1.xml" /><Relationship Id="rId38"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606-P1W1-F873-B192-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Lopez, 2022 U.S. App. LEXIS 20171</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51</vt:lpwstr>
  </property>
  <property fmtid="{D5CDD505-2E9C-101B-9397-08002B2CF9AE}" pid="3" name="LADocCount">
    <vt:lpwstr>1</vt:lpwstr>
  </property>
  <property fmtid="{D5CDD505-2E9C-101B-9397-08002B2CF9AE}" pid="4" name="LADocumentID:51">
    <vt:lpwstr>Doc::urn:hlct:5|contextualFeaturePermID::1519360</vt:lpwstr>
  </property>
  <property fmtid="{D5CDD505-2E9C-101B-9397-08002B2CF9AE}" pid="5" name="UserPermID">
    <vt:lpwstr>urn:user:PA186186298</vt:lpwstr>
  </property>
</Properties>
</file>