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AND PARTNERS CONTINUE DEMOLITION THROUGH OPERATION CRACKDOWN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2018 Friday 11:02 AM  EST</w:t>
      </w:r>
    </w:p>
    <w:p>
      <w:pPr>
        <w:keepNext w:val="0"/>
        <w:spacing w:after="0" w:line="240" w:lineRule="atLeast"/>
        <w:ind w:right="0"/>
        <w:jc w:val="both"/>
      </w:pPr>
      <w:bookmarkStart w:id="0" w:name="Bookmark_1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Aug. 17 --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in partnership with the Texas Joint Counterdrug Task Force, City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Independent School District,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on Aug. 17 conducted an anti-drug presentation at Farias Elementary. The presentation was followed by the demolition of an abandoned home right across the school as part of Operation Crackdown. The properties are identified by Border Patrol,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other law enforcement agencies as a nuisance and or susceptible to exploitation by criminal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"Knock it down!" is what the children from Farias Elementary chanted as the Texas Counter Drug Task Force excavator tore down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demolition marks the 115th property successfully demolished as part of Operation Crackdown for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The U.S. Border Patrol is extremely pleased to participate in Operation Crackdown and making our community become a better and safer place,"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Chief Patrol Agent Jason D. Owens.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AND PARTNERS CONTINUE DEMOLITION THROUGH OPERATION CRACKDOWN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2D-N9P1-F12F-F1GV-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AND PARTNERS CONTINUE DEMOLITION THROUGH OPERATION CRACKDOWN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urn:user:PA186186280</vt:lpwstr>
  </property>
</Properties>
</file>