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 parte Antonio-Santiago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2023, Delivered; August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04-22-00628-CR</w:t>
      </w:r>
    </w:p>
    <w:p>
      <w:pPr>
        <w:keepNext w:val="0"/>
        <w:spacing w:after="0" w:line="240" w:lineRule="atLeast"/>
        <w:ind w:right="0"/>
        <w:jc w:val="both"/>
      </w:pPr>
      <w:bookmarkStart w:id="0" w:name="Bookmark_1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Tex. App. LEXIS 6751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5603201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 PARTE Jose ANTONIO-SANTIAGO</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PLEASE CONSULT THE TEXAS RULES OF APPELLATE PROCEDURE FOR CITATION OF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Opinion withdrawn by, Substituted opinion at, Rehearing denied by, Decision reached on appeal by, Remanded by </w:t>
      </w:r>
      <w:hyperlink r:id="rId9" w:history="1">
        <w:r>
          <w:rPr>
            <w:rFonts w:ascii="arial" w:eastAsia="arial" w:hAnsi="arial" w:cs="arial"/>
            <w:b w:val="0"/>
            <w:i/>
            <w:strike w:val="0"/>
            <w:noProof w:val="0"/>
            <w:color w:val="0077CC"/>
            <w:position w:val="0"/>
            <w:sz w:val="20"/>
            <w:u w:val="single"/>
            <w:vertAlign w:val="baseline"/>
          </w:rPr>
          <w:t>In re Antonio-Santiago, 2023 Tex. App. LEXIS 9603, 2023 WL 8896922 (Tex. App. San Antonio, Dec. 27,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County Court, Webb County, Texas. Trial Court No. 2022CRB000720L1. Honorable Leticia Martinez, Judge Presiding.</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REVERSED AND REMANDED.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arrested, trial court, cases, criminal trespass, discriminatory, prosecuted, appointed, gender, selective prosecution, trespassing, misdemeanor trespass, equal protection, corpus, male</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Jury Trials &gt; Province of Court &amp; Jury</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Trials, Province of Court &amp; Jury</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In reviewing a trial court's decision to grant or deny habeas corpus relief, an appellate court defers to the trial court's assessment of the facts when those facts turn on an evaluation of credibility and demeanor. Thus, an appellate court views the facts in the light most favorable to the court's ruling and will uphold it absent an abuse of discretion. The appellate court affords almost total deference to the trial court's determination of historical facts that are supported by the record, and to mixed questions of law and fact, when the resolution of those questions turns on evaluations of credibility and demeanor. If the resolution of the ultimate question turns on an application of the law, the appellate court reviews the determination de novo.</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Gender &amp; Sex</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Gender &amp; Sex</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To support the elements of a selective prosecution defense, a defendant must prove that the prosecutorial policy had both a discriminatory effect and a discriminatory intent. Requirements for the claim draw on ordinary equal protection standards. To establish a discriminatory effect in a case based on gender discrimination, the defendant must show similarly situated individuals of the opposite sex were not prosecuted for the same conduct. To demonstrate that the selective treatment was motivated by a discriminatory purpose, the defendant must show that the government's selection of the defendant for prosecution was based on an impermissible consideration, such as race, religion, or sex. Once the defendant establishes a prima facie case of selective prosecution in violation of equal protections rights, the burden shifts to the State to justify the discriminatory treatment.</w:t>
      </w:r>
    </w:p>
    <w:p>
      <w:pPr>
        <w:keepNext w:val="0"/>
        <w:spacing w:before="240" w:after="0" w:line="260" w:lineRule="atLeast"/>
        <w:ind w:left="0" w:right="0" w:firstLine="0"/>
        <w:jc w:val="left"/>
      </w:pPr>
      <w:bookmarkStart w:id="15" w:name="Counsel"/>
      <w:bookmarkEnd w:id="1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Jose Antonio-Santiago, Criminal - Appellant: Douglas Keller, Neha Dubey.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Criminal - State of Texas: David L. Reuthinger Jr., Jason Sorensen, Isidro R. Alaniz, Daniel Elizondo.</w:t>
      </w:r>
    </w:p>
    <w:p>
      <w:pPr>
        <w:keepNext w:val="0"/>
        <w:spacing w:before="240" w:after="0" w:line="260" w:lineRule="atLeast"/>
        <w:ind w:left="0" w:right="0" w:firstLine="0"/>
        <w:jc w:val="left"/>
      </w:pPr>
      <w:bookmarkStart w:id="16" w:name="Judges"/>
      <w:bookmarkEnd w:id="1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Beth Watkins, Justice. Sitting: Rebeca C. Martinez, Chief Justice, Patricia O. Alvarez, Justice, Beth Watkins, Justice.</w:t>
      </w:r>
    </w:p>
    <w:p>
      <w:pPr>
        <w:keepNext w:val="0"/>
        <w:spacing w:before="240" w:after="0" w:line="260" w:lineRule="atLeast"/>
        <w:ind w:left="0" w:right="0" w:firstLine="0"/>
        <w:jc w:val="left"/>
      </w:pPr>
      <w:bookmarkStart w:id="17" w:name="Opinion by"/>
      <w:bookmarkEnd w:id="1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 Watkins</w:t>
      </w:r>
    </w:p>
    <w:p>
      <w:pPr>
        <w:keepNext/>
        <w:spacing w:before="240" w:after="0" w:line="340" w:lineRule="atLeast"/>
        <w:ind w:left="0" w:right="0" w:firstLine="0"/>
        <w:jc w:val="left"/>
      </w:pPr>
      <w:bookmarkStart w:id="18" w:name="Opinion"/>
      <w:bookmarkEnd w:id="1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0"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19" w:name="Bookmark_para_3"/>
      <w:bookmarkEnd w:id="19"/>
      <w:r>
        <w:rPr>
          <w:rFonts w:ascii="arial" w:eastAsia="arial" w:hAnsi="arial" w:cs="arial"/>
          <w:b w:val="0"/>
          <w:i w:val="0"/>
          <w:strike w:val="0"/>
          <w:noProof w:val="0"/>
          <w:color w:val="000000"/>
          <w:position w:val="0"/>
          <w:sz w:val="20"/>
          <w:u w:val="none"/>
          <w:vertAlign w:val="baseline"/>
        </w:rPr>
        <w:t>As part of Operation Lone Star, Jose Antonio-Santiago, a noncitizen, was arrested for trespassing on private property in Webb County. He filed an application for writ of habeas corpus seeking dismissal of the criminal charge based on a violation of his state and federal rights to equal protection. After holding two evidentiary hearings, the trial court denied the requested relief. Antonio-Santiago appeals. In light of intervening caselaw from our court, we reverse and remand.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20" w:name="Bookmark_para_4"/>
      <w:bookmarkEnd w:id="20"/>
      <w:bookmarkStart w:id="21" w:name="Bookmark_I692SW8F2D6MX70020000400"/>
      <w:bookmarkEnd w:id="21"/>
      <w:r>
        <w:rPr>
          <w:rFonts w:ascii="arial" w:eastAsia="arial" w:hAnsi="arial" w:cs="arial"/>
          <w:b w:val="0"/>
          <w:i w:val="0"/>
          <w:strike w:val="0"/>
          <w:noProof w:val="0"/>
          <w:color w:val="000000"/>
          <w:position w:val="0"/>
          <w:sz w:val="20"/>
          <w:u w:val="none"/>
          <w:vertAlign w:val="baseline"/>
        </w:rPr>
        <w:t>"Since March 2021, by the direction of Governor Abbott, the Texas Department of Public Safety has been committed to deterring illegal border crossings by arresting migrants for misdemeanor trespass or felony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depending on the circumstances of the arrests." </w:t>
      </w:r>
      <w:bookmarkStart w:id="22" w:name="Bookmark_I692SW8F2D6MX70010000400"/>
      <w:bookmarkEnd w:id="22"/>
      <w:hyperlink r:id="rId13" w:history="1">
        <w:r>
          <w:rPr>
            <w:rFonts w:ascii="arial" w:eastAsia="arial" w:hAnsi="arial" w:cs="arial"/>
            <w:b w:val="0"/>
            <w:i/>
            <w:strike w:val="0"/>
            <w:noProof w:val="0"/>
            <w:color w:val="0077CC"/>
            <w:position w:val="0"/>
            <w:sz w:val="20"/>
            <w:u w:val="single"/>
            <w:vertAlign w:val="baseline"/>
          </w:rPr>
          <w:t>State v. Del Campo-Chavez</w:t>
        </w:r>
      </w:hyperlink>
      <w:hyperlink r:id="rId13" w:history="1">
        <w:r>
          <w:rPr>
            <w:rFonts w:ascii="arial" w:eastAsia="arial" w:hAnsi="arial" w:cs="arial"/>
            <w:b w:val="0"/>
            <w:i/>
            <w:strike w:val="0"/>
            <w:noProof w:val="0"/>
            <w:color w:val="0077CC"/>
            <w:position w:val="0"/>
            <w:sz w:val="20"/>
            <w:u w:val="single"/>
            <w:vertAlign w:val="baseline"/>
          </w:rPr>
          <w:t>, 674 S.W.3d 714, No. 04-22-00737-CR, 2023 Tex. App. LEXIS 5725, 2023 WL 4916433, at *1 (Tex. App.—San Antonio Aug. 2, 2023, no pet. h.)</w:t>
        </w:r>
      </w:hyperlink>
      <w:r>
        <w:rPr>
          <w:rFonts w:ascii="arial" w:eastAsia="arial" w:hAnsi="arial" w:cs="arial"/>
          <w:b w:val="0"/>
          <w:i w:val="0"/>
          <w:strike w:val="0"/>
          <w:noProof w:val="0"/>
          <w:color w:val="000000"/>
          <w:position w:val="0"/>
          <w:sz w:val="20"/>
          <w:u w:val="none"/>
          <w:vertAlign w:val="baseline"/>
        </w:rPr>
        <w:t xml:space="preserve">. "The endeavor is called Operation Lone Star."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part of OLS, Antonio-Santiago was arrested for criminal trespass.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TEX. PENAL CODE § 30.05(a)</w:t>
      </w:r>
      <w:r>
        <w:rPr>
          <w:rFonts w:ascii="arial" w:eastAsia="arial" w:hAnsi="arial" w:cs="arial"/>
          <w:b w:val="0"/>
          <w:i w:val="0"/>
          <w:strike w:val="0"/>
          <w:noProof w:val="0"/>
          <w:color w:val="000000"/>
          <w:position w:val="0"/>
          <w:sz w:val="20"/>
          <w:u w:val="none"/>
          <w:vertAlign w:val="baseline"/>
        </w:rPr>
        <w:t>. Antonio-Santiago was released on a cash bond to Immigration and Customs Enforcement and deported to Mexico. He filed a pretrial application for writ of habeas corpus, arguing that the State's practice of prosecuting men, but not women, for criminal trespass as part of Operation Lone Star violated his federal and state constitutional rights to equal protection.</w:t>
      </w:r>
    </w:p>
    <w:p>
      <w:pPr>
        <w:keepNext w:val="0"/>
        <w:spacing w:before="200" w:after="0" w:line="260" w:lineRule="atLeast"/>
        <w:ind w:left="0" w:right="0" w:firstLine="0"/>
        <w:jc w:val="both"/>
      </w:pPr>
      <w:bookmarkStart w:id="23" w:name="Bookmark_para_5"/>
      <w:bookmarkEnd w:id="23"/>
      <w:r>
        <w:rPr>
          <w:rFonts w:ascii="arial" w:eastAsia="arial" w:hAnsi="arial" w:cs="arial"/>
          <w:b w:val="0"/>
          <w:i w:val="0"/>
          <w:strike w:val="0"/>
          <w:noProof w:val="0"/>
          <w:color w:val="000000"/>
          <w:position w:val="0"/>
          <w:sz w:val="20"/>
          <w:u w:val="none"/>
          <w:vertAlign w:val="baseline"/>
        </w:rPr>
        <w:t>The trial court held two Zoom hearings, one on August 19, 2022 and the second on September 16, 2022. Antonio-Santiago appeared from Mexico for the first but did not appear for the second.</w:t>
      </w:r>
    </w:p>
    <w:p>
      <w:pPr>
        <w:keepNext w:val="0"/>
        <w:spacing w:before="200" w:after="0" w:line="260" w:lineRule="atLeast"/>
        <w:ind w:left="0" w:right="0" w:firstLine="0"/>
        <w:jc w:val="both"/>
      </w:pPr>
      <w:bookmarkStart w:id="24" w:name="Bookmark_para_6"/>
      <w:bookmarkEnd w:id="24"/>
      <w:r>
        <w:rPr>
          <w:rFonts w:ascii="arial" w:eastAsia="arial" w:hAnsi="arial" w:cs="arial"/>
          <w:b w:val="0"/>
          <w:i w:val="0"/>
          <w:strike w:val="0"/>
          <w:noProof w:val="0"/>
          <w:color w:val="000000"/>
          <w:position w:val="0"/>
          <w:sz w:val="20"/>
          <w:u w:val="none"/>
          <w:vertAlign w:val="baseline"/>
        </w:rPr>
        <w:t>At the August 19, 2022 hearing, Claudia Molina of the Lubbock Private Defender's Office testified as to the process through which an individual who is arrested for criminal trespass under OLS obtains appointment of counsel. According to Molina, the Lubbock Private Defender's Office was awarded a grant by the Texas Indigent Defense Commission to appoint counsel to represent individuals who were arrested under OLS. Molina testified that this appointment process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includes OLS cases from six counties: "Jim Hogg, Maverick, Webb, Zapata, Kinney, and Val Verde." According to Molina, most of the appointments are for criminal trespass cases; some are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cases. As part of OLS, the LPDO began appointing counsel in July or August of 2021.</w:t>
      </w:r>
    </w:p>
    <w:p>
      <w:pPr>
        <w:keepNext w:val="0"/>
        <w:spacing w:before="200" w:after="0" w:line="260" w:lineRule="atLeast"/>
        <w:ind w:left="0" w:right="0" w:firstLine="0"/>
        <w:jc w:val="both"/>
      </w:pPr>
      <w:bookmarkStart w:id="25" w:name="Bookmark_para_7"/>
      <w:bookmarkEnd w:id="25"/>
      <w:r>
        <w:rPr>
          <w:rFonts w:ascii="arial" w:eastAsia="arial" w:hAnsi="arial" w:cs="arial"/>
          <w:b w:val="0"/>
          <w:i w:val="0"/>
          <w:strike w:val="0"/>
          <w:noProof w:val="0"/>
          <w:color w:val="000000"/>
          <w:position w:val="0"/>
          <w:sz w:val="20"/>
          <w:u w:val="none"/>
          <w:vertAlign w:val="baseline"/>
        </w:rPr>
        <w:t>Molina testified that she is currently an assignment supervisor for OLS cases and was previously an OLS client advocate. She has "easily answered about five hundred direct client phone calls, same with family calls," "had over a hundred direct zoom meetings with clients," and made "over three hundred appear[ances in] court." She testified that she is unaware of any women who have been prosecuted for misdemeanor trespass as part of OLS.</w:t>
      </w:r>
    </w:p>
    <w:p>
      <w:pPr>
        <w:keepNext w:val="0"/>
        <w:spacing w:before="200" w:after="0" w:line="260" w:lineRule="atLeast"/>
        <w:ind w:left="0" w:right="0" w:firstLine="0"/>
        <w:jc w:val="both"/>
      </w:pPr>
      <w:bookmarkStart w:id="26" w:name="Bookmark_para_8"/>
      <w:bookmarkEnd w:id="26"/>
      <w:r>
        <w:rPr>
          <w:rFonts w:ascii="arial" w:eastAsia="arial" w:hAnsi="arial" w:cs="arial"/>
          <w:b w:val="0"/>
          <w:i w:val="0"/>
          <w:strike w:val="0"/>
          <w:noProof w:val="0"/>
          <w:color w:val="000000"/>
          <w:position w:val="0"/>
          <w:sz w:val="20"/>
          <w:u w:val="none"/>
          <w:vertAlign w:val="baseline"/>
        </w:rPr>
        <w:t>Molina stated that she generated a report of OLS cases that were appointed counsel through the LPDO as of August 17, 2022. There were "about [] six thousand" OLS cases, "a little over five thousand five hundred" of which were misdemeanor trespass cases. None of the misdemeanor trespass defendants were women. As for Webb County, the LPDO had begun defending cases there as of July 25, 2022. As of August 17, 2022, there were fifty-five OLS cases total out of Webb County,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including Antonio-Santiago and the men who were arrested the same day he was. Molina testified the only OLS cases where the LPDO had appointed counsel to women under OLS involved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DPS Trooper Juan Antonio Juarez testified about arresting Antonio-Santiago. On the night of July 26, 2022, he found a group of six people trespassing on the Richter Farm—five men, including Antonio-Santiago, and one woman. Juarez asked them if they had permission to be on the Richter Farm; they said no. All were handcuffed. The men were transported to the Jim Hogg Temporary Processing Facility; the woman "was taken by U.S. Border Patrol."</w:t>
      </w:r>
    </w:p>
    <w:p>
      <w:pPr>
        <w:keepNext w:val="0"/>
        <w:spacing w:before="200" w:after="0" w:line="260" w:lineRule="atLeast"/>
        <w:ind w:left="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Juarez testified that outside of OLS, trespassers are given a citation or taken to the local jail, whether men or women. But in OLS cases, the men arrested for criminal trespass are taken to the Jim Hogg Temporary Processing Facility, and the women are referred to border patrol. On cross-examination, Juarez stated that sometimes the jail rejects arrestees, for instance, for medical reasons. With OLS arrests, however, he had not encountered that.</w:t>
      </w:r>
    </w:p>
    <w:p>
      <w:pPr>
        <w:keepNext w:val="0"/>
        <w:spacing w:before="200" w:after="0" w:line="260" w:lineRule="atLeast"/>
        <w:ind w:left="0" w:right="0" w:firstLine="0"/>
        <w:jc w:val="both"/>
      </w:pPr>
      <w:bookmarkStart w:id="29" w:name="Bookmark_para_11"/>
      <w:bookmarkEnd w:id="29"/>
      <w:r>
        <w:rPr>
          <w:rFonts w:ascii="arial" w:eastAsia="arial" w:hAnsi="arial" w:cs="arial"/>
          <w:b w:val="0"/>
          <w:i w:val="0"/>
          <w:strike w:val="0"/>
          <w:noProof w:val="0"/>
          <w:color w:val="000000"/>
          <w:position w:val="0"/>
          <w:sz w:val="20"/>
          <w:u w:val="none"/>
          <w:vertAlign w:val="baseline"/>
        </w:rPr>
        <w:t>Defense counsel read into the record a stipulation with the State that "women are not prosecuted for trespass as part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Operation Lone Star even when they're found trespassing," as well as a defense stipulation that "women require separate housing and staffing from adult male detainees." The State argued that the selective prosecution claim was not cognizable, and that Antonio-Santiago had not met his burden to prove "invidious intent," but even if he had, the discriminatory actions were justified under intermediate scrutiny because the "facilities and resources that we have cannot accommodate every single trespassing." The trial court asked for a brief from the State and took the motion under advisement.</w:t>
      </w:r>
    </w:p>
    <w:p>
      <w:pPr>
        <w:keepNext w:val="0"/>
        <w:spacing w:before="200" w:after="0" w:line="260" w:lineRule="atLeast"/>
        <w:ind w:left="0" w:right="0" w:firstLine="0"/>
        <w:jc w:val="both"/>
      </w:pPr>
      <w:bookmarkStart w:id="30" w:name="Bookmark_para_12"/>
      <w:bookmarkEnd w:id="30"/>
      <w:r>
        <w:rPr>
          <w:rFonts w:ascii="arial" w:eastAsia="arial" w:hAnsi="arial" w:cs="arial"/>
          <w:b w:val="0"/>
          <w:i w:val="0"/>
          <w:strike w:val="0"/>
          <w:noProof w:val="0"/>
          <w:color w:val="000000"/>
          <w:position w:val="0"/>
          <w:sz w:val="20"/>
          <w:u w:val="none"/>
          <w:vertAlign w:val="baseline"/>
        </w:rPr>
        <w:t>The trial court held another hearing on September 16, 2022; at which Claudia Molina and Juan Antonio Juarez testified much as they had at the August hearing. In addition, Sergeant Brittany Pacheco from the Texas Department of Criminal Justice's Segovia Unit testified that all the defendants at the Segovia Unit have been charged with criminal trespass as part of OLS. Although the Segovia Unit is in Hidalgo County, it houses defendants who are arrested in other counties. After arrest, OLS defendants are magistrated at either the Val Verde Processing Center or the Jim Hogg Processing Center before being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sent to the Segovia Unit. Some arrestees arrive at the Segovia Unit with detainers from the U.S. Immigration and Customs Enforcement. If an arrestee with an ICE detainer posts a bond, "ICE sends someone to Segovia to pick up the individual." But if there is not an ICE detainer, Juarez testified they would contact border patrol "to come pick up the individual" after "it's determined that the individual does not have the legal status."</w:t>
      </w:r>
    </w:p>
    <w:p>
      <w:pPr>
        <w:keepNext w:val="0"/>
        <w:spacing w:before="200" w:after="0" w:line="260" w:lineRule="atLeast"/>
        <w:ind w:left="0" w:right="0" w:firstLine="0"/>
        <w:jc w:val="both"/>
      </w:pPr>
      <w:bookmarkStart w:id="31" w:name="Bookmark_para_13"/>
      <w:bookmarkEnd w:id="31"/>
      <w:r>
        <w:rPr>
          <w:rFonts w:ascii="arial" w:eastAsia="arial" w:hAnsi="arial" w:cs="arial"/>
          <w:b w:val="0"/>
          <w:i w:val="0"/>
          <w:strike w:val="0"/>
          <w:noProof w:val="0"/>
          <w:color w:val="000000"/>
          <w:position w:val="0"/>
          <w:sz w:val="20"/>
          <w:u w:val="none"/>
          <w:vertAlign w:val="baseline"/>
        </w:rPr>
        <w:t>ICE had issued a detainer for Antonio-Santiago. The State argued: Antonio-Santiago had not put on any evidence that males and females are similarly situated for the purposes of criminal trespasses; prosecutors do not abuse their discretion in considering the available housing and staffing in deciding who to prosecute; the State does not prosecute juvenile males or males with medical problems; and the claim is not cognizable in the first place. The trial court denied habeas relief. Antonio-Santiago appeals.</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Standard of Review</w:t>
      </w:r>
    </w:p>
    <w:p>
      <w:pPr>
        <w:keepNext w:val="0"/>
        <w:spacing w:before="200" w:after="0" w:line="260" w:lineRule="atLeast"/>
        <w:ind w:left="0" w:right="0" w:firstLine="0"/>
        <w:jc w:val="both"/>
      </w:pPr>
      <w:bookmarkStart w:id="32" w:name="Bookmark_para_14"/>
      <w:bookmarkEnd w:id="32"/>
      <w:bookmarkStart w:id="33" w:name="Bookmark_LNHNREFclscc1"/>
      <w:bookmarkEnd w:id="33"/>
      <w:hyperlink r:id="rId1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1"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bookmarkStart w:id="34" w:name="Bookmark_I692SW8F2D6MX70040000400"/>
      <w:bookmarkEnd w:id="34"/>
      <w:bookmarkStart w:id="35" w:name="Bookmark_I692SW8G2HM5WF0010000400"/>
      <w:bookmarkEnd w:id="35"/>
      <w:r>
        <w:rPr>
          <w:rFonts w:ascii="arial" w:eastAsia="arial" w:hAnsi="arial" w:cs="arial"/>
          <w:b w:val="0"/>
          <w:i w:val="0"/>
          <w:strike w:val="0"/>
          <w:noProof w:val="0"/>
          <w:color w:val="000000"/>
          <w:position w:val="0"/>
          <w:sz w:val="20"/>
          <w:u w:val="none"/>
          <w:vertAlign w:val="baseline"/>
        </w:rPr>
        <w:t xml:space="preserve">"In reviewing a trial court's decision to grant or deny habeas corpus relief, we defer to the trial court's assessment of the facts when those facts turn on an evaluation of credibility and demeanor." </w:t>
      </w:r>
      <w:bookmarkStart w:id="36" w:name="Bookmark_I692SW8F2D6MX70030000400"/>
      <w:bookmarkEnd w:id="36"/>
      <w:hyperlink r:id="rId16" w:history="1">
        <w:r>
          <w:rPr>
            <w:rFonts w:ascii="arial" w:eastAsia="arial" w:hAnsi="arial" w:cs="arial"/>
            <w:b w:val="0"/>
            <w:i/>
            <w:strike w:val="0"/>
            <w:noProof w:val="0"/>
            <w:color w:val="0077CC"/>
            <w:position w:val="0"/>
            <w:sz w:val="20"/>
            <w:u w:val="single"/>
            <w:vertAlign w:val="baseline"/>
          </w:rPr>
          <w:t>Ex parte Aparicio</w:t>
        </w:r>
      </w:hyperlink>
      <w:hyperlink r:id="rId16" w:history="1">
        <w:r>
          <w:rPr>
            <w:rFonts w:ascii="arial" w:eastAsia="arial" w:hAnsi="arial" w:cs="arial"/>
            <w:b w:val="0"/>
            <w:i/>
            <w:strike w:val="0"/>
            <w:noProof w:val="0"/>
            <w:color w:val="0077CC"/>
            <w:position w:val="0"/>
            <w:sz w:val="20"/>
            <w:u w:val="single"/>
            <w:vertAlign w:val="baseline"/>
          </w:rPr>
          <w:t>, 672 S.W.3d 696, No. 04-22-00623-CR, 2023 Tex. App. LEXIS 4303, 2023 WL 4095939, at *6 (Tex. App.—San Antonio June 21, 2023, pet. filed)</w:t>
        </w:r>
      </w:hyperlink>
      <w:r>
        <w:rPr>
          <w:rFonts w:ascii="arial" w:eastAsia="arial" w:hAnsi="arial" w:cs="arial"/>
          <w:b w:val="0"/>
          <w:i w:val="0"/>
          <w:strike w:val="0"/>
          <w:noProof w:val="0"/>
          <w:color w:val="000000"/>
          <w:position w:val="0"/>
          <w:sz w:val="20"/>
          <w:u w:val="none"/>
          <w:vertAlign w:val="baseline"/>
        </w:rPr>
        <w:t xml:space="preserve"> (en banc). "Thus, we view</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facts in the light most favorable to the court's ruling and will uphold it absent an abuse of discretion."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afford almost total deference to the trial court's determination of historical facts that are supported by the record, and to mixed questions of law and fact, when the resolution of those questions turn[s] on evaluations of credibility and demeanor." </w:t>
      </w:r>
      <w:bookmarkStart w:id="37" w:name="Bookmark_I692SW8F2D6MX70050000400"/>
      <w:bookmarkEnd w:id="37"/>
      <w:hyperlink r:id="rId17" w:history="1">
        <w:r>
          <w:rPr>
            <w:rFonts w:ascii="arial" w:eastAsia="arial" w:hAnsi="arial" w:cs="arial"/>
            <w:b w:val="0"/>
            <w:i/>
            <w:strike w:val="0"/>
            <w:noProof w:val="0"/>
            <w:color w:val="0077CC"/>
            <w:position w:val="0"/>
            <w:sz w:val="20"/>
            <w:u w:val="single"/>
            <w:vertAlign w:val="baseline"/>
          </w:rPr>
          <w:t>Ex parte Perusquia</w:t>
        </w:r>
      </w:hyperlink>
      <w:hyperlink r:id="rId17" w:history="1">
        <w:r>
          <w:rPr>
            <w:rFonts w:ascii="arial" w:eastAsia="arial" w:hAnsi="arial" w:cs="arial"/>
            <w:b w:val="0"/>
            <w:i/>
            <w:strike w:val="0"/>
            <w:noProof w:val="0"/>
            <w:color w:val="0077CC"/>
            <w:position w:val="0"/>
            <w:sz w:val="20"/>
            <w:u w:val="single"/>
            <w:vertAlign w:val="baseline"/>
          </w:rPr>
          <w:t>, 336 S.W.3d 270, 275 (Tex. App.—San Antonio 2010, pet. ref'd)</w:t>
        </w:r>
      </w:hyperlink>
      <w:r>
        <w:rPr>
          <w:rFonts w:ascii="arial" w:eastAsia="arial" w:hAnsi="arial" w:cs="arial"/>
          <w:b w:val="0"/>
          <w:i w:val="0"/>
          <w:strike w:val="0"/>
          <w:noProof w:val="0"/>
          <w:color w:val="000000"/>
          <w:position w:val="0"/>
          <w:sz w:val="20"/>
          <w:u w:val="none"/>
          <w:vertAlign w:val="baseline"/>
        </w:rPr>
        <w:t xml:space="preserve">. "If the resolution of the ultimate question turns on an application of the law, we review the determination de novo."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Applicable Law</w:t>
      </w:r>
    </w:p>
    <w:p>
      <w:pPr>
        <w:keepNext w:val="0"/>
        <w:spacing w:before="200" w:after="0" w:line="260" w:lineRule="atLeast"/>
        <w:ind w:left="0" w:right="0" w:firstLine="0"/>
        <w:jc w:val="both"/>
      </w:pPr>
      <w:bookmarkStart w:id="38" w:name="Bookmark_para_15"/>
      <w:bookmarkEnd w:id="38"/>
      <w:bookmarkStart w:id="39" w:name="Bookmark_LNHNREFclscc2"/>
      <w:bookmarkEnd w:id="39"/>
      <w:hyperlink r:id="rId1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2"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bookmarkStart w:id="40" w:name="Bookmark_I692SW8G2HM5WF0030000400"/>
      <w:bookmarkEnd w:id="40"/>
      <w:bookmarkStart w:id="41" w:name="Bookmark_I692SW8G2HM5WF0050000400"/>
      <w:bookmarkEnd w:id="41"/>
      <w:r>
        <w:rPr>
          <w:rFonts w:ascii="arial" w:eastAsia="arial" w:hAnsi="arial" w:cs="arial"/>
          <w:b w:val="0"/>
          <w:i w:val="0"/>
          <w:strike w:val="0"/>
          <w:noProof w:val="0"/>
          <w:color w:val="000000"/>
          <w:position w:val="0"/>
          <w:sz w:val="20"/>
          <w:u w:val="none"/>
          <w:vertAlign w:val="baseline"/>
        </w:rPr>
        <w:t xml:space="preserve">To support the elements of a selective prosecution defense, a defendant must prove that the prosecutorial policy had both a discriminatory effect and a discriminatory intent. </w:t>
      </w:r>
      <w:bookmarkStart w:id="42" w:name="Bookmark_I692SW8G2HM5WF0020000400"/>
      <w:bookmarkEnd w:id="42"/>
      <w:hyperlink r:id="rId19" w:history="1">
        <w:r>
          <w:rPr>
            <w:rFonts w:ascii="arial" w:eastAsia="arial" w:hAnsi="arial" w:cs="arial"/>
            <w:b w:val="0"/>
            <w:i/>
            <w:strike w:val="0"/>
            <w:noProof w:val="0"/>
            <w:color w:val="0077CC"/>
            <w:position w:val="0"/>
            <w:sz w:val="20"/>
            <w:u w:val="single"/>
            <w:vertAlign w:val="baseline"/>
          </w:rPr>
          <w:t>United States v. Armstrong</w:t>
        </w:r>
      </w:hyperlink>
      <w:hyperlink r:id="rId19" w:history="1">
        <w:r>
          <w:rPr>
            <w:rFonts w:ascii="arial" w:eastAsia="arial" w:hAnsi="arial" w:cs="arial"/>
            <w:b w:val="0"/>
            <w:i/>
            <w:strike w:val="0"/>
            <w:noProof w:val="0"/>
            <w:color w:val="0077CC"/>
            <w:position w:val="0"/>
            <w:sz w:val="20"/>
            <w:u w:val="single"/>
            <w:vertAlign w:val="baseline"/>
          </w:rPr>
          <w:t>, 517 U.S. 456, 465, 116 S. Ct. 1480, 134 L. Ed. 2d 687 (1996)</w:t>
        </w:r>
      </w:hyperlink>
      <w:r>
        <w:rPr>
          <w:rFonts w:ascii="arial" w:eastAsia="arial" w:hAnsi="arial" w:cs="arial"/>
          <w:b w:val="0"/>
          <w:i w:val="0"/>
          <w:strike w:val="0"/>
          <w:noProof w:val="0"/>
          <w:color w:val="000000"/>
          <w:position w:val="0"/>
          <w:sz w:val="20"/>
          <w:u w:val="none"/>
          <w:vertAlign w:val="baseline"/>
        </w:rPr>
        <w:t xml:space="preserve"> (requirements for claim draw on "ordinary equal protection standards"). "To establish a discriminatory effect in a case based on gender discrimination, the defendant must show similarly situated individuals of the opposite sex were not prosecuted for the same conduct." </w:t>
      </w:r>
      <w:bookmarkStart w:id="43" w:name="Bookmark_I692SW8G2HM5WF0040000400"/>
      <w:bookmarkEnd w:id="43"/>
      <w:hyperlink r:id="rId13" w:history="1">
        <w:r>
          <w:rPr>
            <w:rFonts w:ascii="arial" w:eastAsia="arial" w:hAnsi="arial" w:cs="arial"/>
            <w:b w:val="0"/>
            <w:i/>
            <w:strike w:val="0"/>
            <w:noProof w:val="0"/>
            <w:color w:val="0077CC"/>
            <w:position w:val="0"/>
            <w:sz w:val="20"/>
            <w:u w:val="single"/>
            <w:vertAlign w:val="baseline"/>
          </w:rPr>
          <w:t>Ex parte Aparicio</w:t>
        </w:r>
      </w:hyperlink>
      <w:hyperlink r:id="rId13" w:history="1">
        <w:r>
          <w:rPr>
            <w:rFonts w:ascii="arial" w:eastAsia="arial" w:hAnsi="arial" w:cs="arial"/>
            <w:b w:val="0"/>
            <w:i/>
            <w:strike w:val="0"/>
            <w:noProof w:val="0"/>
            <w:color w:val="0077CC"/>
            <w:position w:val="0"/>
            <w:sz w:val="20"/>
            <w:u w:val="single"/>
            <w:vertAlign w:val="baseline"/>
          </w:rPr>
          <w:t>, 2023 Tex. App. LEXIS 4303, 2023 WL 4095939, at *7</w:t>
        </w:r>
      </w:hyperlink>
      <w:r>
        <w:rPr>
          <w:rFonts w:ascii="arial" w:eastAsia="arial" w:hAnsi="arial" w:cs="arial"/>
          <w:b w:val="0"/>
          <w:i w:val="0"/>
          <w:strike w:val="0"/>
          <w:noProof w:val="0"/>
          <w:color w:val="000000"/>
          <w:position w:val="0"/>
          <w:sz w:val="20"/>
          <w:u w:val="none"/>
          <w:vertAlign w:val="baseline"/>
        </w:rPr>
        <w:t>. To demonstrate that the selective treatment was motivated by a discriminatory purpose, the defendant must show that the government's selection of the defendant for prosecution was based on an impermissible consideration, such as race, religion,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or sex.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"Once the defendant establishes a prima facie case of selective prosecution in violation of equal protections rights, the burden shifts to the State to justify the discriminatory treatment."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4" w:name="Bookmark_para_16"/>
      <w:bookmarkEnd w:id="44"/>
      <w:bookmarkStart w:id="45" w:name="Bookmark_I2D7CP5WM4D000068DM00001"/>
      <w:bookmarkEnd w:id="45"/>
      <w:bookmarkStart w:id="46" w:name="Bookmark_I692SW8G2HM5WH0020000400"/>
      <w:bookmarkEnd w:id="46"/>
      <w:bookmarkStart w:id="47" w:name="Bookmark_I692SW8G2HM5WH0040000400"/>
      <w:bookmarkEnd w:id="47"/>
      <w:bookmarkStart w:id="48" w:name="Bookmark_I692SW8G2N1PRH0010000400"/>
      <w:bookmarkEnd w:id="4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Ex parte Aparicio</w:t>
      </w:r>
      <w:r>
        <w:rPr>
          <w:rFonts w:ascii="arial" w:eastAsia="arial" w:hAnsi="arial" w:cs="arial"/>
          <w:b w:val="0"/>
          <w:i w:val="0"/>
          <w:strike w:val="0"/>
          <w:noProof w:val="0"/>
          <w:color w:val="000000"/>
          <w:position w:val="0"/>
          <w:sz w:val="20"/>
          <w:u w:val="none"/>
          <w:vertAlign w:val="baseline"/>
        </w:rPr>
        <w:t xml:space="preserve">, we considered the argument that male defendants charged with misdemeanor trespass as part of OLS were being selectively prosecuted along gender lines in violation of their federal and state constitutional rights to equal protection. </w:t>
      </w:r>
      <w:bookmarkStart w:id="49" w:name="Bookmark_I692SW8G2HM5WH0010000400"/>
      <w:bookmarkEnd w:id="49"/>
      <w:hyperlink r:id="rId16" w:history="1">
        <w:r>
          <w:rPr>
            <w:rFonts w:ascii="arial" w:eastAsia="arial" w:hAnsi="arial" w:cs="arial"/>
            <w:b w:val="0"/>
            <w:i/>
            <w:strike w:val="0"/>
            <w:noProof w:val="0"/>
            <w:color w:val="0077CC"/>
            <w:position w:val="0"/>
            <w:sz w:val="20"/>
            <w:u w:val="single"/>
            <w:vertAlign w:val="baseline"/>
          </w:rPr>
          <w:t>2023 Tex. App. LEXIS 4303, [WL] at *1</w:t>
        </w:r>
      </w:hyperlink>
      <w:r>
        <w:rPr>
          <w:rFonts w:ascii="arial" w:eastAsia="arial" w:hAnsi="arial" w:cs="arial"/>
          <w:b w:val="0"/>
          <w:i w:val="0"/>
          <w:strike w:val="0"/>
          <w:noProof w:val="0"/>
          <w:color w:val="000000"/>
          <w:position w:val="0"/>
          <w:sz w:val="20"/>
          <w:u w:val="none"/>
          <w:vertAlign w:val="baseline"/>
        </w:rPr>
        <w:t xml:space="preserve">. We concluded that Aparicio had raised a cognizable issue by pretrial writ of habeas corpus and made a prima facie claim for selective prosecution based on gender discrimination. </w:t>
      </w:r>
      <w:bookmarkStart w:id="50" w:name="Bookmark_I692SW8G2HM5WH0030000400"/>
      <w:bookmarkEnd w:id="50"/>
      <w:hyperlink r:id="rId16" w:history="1">
        <w:r>
          <w:rPr>
            <w:rFonts w:ascii="arial" w:eastAsia="arial" w:hAnsi="arial" w:cs="arial"/>
            <w:b w:val="0"/>
            <w:i/>
            <w:strike w:val="0"/>
            <w:noProof w:val="0"/>
            <w:color w:val="0077CC"/>
            <w:position w:val="0"/>
            <w:sz w:val="20"/>
            <w:u w:val="single"/>
            <w:vertAlign w:val="baseline"/>
          </w:rPr>
          <w:t>2023 Tex. App. LEXIS 4303, [WL] at *11, 13</w:t>
        </w:r>
      </w:hyperlink>
      <w:r>
        <w:rPr>
          <w:rFonts w:ascii="arial" w:eastAsia="arial" w:hAnsi="arial" w:cs="arial"/>
          <w:b w:val="0"/>
          <w:i w:val="0"/>
          <w:strike w:val="0"/>
          <w:noProof w:val="0"/>
          <w:color w:val="000000"/>
          <w:position w:val="0"/>
          <w:sz w:val="20"/>
          <w:u w:val="none"/>
          <w:vertAlign w:val="baseline"/>
        </w:rPr>
        <w:t xml:space="preserve">. We reversed the trial court's order denying habeas relief and remanded the cause to give the State an opportunity to meet its burden to justify the gender discrimination—an issue the trial court had not reached. </w:t>
      </w:r>
      <w:bookmarkStart w:id="51" w:name="Bookmark_I692SW8G2HM5WH0050000400"/>
      <w:bookmarkEnd w:id="51"/>
      <w:hyperlink r:id="rId16" w:history="1">
        <w:r>
          <w:rPr>
            <w:rFonts w:ascii="arial" w:eastAsia="arial" w:hAnsi="arial" w:cs="arial"/>
            <w:b w:val="0"/>
            <w:i/>
            <w:strike w:val="0"/>
            <w:noProof w:val="0"/>
            <w:color w:val="0077CC"/>
            <w:position w:val="0"/>
            <w:sz w:val="20"/>
            <w:u w:val="single"/>
            <w:vertAlign w:val="baseline"/>
          </w:rPr>
          <w:t>2023 Tex. App. LEXIS 4303, [WL] at *13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17"/>
      <w:bookmarkEnd w:id="52"/>
      <w:bookmarkStart w:id="53" w:name="Bookmark_I2D7CP5WYCF000068DM00002"/>
      <w:bookmarkEnd w:id="53"/>
      <w:bookmarkStart w:id="54" w:name="Bookmark_I692SW8G2N1PRH0030000400"/>
      <w:bookmarkEnd w:id="54"/>
      <w:bookmarkStart w:id="55" w:name="Bookmark_I692SW8G2N1PRH0050000400"/>
      <w:bookmarkEnd w:id="5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State v. Del Campo-Chavez</w:t>
      </w:r>
      <w:r>
        <w:rPr>
          <w:rFonts w:ascii="arial" w:eastAsia="arial" w:hAnsi="arial" w:cs="arial"/>
          <w:b w:val="0"/>
          <w:i w:val="0"/>
          <w:strike w:val="0"/>
          <w:noProof w:val="0"/>
          <w:color w:val="000000"/>
          <w:position w:val="0"/>
          <w:sz w:val="20"/>
          <w:u w:val="none"/>
          <w:vertAlign w:val="baseline"/>
        </w:rPr>
        <w:t xml:space="preserve">, we considered a State's appeal from a grant of habeas relief to a male OLS defendant who sought dismissal of his misdemeanor criminal trespass charge on equal protection grounds. </w:t>
      </w:r>
      <w:bookmarkStart w:id="56" w:name="Bookmark_I692SW8G2N1PRH0020000400"/>
      <w:bookmarkEnd w:id="56"/>
      <w:hyperlink r:id="rId13" w:history="1">
        <w:r>
          <w:rPr>
            <w:rFonts w:ascii="arial" w:eastAsia="arial" w:hAnsi="arial" w:cs="arial"/>
            <w:b w:val="0"/>
            <w:i/>
            <w:strike w:val="0"/>
            <w:noProof w:val="0"/>
            <w:color w:val="0077CC"/>
            <w:position w:val="0"/>
            <w:sz w:val="20"/>
            <w:u w:val="single"/>
            <w:vertAlign w:val="baseline"/>
          </w:rPr>
          <w:t>2023 Tex. App. LEXIS 5725, 2023 WL 4916433, at *1</w:t>
        </w:r>
      </w:hyperlink>
      <w:r>
        <w:rPr>
          <w:rFonts w:ascii="arial" w:eastAsia="arial" w:hAnsi="arial" w:cs="arial"/>
          <w:b w:val="0"/>
          <w:i w:val="0"/>
          <w:strike w:val="0"/>
          <w:noProof w:val="0"/>
          <w:color w:val="000000"/>
          <w:position w:val="0"/>
          <w:sz w:val="20"/>
          <w:u w:val="none"/>
          <w:vertAlign w:val="baseline"/>
        </w:rPr>
        <w:t xml:space="preserve">. As in </w:t>
      </w:r>
      <w:r>
        <w:rPr>
          <w:rFonts w:ascii="arial" w:eastAsia="arial" w:hAnsi="arial" w:cs="arial"/>
          <w:b w:val="0"/>
          <w:i/>
          <w:strike w:val="0"/>
          <w:noProof w:val="0"/>
          <w:color w:val="000000"/>
          <w:position w:val="0"/>
          <w:sz w:val="20"/>
          <w:u w:val="none"/>
          <w:vertAlign w:val="baseline"/>
        </w:rPr>
        <w:t>Ex parte Aparicio</w:t>
      </w:r>
      <w:r>
        <w:rPr>
          <w:rFonts w:ascii="arial" w:eastAsia="arial" w:hAnsi="arial" w:cs="arial"/>
          <w:b w:val="0"/>
          <w:i w:val="0"/>
          <w:strike w:val="0"/>
          <w:noProof w:val="0"/>
          <w:color w:val="000000"/>
          <w:position w:val="0"/>
          <w:sz w:val="20"/>
          <w:u w:val="none"/>
          <w:vertAlign w:val="baseline"/>
        </w:rPr>
        <w:t xml:space="preserve">, Del Campo-Chavez argued the State selectively prosecuted him on the basis of his gender. We relied on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i/>
          <w:strike w:val="0"/>
          <w:noProof w:val="0"/>
          <w:color w:val="000000"/>
          <w:position w:val="0"/>
          <w:sz w:val="20"/>
          <w:u w:val="none"/>
          <w:vertAlign w:val="baseline"/>
        </w:rPr>
        <w:t> [*9] </w:t>
      </w:r>
      <w:r>
        <w:rPr>
          <w:rFonts w:ascii="arial" w:eastAsia="arial" w:hAnsi="arial" w:cs="arial"/>
          <w:b w:val="0"/>
          <w:i/>
          <w:strike w:val="0"/>
          <w:noProof w:val="0"/>
          <w:color w:val="000000"/>
          <w:position w:val="0"/>
          <w:sz w:val="20"/>
          <w:u w:val="none"/>
          <w:vertAlign w:val="baseline"/>
        </w:rPr>
        <w:t xml:space="preserve"> Aparicio</w:t>
      </w:r>
      <w:r>
        <w:rPr>
          <w:rFonts w:ascii="arial" w:eastAsia="arial" w:hAnsi="arial" w:cs="arial"/>
          <w:b w:val="0"/>
          <w:i w:val="0"/>
          <w:strike w:val="0"/>
          <w:noProof w:val="0"/>
          <w:color w:val="000000"/>
          <w:position w:val="0"/>
          <w:sz w:val="20"/>
          <w:u w:val="none"/>
          <w:vertAlign w:val="baseline"/>
        </w:rPr>
        <w:t xml:space="preserve"> and affirmed. </w:t>
      </w:r>
      <w:bookmarkStart w:id="57" w:name="Bookmark_I692SW8G2N1PRH0040000400"/>
      <w:bookmarkEnd w:id="57"/>
      <w:hyperlink r:id="rId13" w:history="1">
        <w:r>
          <w:rPr>
            <w:rFonts w:ascii="arial" w:eastAsia="arial" w:hAnsi="arial" w:cs="arial"/>
            <w:b w:val="0"/>
            <w:i/>
            <w:strike w:val="0"/>
            <w:noProof w:val="0"/>
            <w:color w:val="0077CC"/>
            <w:position w:val="0"/>
            <w:sz w:val="20"/>
            <w:u w:val="single"/>
            <w:vertAlign w:val="baseline"/>
          </w:rPr>
          <w:t>2023 Tex. App. LEXIS 5725, [WL] at *2, 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Application</w:t>
      </w:r>
    </w:p>
    <w:p>
      <w:pPr>
        <w:keepNext w:val="0"/>
        <w:spacing w:before="200" w:after="0" w:line="260" w:lineRule="atLeast"/>
        <w:ind w:left="0" w:right="0" w:firstLine="0"/>
        <w:jc w:val="both"/>
      </w:pPr>
      <w:bookmarkStart w:id="58" w:name="Bookmark_para_18"/>
      <w:bookmarkEnd w:id="58"/>
      <w:r>
        <w:rPr>
          <w:rFonts w:ascii="arial" w:eastAsia="arial" w:hAnsi="arial" w:cs="arial"/>
          <w:b w:val="0"/>
          <w:i w:val="0"/>
          <w:strike w:val="0"/>
          <w:noProof w:val="0"/>
          <w:color w:val="000000"/>
          <w:position w:val="0"/>
          <w:sz w:val="20"/>
          <w:u w:val="none"/>
          <w:vertAlign w:val="baseline"/>
        </w:rPr>
        <w:t xml:space="preserve">The parties' claims, arguments, and evidence in this case mirror the claims, arguments, and evidence we addressed in </w:t>
      </w:r>
      <w:r>
        <w:rPr>
          <w:rFonts w:ascii="arial" w:eastAsia="arial" w:hAnsi="arial" w:cs="arial"/>
          <w:b w:val="0"/>
          <w:i/>
          <w:strike w:val="0"/>
          <w:noProof w:val="0"/>
          <w:color w:val="000000"/>
          <w:position w:val="0"/>
          <w:sz w:val="20"/>
          <w:u w:val="none"/>
          <w:vertAlign w:val="baseline"/>
        </w:rPr>
        <w:t>Ex parte Aparicio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State v. Del Campo-Chavez</w:t>
      </w:r>
      <w:r>
        <w:rPr>
          <w:rFonts w:ascii="arial" w:eastAsia="arial" w:hAnsi="arial" w:cs="arial"/>
          <w:b w:val="0"/>
          <w:i w:val="0"/>
          <w:strike w:val="0"/>
          <w:noProof w:val="0"/>
          <w:color w:val="000000"/>
          <w:position w:val="0"/>
          <w:sz w:val="20"/>
          <w:u w:val="none"/>
          <w:vertAlign w:val="baseline"/>
        </w:rPr>
        <w:t>. We therefore find that Antonio-Santiago, like Aparicio and Del Campo-Chavez, met his burden of showing a prima facie case for selective prosecution based on gender discrimination, and shifed the burden to the State to justify the gender discrimination.</w:t>
      </w:r>
    </w:p>
    <w:p>
      <w:pPr>
        <w:keepNext w:val="0"/>
        <w:spacing w:before="200" w:after="0" w:line="260" w:lineRule="atLeast"/>
        <w:ind w:left="0" w:right="0" w:firstLine="0"/>
        <w:jc w:val="both"/>
      </w:pPr>
      <w:bookmarkStart w:id="59" w:name="Bookmark_para_19"/>
      <w:bookmarkEnd w:id="59"/>
      <w:r>
        <w:rPr>
          <w:rFonts w:ascii="arial" w:eastAsia="arial" w:hAnsi="arial" w:cs="arial"/>
          <w:b w:val="0"/>
          <w:i w:val="0"/>
          <w:strike w:val="0"/>
          <w:noProof w:val="0"/>
          <w:color w:val="000000"/>
          <w:position w:val="0"/>
          <w:sz w:val="20"/>
          <w:u w:val="none"/>
          <w:vertAlign w:val="baseline"/>
        </w:rPr>
        <w:t>It is unclear from the record whether the trial court reached the merits of the selective prosecution claim or denied the claim on cognizability grounds. Because the basis for the trial court's ruling is unclear, and having found Antonio-Santiago met his burden of showing a prima facie claim, we remand this cause to give the trial court the opportunity to determine whether the State's discriminatory classification was justified under intermediate scrutiny (Antonio-Santiago's federal claim) and strict scrutiny (Antonio-Santiago's state claim). On remand, the trial court should require the State to respond to both federal and state selective-prosecution claims based on equal protection, and the trial court should make specific findings of</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fact and conclusions of law setting out its rulings on whether the State has met its burden of proof to justify its discriminatory treatment of Antonio-Santiago.</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60" w:name="Bookmark_para_20"/>
      <w:bookmarkEnd w:id="60"/>
      <w:r>
        <w:rPr>
          <w:rFonts w:ascii="arial" w:eastAsia="arial" w:hAnsi="arial" w:cs="arial"/>
          <w:b w:val="0"/>
          <w:i w:val="0"/>
          <w:strike w:val="0"/>
          <w:noProof w:val="0"/>
          <w:color w:val="000000"/>
          <w:position w:val="0"/>
          <w:sz w:val="20"/>
          <w:u w:val="none"/>
          <w:vertAlign w:val="baseline"/>
        </w:rPr>
        <w:t>We reverse the trial court's order denying Antonio-Santiago's petition for writ of habeas corpus and remand the cause to the trial court for further proceedings consistent with this opinion.</w:t>
      </w:r>
    </w:p>
    <w:p>
      <w:pPr>
        <w:keepNext w:val="0"/>
        <w:spacing w:before="200" w:after="0" w:line="260" w:lineRule="atLeast"/>
        <w:ind w:left="0" w:right="0" w:firstLine="0"/>
        <w:jc w:val="both"/>
      </w:pPr>
      <w:bookmarkStart w:id="61" w:name="Bookmark_para_21"/>
      <w:bookmarkEnd w:id="61"/>
      <w:r>
        <w:rPr>
          <w:rFonts w:ascii="arial" w:eastAsia="arial" w:hAnsi="arial" w:cs="arial"/>
          <w:b w:val="0"/>
          <w:i w:val="0"/>
          <w:strike w:val="0"/>
          <w:noProof w:val="0"/>
          <w:color w:val="000000"/>
          <w:position w:val="0"/>
          <w:sz w:val="20"/>
          <w:u w:val="none"/>
          <w:vertAlign w:val="baseline"/>
        </w:rPr>
        <w:t>Beth Watkins, Justice</w:t>
      </w:r>
    </w:p>
    <w:p>
      <w:pPr>
        <w:keepNext w:val="0"/>
        <w:spacing w:before="200" w:after="0" w:line="260" w:lineRule="atLeast"/>
        <w:ind w:left="0" w:right="0" w:firstLine="0"/>
        <w:jc w:val="both"/>
      </w:pPr>
      <w:bookmarkStart w:id="62" w:name="Bookmark_para_22"/>
      <w:bookmarkEnd w:id="62"/>
      <w:r>
        <w:rPr>
          <w:rFonts w:ascii="arial" w:eastAsia="arial" w:hAnsi="arial" w:cs="arial"/>
          <w:b w:val="0"/>
          <w:i w:val="0"/>
          <w:strike w:val="0"/>
          <w:noProof w:val="0"/>
          <w:color w:val="000000"/>
          <w:position w:val="0"/>
          <w:sz w:val="20"/>
          <w:u w:val="none"/>
          <w:vertAlign w:val="baseline"/>
        </w:rPr>
        <w:t>DO NOT PUBLISH</w:t>
      </w:r>
    </w:p>
    <w:p/>
    <w:p>
      <w:pPr>
        <w:ind w:left="200"/>
      </w:pPr>
      <w:r>
        <w:br/>
      </w:r>
      <w:r>
        <w:pict>
          <v:line id="_x0000_s103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 parte Antonio-Santiago, 2023 Tex. App. LEXIS 6751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92D-5X91-JB2B-S00C-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2D-5X91-JB2B-S00C-00000-00&amp;context=1519360&amp;link=LNHNREFclscc2" TargetMode="External" /><Relationship Id="rId13" Type="http://schemas.openxmlformats.org/officeDocument/2006/relationships/hyperlink" Target="https://advance.lexis.com/api/document?collection=cases&amp;id=urn:contentItem:68VF-0P01-F8KH-X506-00000-00&amp;context=1519360" TargetMode="External" /><Relationship Id="rId14" Type="http://schemas.openxmlformats.org/officeDocument/2006/relationships/hyperlink" Target="https://advance.lexis.com/api/document?collection=cases&amp;id=urn:contentItem:692D-5X91-JB2B-S00C-00000-00&amp;context=1519360&amp;link=clscc1" TargetMode="External" /><Relationship Id="rId15" Type="http://schemas.openxmlformats.org/officeDocument/2006/relationships/image" Target="media/image3.png" /><Relationship Id="rId16" Type="http://schemas.openxmlformats.org/officeDocument/2006/relationships/hyperlink" Target="https://advance.lexis.com/api/document?collection=cases&amp;id=urn:contentItem:68HG-6YR1-JBM1-M2J6-00000-00&amp;context=1519360" TargetMode="External" /><Relationship Id="rId17" Type="http://schemas.openxmlformats.org/officeDocument/2006/relationships/hyperlink" Target="https://advance.lexis.com/api/document?collection=cases&amp;id=urn:contentItem:51KB-KP01-652P-S00B-00000-00&amp;context=1519360" TargetMode="External" /><Relationship Id="rId18" Type="http://schemas.openxmlformats.org/officeDocument/2006/relationships/hyperlink" Target="https://advance.lexis.com/api/document?collection=cases&amp;id=urn:contentItem:692D-5X91-JB2B-S00C-00000-00&amp;context=1519360&amp;link=clscc2" TargetMode="External" /><Relationship Id="rId19" Type="http://schemas.openxmlformats.org/officeDocument/2006/relationships/hyperlink" Target="https://advance.lexis.com/api/document?collection=cases&amp;id=urn:contentItem:3S65-J820-003B-R4FS-00000-00&amp;context=1519360"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2D-5X91-JB2B-S00C-00000-00&amp;context=1519360" TargetMode="External" /><Relationship Id="rId9" Type="http://schemas.openxmlformats.org/officeDocument/2006/relationships/hyperlink" Target="https://advance.lexis.com/api/document?collection=cases&amp;id=urn:contentItem:69YY-7SY1-JN14-G42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 parte Antonio-Santiago, 2023 Tex. App. LEXIS 6751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Doc::urn:hlct:5|contextualFeaturePermID::1519360</vt:lpwstr>
  </property>
  <property fmtid="{D5CDD505-2E9C-101B-9397-08002B2CF9AE}" pid="5" name="UserPermID">
    <vt:lpwstr>urn:user:PA186186280</vt:lpwstr>
  </property>
</Properties>
</file>