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Matter of Mena v. Gutwein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New York, Appellate Division, Third Department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2023, Decided; May 25, 2023, Entered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535627</w:t>
      </w:r>
    </w:p>
    <w:p>
      <w:pPr>
        <w:keepNext w:val="0"/>
        <w:spacing w:after="0" w:line="240" w:lineRule="atLeast"/>
        <w:ind w:right="0"/>
        <w:jc w:val="both"/>
      </w:pPr>
      <w:bookmarkStart w:id="0" w:name="Bookmark_7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216 A.D.3d 1384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188 N.Y.S.3d 278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N.Y. App. Div. LEXIS 2830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NY Slip Op 02817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3631984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In the Matter of Jonathan Mena, Petitioner, v Eric Gutwein, as Hearing Officer for the Department of Corrections and Community Supervision, et al., Respondents.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Leave to appeal denied by </w:t>
      </w:r>
      <w:hyperlink r:id="rId9" w:history="1">
        <w:r>
          <w:rPr>
            <w:rFonts w:ascii="arial" w:eastAsia="arial" w:hAnsi="arial" w:cs="arial"/>
            <w:b w:val="0"/>
            <w:i/>
            <w:strike w:val="0"/>
            <w:noProof w:val="0"/>
            <w:color w:val="0077CC"/>
            <w:position w:val="0"/>
            <w:sz w:val="20"/>
            <w:u w:val="single"/>
            <w:vertAlign w:val="baseline"/>
          </w:rPr>
          <w:t>Matter of Jonathan Mena v. Eric Gutwein, etc., 2023 N.Y. LEXIS 1816 (N.Y., Oct. 24, 2023)</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val="0"/>
          <w:i w:val="0"/>
          <w:strike w:val="0"/>
          <w:noProof w:val="0"/>
          <w:color w:val="000000"/>
          <w:position w:val="0"/>
          <w:sz w:val="20"/>
          <w:u w:val="none"/>
          <w:vertAlign w:val="baseline"/>
        </w:rPr>
        <w:t>Proceeding pursuant to CPLR article 78</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(transferred to this Court by order of the Supreme Court, entered in Albany County) to review a determination of respondent Acting Commissioner of Corrections and Community Supervision finding petitioner guilty of violating certain prison disciplinary rules.</w:t>
      </w:r>
    </w:p>
    <w:p>
      <w:pPr>
        <w:keepNext/>
        <w:spacing w:before="240" w:after="0" w:line="340" w:lineRule="atLeast"/>
        <w:ind w:left="0" w:right="0" w:firstLine="0"/>
        <w:jc w:val="left"/>
      </w:pPr>
      <w:bookmarkStart w:id="5" w:name="Core Terms"/>
      <w:bookmarkEnd w:id="5"/>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misbehavior, contraband, possessing,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possess a weapon, drug possession, quotation, charges, liquid, marks, cell</w:t>
      </w:r>
    </w:p>
    <w:p>
      <w:pPr>
        <w:keepNext/>
        <w:spacing w:before="240" w:after="0" w:line="340" w:lineRule="atLeast"/>
        <w:ind w:left="0" w:right="0" w:firstLine="0"/>
        <w:jc w:val="left"/>
      </w:pPr>
      <w:bookmarkStart w:id="6" w:name="Headnotes/Summary"/>
      <w:bookmarkEnd w:id="6"/>
      <w:r>
        <w:rPr>
          <w:rFonts w:ascii="arial" w:eastAsia="arial" w:hAnsi="arial" w:cs="arial"/>
          <w:b/>
          <w:i w:val="0"/>
          <w:strike w:val="0"/>
          <w:noProof w:val="0"/>
          <w:color w:val="000000"/>
          <w:position w:val="0"/>
          <w:sz w:val="28"/>
          <w:u w:val="none"/>
          <w:vertAlign w:val="baseline"/>
        </w:rPr>
        <w:t>Headnotes/Summary</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bookmarkStart w:id="7" w:name="Headnotes"/>
      <w:bookmarkEnd w:id="7"/>
      <w:r>
        <w:rPr>
          <w:rFonts w:ascii="arial" w:eastAsia="arial" w:hAnsi="arial" w:cs="arial"/>
          <w:b/>
          <w:i w:val="0"/>
          <w:strike w:val="0"/>
          <w:noProof w:val="0"/>
          <w:color w:val="000000"/>
          <w:position w:val="0"/>
          <w:sz w:val="20"/>
          <w:u w:val="none"/>
          <w:vertAlign w:val="baseline"/>
        </w:rPr>
        <w:t>Headnotes</w:t>
      </w:r>
    </w:p>
    <w:p>
      <w:pPr>
        <w:keepNext w:val="0"/>
        <w:spacing w:before="240" w:after="0" w:line="260" w:lineRule="atLeast"/>
        <w:ind w:left="0" w:right="0" w:firstLine="0"/>
        <w:jc w:val="both"/>
      </w:pPr>
      <w:bookmarkStart w:id="8" w:name="Bookmark_hnpara_1"/>
      <w:bookmarkEnd w:id="8"/>
      <w:r>
        <w:rPr>
          <w:rFonts w:ascii="arial" w:eastAsia="arial" w:hAnsi="arial" w:cs="arial"/>
          <w:b/>
          <w:i w:val="0"/>
          <w:strike w:val="0"/>
          <w:noProof w:val="0"/>
          <w:color w:val="000000"/>
          <w:position w:val="0"/>
          <w:sz w:val="20"/>
          <w:u w:val="none"/>
          <w:vertAlign w:val="baseline"/>
        </w:rPr>
        <w:t xml:space="preserve">Prisons and Prisoners — Discipline of Inmates — Possessing Weapon, Possessing Contraband,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i w:val="0"/>
          <w:strike w:val="0"/>
          <w:noProof w:val="0"/>
          <w:color w:val="000000"/>
          <w:position w:val="0"/>
          <w:sz w:val="20"/>
          <w:u w:val="none"/>
          <w:vertAlign w:val="baseline"/>
        </w:rPr>
        <w:t xml:space="preserve"> — Prisons and Prisoners — Discipline of Inmates — Timely Completed Hearing and Unbiased Hearing Officer</w:t>
      </w:r>
    </w:p>
    <w:p>
      <w:pPr>
        <w:keepNext w:val="0"/>
        <w:spacing w:before="240" w:after="0" w:line="260" w:lineRule="atLeast"/>
        <w:ind w:left="0" w:right="0" w:firstLine="0"/>
        <w:jc w:val="left"/>
      </w:pPr>
      <w:bookmarkStart w:id="9" w:name="Counsel"/>
      <w:bookmarkEnd w:id="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Jonathan Mena, Malone, petitioner, Pro 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Letitia James, Attorney General, Albany (Beezly J. Kiernan of counsel), for respondents.</w:t>
      </w:r>
    </w:p>
    <w:p>
      <w:pPr>
        <w:keepNext w:val="0"/>
        <w:spacing w:before="240" w:after="0" w:line="260" w:lineRule="atLeast"/>
        <w:ind w:left="0" w:right="0" w:firstLine="0"/>
        <w:jc w:val="left"/>
      </w:pPr>
      <w:bookmarkStart w:id="10" w:name="Judges"/>
      <w:bookmarkEnd w:id="1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Clark, J.P., Aarons, Pritzker, Reynolds Fitzgerald and Ceresia, JJ. Clark, J.P., Aarons, Pritzker, Reynolds Fitzgerald and Ceresia, JJ., concur.</w:t>
      </w:r>
    </w:p>
    <w:p>
      <w:pPr>
        <w:keepNext/>
        <w:spacing w:before="240" w:after="0" w:line="340" w:lineRule="atLeast"/>
        <w:ind w:left="0" w:right="0" w:firstLine="0"/>
        <w:jc w:val="left"/>
      </w:pPr>
      <w:bookmarkStart w:id="11" w:name="Opinion"/>
      <w:bookmarkEnd w:id="1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8"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12" w:name="Bookmark_para_2"/>
      <w:bookmarkEnd w:id="12"/>
      <w:r>
        <w:rPr>
          <w:rFonts w:ascii="arial" w:eastAsia="arial" w:hAnsi="arial" w:cs="arial"/>
          <w:b/>
          <w:i w:val="0"/>
          <w:strike w:val="0"/>
          <w:noProof w:val="0"/>
          <w:color w:val="000000"/>
          <w:position w:val="0"/>
          <w:sz w:val="20"/>
          <w:u w:val="none"/>
          <w:vertAlign w:val="baseline"/>
        </w:rPr>
        <w:t> [*1384] </w:t>
      </w:r>
      <w:r>
        <w:rPr>
          <w:rFonts w:ascii="arial" w:eastAsia="arial" w:hAnsi="arial" w:cs="arial"/>
          <w:b/>
          <w:i w:val="0"/>
          <w:strike w:val="0"/>
          <w:noProof w:val="0"/>
          <w:color w:val="000000"/>
          <w:position w:val="0"/>
          <w:sz w:val="20"/>
          <w:u w:val="none"/>
          <w:vertAlign w:val="baseline"/>
        </w:rPr>
        <w:t> [**278] </w:t>
      </w:r>
      <w:r>
        <w:rPr>
          <w:rFonts w:ascii="arial" w:eastAsia="arial" w:hAnsi="arial" w:cs="arial"/>
          <w:b w:val="0"/>
          <w:i w:val="0"/>
          <w:strike w:val="0"/>
          <w:noProof w:val="0"/>
          <w:color w:val="000000"/>
          <w:position w:val="0"/>
          <w:sz w:val="20"/>
          <w:u w:val="none"/>
          <w:vertAlign w:val="baseline"/>
        </w:rPr>
        <w:t xml:space="preserve">  Petitioner was charged in a misbehavior report with possessing a weapon and possessing contraband after a metal shank and 30 20-ounce bottles of an unknown liquid were discovered </w:t>
      </w:r>
      <w:r>
        <w:rPr>
          <w:rFonts w:ascii="arial" w:eastAsia="arial" w:hAnsi="arial" w:cs="arial"/>
          <w:b/>
          <w:i w:val="0"/>
          <w:strike w:val="0"/>
          <w:noProof w:val="0"/>
          <w:color w:val="000000"/>
          <w:position w:val="0"/>
          <w:sz w:val="20"/>
          <w:u w:val="none"/>
          <w:vertAlign w:val="baseline"/>
        </w:rPr>
        <w:t> [*1385] </w:t>
      </w:r>
      <w:r>
        <w:rPr>
          <w:rFonts w:ascii="arial" w:eastAsia="arial" w:hAnsi="arial" w:cs="arial"/>
          <w:b w:val="0"/>
          <w:i w:val="0"/>
          <w:strike w:val="0"/>
          <w:noProof w:val="0"/>
          <w:color w:val="000000"/>
          <w:position w:val="0"/>
          <w:sz w:val="20"/>
          <w:u w:val="none"/>
          <w:vertAlign w:val="baseline"/>
        </w:rPr>
        <w:t xml:space="preserve"> in his cell. Following the search of his cell, petitioner was subjected to a strip frisk which led to the discovery of two bundles that petitioner pulled out of his waistband, one containing a green leafy substance and the other containing 51 pieces of paper soaked in a liquid substance. The substances on petitioner's person were identified as synthetic cannabinoids, and petitioner was charged in a second misbehavior report with possessing contraband, drug</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possession, drug distribution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Following a tier III disciplinary hearing, petitioner was found guilty of, as charged in the first misbehavior report, possessing a weapon and possessing contraband and guilty of possessing contraband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as charged in the second misbehavior report. Petitioner was found not guilty of the drug possession and drug distribution charges alleged in the second misbehavior report. Upon administrative appeal, the determination was affirmed with a modified penalty, and this CPLR article 78 proceeding ensued.</w:t>
      </w:r>
    </w:p>
    <w:p>
      <w:pPr>
        <w:keepNext w:val="0"/>
        <w:spacing w:before="240" w:after="0" w:line="260" w:lineRule="atLeast"/>
        <w:ind w:left="0" w:right="0" w:firstLine="0"/>
        <w:jc w:val="both"/>
      </w:pPr>
      <w:bookmarkStart w:id="13" w:name="Bookmark_para_3"/>
      <w:bookmarkEnd w:id="13"/>
      <w:bookmarkStart w:id="14" w:name="Bookmark_I68BHN6G2D6MS10020000400"/>
      <w:bookmarkEnd w:id="14"/>
      <w:bookmarkStart w:id="15" w:name="Bookmark_I68BHN6G2D6MS10040000400"/>
      <w:bookmarkEnd w:id="15"/>
      <w:bookmarkStart w:id="16" w:name="Bookmark_I68BHN6H2N1R620050000400"/>
      <w:bookmarkEnd w:id="16"/>
      <w:r>
        <w:rPr>
          <w:rFonts w:ascii="arial" w:eastAsia="arial" w:hAnsi="arial" w:cs="arial"/>
          <w:b w:val="0"/>
          <w:i w:val="0"/>
          <w:strike w:val="0"/>
          <w:noProof w:val="0"/>
          <w:color w:val="000000"/>
          <w:position w:val="0"/>
          <w:sz w:val="20"/>
          <w:u w:val="none"/>
          <w:vertAlign w:val="baseline"/>
        </w:rPr>
        <w:t xml:space="preserve">Initially, because petitioner pleaded guilty to the charge of possessing contraband </w:t>
      </w:r>
      <w:r>
        <w:rPr>
          <w:rFonts w:ascii="arial" w:eastAsia="arial" w:hAnsi="arial" w:cs="arial"/>
          <w:b/>
          <w:i w:val="0"/>
          <w:strike w:val="0"/>
          <w:noProof w:val="0"/>
          <w:color w:val="000000"/>
          <w:position w:val="0"/>
          <w:sz w:val="20"/>
          <w:u w:val="none"/>
          <w:vertAlign w:val="baseline"/>
        </w:rPr>
        <w:t> [**279] </w:t>
      </w:r>
      <w:r>
        <w:rPr>
          <w:rFonts w:ascii="arial" w:eastAsia="arial" w:hAnsi="arial" w:cs="arial"/>
          <w:b w:val="0"/>
          <w:i w:val="0"/>
          <w:strike w:val="0"/>
          <w:noProof w:val="0"/>
          <w:color w:val="000000"/>
          <w:position w:val="0"/>
          <w:sz w:val="20"/>
          <w:u w:val="none"/>
          <w:vertAlign w:val="baseline"/>
        </w:rPr>
        <w:t xml:space="preserve"> alleged in the first misbehavior report, he is precluded from challenging the sufficiency of the evidence supporting that part of the determination finding him guilty of that charge (</w:t>
      </w:r>
      <w:r>
        <w:rPr>
          <w:rFonts w:ascii="arial" w:eastAsia="arial" w:hAnsi="arial" w:cs="arial"/>
          <w:b w:val="0"/>
          <w:i/>
          <w:strike w:val="0"/>
          <w:noProof w:val="0"/>
          <w:color w:val="000000"/>
          <w:position w:val="0"/>
          <w:sz w:val="20"/>
          <w:u w:val="none"/>
          <w:vertAlign w:val="baseline"/>
        </w:rPr>
        <w:t xml:space="preserve">see </w:t>
      </w:r>
      <w:bookmarkStart w:id="17" w:name="Bookmark_I68BHN6G2D6MS10010000400"/>
      <w:bookmarkEnd w:id="17"/>
      <w:hyperlink r:id="rId10" w:history="1">
        <w:r>
          <w:rPr>
            <w:rFonts w:ascii="arial" w:eastAsia="arial" w:hAnsi="arial" w:cs="arial"/>
            <w:b w:val="0"/>
            <w:i/>
            <w:strike w:val="0"/>
            <w:noProof w:val="0"/>
            <w:color w:val="0077CC"/>
            <w:position w:val="0"/>
            <w:sz w:val="20"/>
            <w:u w:val="single"/>
            <w:vertAlign w:val="baseline"/>
          </w:rPr>
          <w:t>Matter of Partak v Venettozzi</w:t>
        </w:r>
      </w:hyperlink>
      <w:hyperlink r:id="rId10" w:history="1">
        <w:r>
          <w:rPr>
            <w:rFonts w:ascii="arial" w:eastAsia="arial" w:hAnsi="arial" w:cs="arial"/>
            <w:b w:val="0"/>
            <w:i/>
            <w:strike w:val="0"/>
            <w:noProof w:val="0"/>
            <w:color w:val="0077CC"/>
            <w:position w:val="0"/>
            <w:sz w:val="20"/>
            <w:u w:val="single"/>
            <w:vertAlign w:val="baseline"/>
          </w:rPr>
          <w:t>, 175 AD3d 1633, 1634, 109 N.Y.S.3d 481 [3d Dept 2019]</w:t>
        </w:r>
      </w:hyperlink>
      <w:r>
        <w:rPr>
          <w:rFonts w:ascii="arial" w:eastAsia="arial" w:hAnsi="arial" w:cs="arial"/>
          <w:b w:val="0"/>
          <w:i w:val="0"/>
          <w:strike w:val="0"/>
          <w:noProof w:val="0"/>
          <w:color w:val="000000"/>
          <w:position w:val="0"/>
          <w:sz w:val="20"/>
          <w:u w:val="none"/>
          <w:vertAlign w:val="baseline"/>
        </w:rPr>
        <w:t xml:space="preserve">). </w:t>
      </w:r>
      <w:bookmarkStart w:id="18" w:name="Bookmark_I68BHN6H2HM6MX0020000400"/>
      <w:bookmarkEnd w:id="18"/>
      <w:r>
        <w:rPr>
          <w:rFonts w:ascii="arial" w:eastAsia="arial" w:hAnsi="arial" w:cs="arial"/>
          <w:b w:val="0"/>
          <w:i w:val="0"/>
          <w:strike w:val="0"/>
          <w:noProof w:val="0"/>
          <w:color w:val="000000"/>
          <w:position w:val="0"/>
          <w:sz w:val="20"/>
          <w:u w:val="none"/>
          <w:vertAlign w:val="baseline"/>
        </w:rPr>
        <w:t>As for the remaining charges, the misbehavior reports and related documentation, together with the hearing testimony, provide substantial evidence to support the determination of guilt (</w:t>
      </w:r>
      <w:r>
        <w:rPr>
          <w:rFonts w:ascii="arial" w:eastAsia="arial" w:hAnsi="arial" w:cs="arial"/>
          <w:b w:val="0"/>
          <w:i/>
          <w:strike w:val="0"/>
          <w:noProof w:val="0"/>
          <w:color w:val="000000"/>
          <w:position w:val="0"/>
          <w:sz w:val="20"/>
          <w:u w:val="none"/>
          <w:vertAlign w:val="baseline"/>
        </w:rPr>
        <w:t xml:space="preserve">see </w:t>
      </w:r>
      <w:bookmarkStart w:id="19" w:name="Bookmark_I68BHN6G2D6MS10030000400"/>
      <w:bookmarkEnd w:id="19"/>
      <w:hyperlink r:id="rId11" w:history="1">
        <w:r>
          <w:rPr>
            <w:rFonts w:ascii="arial" w:eastAsia="arial" w:hAnsi="arial" w:cs="arial"/>
            <w:b w:val="0"/>
            <w:i/>
            <w:strike w:val="0"/>
            <w:noProof w:val="0"/>
            <w:color w:val="0077CC"/>
            <w:position w:val="0"/>
            <w:sz w:val="20"/>
            <w:u w:val="single"/>
            <w:vertAlign w:val="baseline"/>
          </w:rPr>
          <w:t>Matter of Barnes v Venettozzi</w:t>
        </w:r>
      </w:hyperlink>
      <w:hyperlink r:id="rId11" w:history="1">
        <w:r>
          <w:rPr>
            <w:rFonts w:ascii="arial" w:eastAsia="arial" w:hAnsi="arial" w:cs="arial"/>
            <w:b w:val="0"/>
            <w:i/>
            <w:strike w:val="0"/>
            <w:noProof w:val="0"/>
            <w:color w:val="0077CC"/>
            <w:position w:val="0"/>
            <w:sz w:val="20"/>
            <w:u w:val="single"/>
            <w:vertAlign w:val="baseline"/>
          </w:rPr>
          <w:t>, 207 AD3d 969, 970, 172 N.Y.S.3d 775 [3d Dept 2022]</w:t>
        </w:r>
      </w:hyperlink>
      <w:r>
        <w:rPr>
          <w:rFonts w:ascii="arial" w:eastAsia="arial" w:hAnsi="arial" w:cs="arial"/>
          <w:b w:val="0"/>
          <w:i w:val="0"/>
          <w:strike w:val="0"/>
          <w:noProof w:val="0"/>
          <w:color w:val="000000"/>
          <w:position w:val="0"/>
          <w:sz w:val="20"/>
          <w:u w:val="none"/>
          <w:vertAlign w:val="baseline"/>
        </w:rPr>
        <w:t xml:space="preserve">; </w:t>
      </w:r>
      <w:bookmarkStart w:id="20" w:name="Bookmark_I68BHN6G2D6MS10050000400"/>
      <w:bookmarkEnd w:id="20"/>
      <w:hyperlink r:id="rId12" w:history="1">
        <w:r>
          <w:rPr>
            <w:rFonts w:ascii="arial" w:eastAsia="arial" w:hAnsi="arial" w:cs="arial"/>
            <w:b w:val="0"/>
            <w:i/>
            <w:strike w:val="0"/>
            <w:noProof w:val="0"/>
            <w:color w:val="0077CC"/>
            <w:position w:val="0"/>
            <w:sz w:val="20"/>
            <w:u w:val="single"/>
            <w:vertAlign w:val="baseline"/>
          </w:rPr>
          <w:t>Matter of Ramos v Annucci</w:t>
        </w:r>
      </w:hyperlink>
      <w:hyperlink r:id="rId12" w:history="1">
        <w:r>
          <w:rPr>
            <w:rFonts w:ascii="arial" w:eastAsia="arial" w:hAnsi="arial" w:cs="arial"/>
            <w:b w:val="0"/>
            <w:i/>
            <w:strike w:val="0"/>
            <w:noProof w:val="0"/>
            <w:color w:val="0077CC"/>
            <w:position w:val="0"/>
            <w:sz w:val="20"/>
            <w:u w:val="single"/>
            <w:vertAlign w:val="baseline"/>
          </w:rPr>
          <w:t>, 203 AD3d 1370, 1370, 160 N.Y.S.3d 925 [3d Dept 2022]</w:t>
        </w:r>
      </w:hyperlink>
      <w:r>
        <w:rPr>
          <w:rFonts w:ascii="arial" w:eastAsia="arial" w:hAnsi="arial" w:cs="arial"/>
          <w:b w:val="0"/>
          <w:i w:val="0"/>
          <w:strike w:val="0"/>
          <w:noProof w:val="0"/>
          <w:color w:val="000000"/>
          <w:position w:val="0"/>
          <w:sz w:val="20"/>
          <w:u w:val="none"/>
          <w:vertAlign w:val="baseline"/>
        </w:rPr>
        <w:t xml:space="preserve">; </w:t>
      </w:r>
      <w:bookmarkStart w:id="21" w:name="Bookmark_I68BHN6H2N1R620020000400"/>
      <w:bookmarkEnd w:id="21"/>
      <w:hyperlink r:id="rId13" w:history="1">
        <w:r>
          <w:rPr>
            <w:rFonts w:ascii="arial" w:eastAsia="arial" w:hAnsi="arial" w:cs="arial"/>
            <w:b w:val="0"/>
            <w:i/>
            <w:strike w:val="0"/>
            <w:noProof w:val="0"/>
            <w:color w:val="0077CC"/>
            <w:position w:val="0"/>
            <w:sz w:val="20"/>
            <w:u w:val="single"/>
            <w:vertAlign w:val="baseline"/>
          </w:rPr>
          <w:t>Matter of Spencer v Annucci</w:t>
        </w:r>
      </w:hyperlink>
      <w:hyperlink r:id="rId13" w:history="1">
        <w:r>
          <w:rPr>
            <w:rFonts w:ascii="arial" w:eastAsia="arial" w:hAnsi="arial" w:cs="arial"/>
            <w:b w:val="0"/>
            <w:i/>
            <w:strike w:val="0"/>
            <w:noProof w:val="0"/>
            <w:color w:val="0077CC"/>
            <w:position w:val="0"/>
            <w:sz w:val="20"/>
            <w:u w:val="single"/>
            <w:vertAlign w:val="baseline"/>
          </w:rPr>
          <w:t>, 190 AD3d 1247, 1248, 136 N.Y.S.3d 921 [3d Dept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7 NYCRR 270.2 [B] [14] [xiii]</w:t>
        </w:r>
      </w:hyperlink>
      <w:r>
        <w:rPr>
          <w:rFonts w:ascii="arial" w:eastAsia="arial" w:hAnsi="arial" w:cs="arial"/>
          <w:b w:val="0"/>
          <w:i w:val="0"/>
          <w:strike w:val="0"/>
          <w:noProof w:val="0"/>
          <w:color w:val="000000"/>
          <w:position w:val="0"/>
          <w:sz w:val="20"/>
          <w:u w:val="none"/>
          <w:vertAlign w:val="baseline"/>
        </w:rPr>
        <w:t xml:space="preserve">; [15] [i]). "As for that part of the determination finding petitioner guilty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possessing contraband, neither charge required that the substance confiscated be tested for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drugs" (</w:t>
      </w:r>
      <w:bookmarkStart w:id="22" w:name="Bookmark_I68BHN6H2N1R620040000400"/>
      <w:bookmarkEnd w:id="22"/>
      <w:hyperlink r:id="rId11" w:history="1">
        <w:r>
          <w:rPr>
            <w:rFonts w:ascii="arial" w:eastAsia="arial" w:hAnsi="arial" w:cs="arial"/>
            <w:b w:val="0"/>
            <w:i/>
            <w:strike w:val="0"/>
            <w:noProof w:val="0"/>
            <w:color w:val="0077CC"/>
            <w:position w:val="0"/>
            <w:sz w:val="20"/>
            <w:u w:val="single"/>
            <w:vertAlign w:val="baseline"/>
          </w:rPr>
          <w:t>Matter of Barnes v Venettozzi</w:t>
        </w:r>
      </w:hyperlink>
      <w:hyperlink r:id="rId11" w:history="1">
        <w:r>
          <w:rPr>
            <w:rFonts w:ascii="arial" w:eastAsia="arial" w:hAnsi="arial" w:cs="arial"/>
            <w:b w:val="0"/>
            <w:i/>
            <w:strike w:val="0"/>
            <w:noProof w:val="0"/>
            <w:color w:val="0077CC"/>
            <w:position w:val="0"/>
            <w:sz w:val="20"/>
            <w:u w:val="single"/>
            <w:vertAlign w:val="baseline"/>
          </w:rPr>
          <w:t>, 207 AD3d at 970</w:t>
        </w:r>
      </w:hyperlink>
      <w:r>
        <w:rPr>
          <w:rFonts w:ascii="arial" w:eastAsia="arial" w:hAnsi="arial" w:cs="arial"/>
          <w:b w:val="0"/>
          <w:i w:val="0"/>
          <w:strike w:val="0"/>
          <w:noProof w:val="0"/>
          <w:color w:val="000000"/>
          <w:position w:val="0"/>
          <w:sz w:val="20"/>
          <w:u w:val="none"/>
          <w:vertAlign w:val="baseline"/>
        </w:rPr>
        <w:t xml:space="preserve"> [citation omitted]). </w:t>
      </w:r>
      <w:bookmarkStart w:id="23" w:name="Bookmark_I68BHN6H2HM6MX0020000400_2"/>
      <w:bookmarkEnd w:id="23"/>
      <w:r>
        <w:rPr>
          <w:rFonts w:ascii="arial" w:eastAsia="arial" w:hAnsi="arial" w:cs="arial"/>
          <w:b w:val="0"/>
          <w:i w:val="0"/>
          <w:strike w:val="0"/>
          <w:noProof w:val="0"/>
          <w:color w:val="000000"/>
          <w:position w:val="0"/>
          <w:sz w:val="20"/>
          <w:u w:val="none"/>
          <w:vertAlign w:val="baseline"/>
        </w:rPr>
        <w:t>Petitioner's claim that the misbehavior reports were retaliatory presented credibility determinations for the Hearing Officer to resolve (</w:t>
      </w:r>
      <w:r>
        <w:rPr>
          <w:rFonts w:ascii="arial" w:eastAsia="arial" w:hAnsi="arial" w:cs="arial"/>
          <w:b w:val="0"/>
          <w:i/>
          <w:strike w:val="0"/>
          <w:noProof w:val="0"/>
          <w:color w:val="000000"/>
          <w:position w:val="0"/>
          <w:sz w:val="20"/>
          <w:u w:val="none"/>
          <w:vertAlign w:val="baseline"/>
        </w:rPr>
        <w:t xml:space="preserve">see </w:t>
      </w:r>
      <w:bookmarkStart w:id="24" w:name="Bookmark_I68BHN6H2HM6MX0010000400"/>
      <w:bookmarkEnd w:id="24"/>
      <w:hyperlink r:id="rId15" w:history="1">
        <w:r>
          <w:rPr>
            <w:rFonts w:ascii="arial" w:eastAsia="arial" w:hAnsi="arial" w:cs="arial"/>
            <w:b w:val="0"/>
            <w:i/>
            <w:strike w:val="0"/>
            <w:noProof w:val="0"/>
            <w:color w:val="0077CC"/>
            <w:position w:val="0"/>
            <w:sz w:val="20"/>
            <w:u w:val="single"/>
            <w:vertAlign w:val="baseline"/>
          </w:rPr>
          <w:t>Matter of Fulton v Capra</w:t>
        </w:r>
      </w:hyperlink>
      <w:hyperlink r:id="rId15" w:history="1">
        <w:r>
          <w:rPr>
            <w:rFonts w:ascii="arial" w:eastAsia="arial" w:hAnsi="arial" w:cs="arial"/>
            <w:b w:val="0"/>
            <w:i/>
            <w:strike w:val="0"/>
            <w:noProof w:val="0"/>
            <w:color w:val="0077CC"/>
            <w:position w:val="0"/>
            <w:sz w:val="20"/>
            <w:u w:val="single"/>
            <w:vertAlign w:val="baseline"/>
          </w:rPr>
          <w:t>, 199 AD3d 1139, 1140, 156 N.Y.S.3d 581 [3d Dept 2021]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 w:name="Bookmark_para_4"/>
      <w:bookmarkEnd w:id="25"/>
      <w:bookmarkStart w:id="26" w:name="Bookmark_I68BHN6H2HM6MX0040000400"/>
      <w:bookmarkEnd w:id="26"/>
      <w:bookmarkStart w:id="27" w:name="Bookmark_I68BHN6H28T4JK0010000400"/>
      <w:bookmarkEnd w:id="27"/>
      <w:bookmarkStart w:id="28" w:name="Bookmark_I68BHN6H28T4JK0050000400"/>
      <w:bookmarkEnd w:id="28"/>
      <w:r>
        <w:rPr>
          <w:rFonts w:ascii="arial" w:eastAsia="arial" w:hAnsi="arial" w:cs="arial"/>
          <w:b w:val="0"/>
          <w:i w:val="0"/>
          <w:strike w:val="0"/>
          <w:noProof w:val="0"/>
          <w:color w:val="000000"/>
          <w:position w:val="0"/>
          <w:sz w:val="20"/>
          <w:u w:val="none"/>
          <w:vertAlign w:val="baseline"/>
        </w:rPr>
        <w:t>Turning to petitioner's procedural contentions, "the hearing was commenced in a timely manner and was completed in accordance with proper extension requests" (</w:t>
      </w:r>
      <w:bookmarkStart w:id="29" w:name="Bookmark_I68BHN6H2HM6MX0030000400"/>
      <w:bookmarkEnd w:id="29"/>
      <w:hyperlink r:id="rId16" w:history="1">
        <w:r>
          <w:rPr>
            <w:rFonts w:ascii="arial" w:eastAsia="arial" w:hAnsi="arial" w:cs="arial"/>
            <w:b w:val="0"/>
            <w:i/>
            <w:strike w:val="0"/>
            <w:noProof w:val="0"/>
            <w:color w:val="0077CC"/>
            <w:position w:val="0"/>
            <w:sz w:val="20"/>
            <w:u w:val="single"/>
            <w:vertAlign w:val="baseline"/>
          </w:rPr>
          <w:t>Matter of Anselmo v Annucci</w:t>
        </w:r>
      </w:hyperlink>
      <w:hyperlink r:id="rId16" w:history="1">
        <w:r>
          <w:rPr>
            <w:rFonts w:ascii="arial" w:eastAsia="arial" w:hAnsi="arial" w:cs="arial"/>
            <w:b w:val="0"/>
            <w:i/>
            <w:strike w:val="0"/>
            <w:noProof w:val="0"/>
            <w:color w:val="0077CC"/>
            <w:position w:val="0"/>
            <w:sz w:val="20"/>
            <w:u w:val="single"/>
            <w:vertAlign w:val="baseline"/>
          </w:rPr>
          <w:t>, 176 AD3d 1283, 1284, 109 N.Y.S.3d 512 [3d Dept 2019]</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"In any event, compliance with the regulatory time limits contained in 7 NYCRR [former] 251-5.1 is directory only and there is no indication of any substantive prejudice to petitioner resulting from the delay" </w:t>
      </w:r>
      <w:r>
        <w:rPr>
          <w:rFonts w:ascii="arial" w:eastAsia="arial" w:hAnsi="arial" w:cs="arial"/>
          <w:b/>
          <w:i w:val="0"/>
          <w:strike w:val="0"/>
          <w:noProof w:val="0"/>
          <w:color w:val="000000"/>
          <w:position w:val="0"/>
          <w:sz w:val="20"/>
          <w:u w:val="none"/>
          <w:vertAlign w:val="baseline"/>
        </w:rPr>
        <w:t> [*1386] </w:t>
      </w:r>
      <w:r>
        <w:rPr>
          <w:rFonts w:ascii="arial" w:eastAsia="arial" w:hAnsi="arial" w:cs="arial"/>
          <w:b w:val="0"/>
          <w:i w:val="0"/>
          <w:strike w:val="0"/>
          <w:noProof w:val="0"/>
          <w:color w:val="000000"/>
          <w:position w:val="0"/>
          <w:sz w:val="20"/>
          <w:u w:val="none"/>
          <w:vertAlign w:val="baseline"/>
        </w:rPr>
        <w:t xml:space="preserve"> (</w:t>
      </w:r>
      <w:bookmarkStart w:id="30" w:name="Bookmark_I68BHN6H2HM6MX0050000400"/>
      <w:bookmarkEnd w:id="30"/>
      <w:hyperlink r:id="rId17" w:history="1">
        <w:r>
          <w:rPr>
            <w:rFonts w:ascii="arial" w:eastAsia="arial" w:hAnsi="arial" w:cs="arial"/>
            <w:b w:val="0"/>
            <w:i/>
            <w:strike w:val="0"/>
            <w:noProof w:val="0"/>
            <w:color w:val="0077CC"/>
            <w:position w:val="0"/>
            <w:sz w:val="20"/>
            <w:u w:val="single"/>
            <w:vertAlign w:val="baseline"/>
          </w:rPr>
          <w:t>Matter of Caldwell v Venettozzi</w:t>
        </w:r>
      </w:hyperlink>
      <w:hyperlink r:id="rId17" w:history="1">
        <w:r>
          <w:rPr>
            <w:rFonts w:ascii="arial" w:eastAsia="arial" w:hAnsi="arial" w:cs="arial"/>
            <w:b w:val="0"/>
            <w:i/>
            <w:strike w:val="0"/>
            <w:noProof w:val="0"/>
            <w:color w:val="0077CC"/>
            <w:position w:val="0"/>
            <w:sz w:val="20"/>
            <w:u w:val="single"/>
            <w:vertAlign w:val="baseline"/>
          </w:rPr>
          <w:t>, 166 AD3d 1184, 1185, 89 N.Y.S.3d 729 [3d Dept 2018]</w:t>
        </w:r>
      </w:hyperlink>
      <w:r>
        <w:rPr>
          <w:rFonts w:ascii="arial" w:eastAsia="arial" w:hAnsi="arial" w:cs="arial"/>
          <w:b w:val="0"/>
          <w:i w:val="0"/>
          <w:strike w:val="0"/>
          <w:noProof w:val="0"/>
          <w:color w:val="000000"/>
          <w:position w:val="0"/>
          <w:sz w:val="20"/>
          <w:u w:val="none"/>
          <w:vertAlign w:val="baseline"/>
        </w:rPr>
        <w:t xml:space="preserve"> [internal quotation marks and citations omitted]; </w:t>
      </w:r>
      <w:r>
        <w:rPr>
          <w:rFonts w:ascii="arial" w:eastAsia="arial" w:hAnsi="arial" w:cs="arial"/>
          <w:b w:val="0"/>
          <w:i/>
          <w:strike w:val="0"/>
          <w:noProof w:val="0"/>
          <w:color w:val="000000"/>
          <w:position w:val="0"/>
          <w:sz w:val="20"/>
          <w:u w:val="none"/>
          <w:vertAlign w:val="baseline"/>
        </w:rPr>
        <w:t xml:space="preserve">accord </w:t>
      </w:r>
      <w:bookmarkStart w:id="31" w:name="Bookmark_I68BHN6H28T4JK0020000400"/>
      <w:bookmarkEnd w:id="31"/>
      <w:hyperlink r:id="rId16" w:history="1">
        <w:r>
          <w:rPr>
            <w:rFonts w:ascii="arial" w:eastAsia="arial" w:hAnsi="arial" w:cs="arial"/>
            <w:b w:val="0"/>
            <w:i/>
            <w:strike w:val="0"/>
            <w:noProof w:val="0"/>
            <w:color w:val="0077CC"/>
            <w:position w:val="0"/>
            <w:sz w:val="20"/>
            <w:u w:val="single"/>
            <w:vertAlign w:val="baseline"/>
          </w:rPr>
          <w:t>Matter of Anselmo v Annucci</w:t>
        </w:r>
      </w:hyperlink>
      <w:hyperlink r:id="rId16" w:history="1">
        <w:r>
          <w:rPr>
            <w:rFonts w:ascii="arial" w:eastAsia="arial" w:hAnsi="arial" w:cs="arial"/>
            <w:b w:val="0"/>
            <w:i/>
            <w:strike w:val="0"/>
            <w:noProof w:val="0"/>
            <w:color w:val="0077CC"/>
            <w:position w:val="0"/>
            <w:sz w:val="20"/>
            <w:u w:val="single"/>
            <w:vertAlign w:val="baseline"/>
          </w:rPr>
          <w:t>, 176 AD3d at 1284</w:t>
        </w:r>
      </w:hyperlink>
      <w:r>
        <w:rPr>
          <w:rFonts w:ascii="arial" w:eastAsia="arial" w:hAnsi="arial" w:cs="arial"/>
          <w:b w:val="0"/>
          <w:i w:val="0"/>
          <w:strike w:val="0"/>
          <w:noProof w:val="0"/>
          <w:color w:val="000000"/>
          <w:position w:val="0"/>
          <w:sz w:val="20"/>
          <w:u w:val="none"/>
          <w:vertAlign w:val="baseline"/>
        </w:rPr>
        <w:t>). Finally, the record does not demonstrate that the Hearing Officer was biased or that the determination flowed from any alleged bias (</w:t>
      </w:r>
      <w:r>
        <w:rPr>
          <w:rFonts w:ascii="arial" w:eastAsia="arial" w:hAnsi="arial" w:cs="arial"/>
          <w:b w:val="0"/>
          <w:i/>
          <w:strike w:val="0"/>
          <w:noProof w:val="0"/>
          <w:color w:val="000000"/>
          <w:position w:val="0"/>
          <w:sz w:val="20"/>
          <w:u w:val="none"/>
          <w:vertAlign w:val="baseline"/>
        </w:rPr>
        <w:t xml:space="preserve">see e.g. </w:t>
      </w:r>
      <w:bookmarkStart w:id="32" w:name="Bookmark_I68BHN6H28T4JK0040000400"/>
      <w:bookmarkEnd w:id="32"/>
      <w:hyperlink r:id="rId18" w:history="1">
        <w:r>
          <w:rPr>
            <w:rFonts w:ascii="arial" w:eastAsia="arial" w:hAnsi="arial" w:cs="arial"/>
            <w:b w:val="0"/>
            <w:i/>
            <w:strike w:val="0"/>
            <w:noProof w:val="0"/>
            <w:color w:val="0077CC"/>
            <w:position w:val="0"/>
            <w:sz w:val="20"/>
            <w:u w:val="single"/>
            <w:vertAlign w:val="baseline"/>
          </w:rPr>
          <w:t>Matter of Lundy v Annucci</w:t>
        </w:r>
      </w:hyperlink>
      <w:hyperlink r:id="rId18" w:history="1">
        <w:r>
          <w:rPr>
            <w:rFonts w:ascii="arial" w:eastAsia="arial" w:hAnsi="arial" w:cs="arial"/>
            <w:b w:val="0"/>
            <w:i/>
            <w:strike w:val="0"/>
            <w:noProof w:val="0"/>
            <w:color w:val="0077CC"/>
            <w:position w:val="0"/>
            <w:sz w:val="20"/>
            <w:u w:val="single"/>
            <w:vertAlign w:val="baseline"/>
          </w:rPr>
          <w:t>, 203 AD3d 1364, 1366, 160 N.Y.S.3d 923 [3d Dept 2022]</w:t>
        </w:r>
      </w:hyperlink>
      <w:r>
        <w:rPr>
          <w:rFonts w:ascii="arial" w:eastAsia="arial" w:hAnsi="arial" w:cs="arial"/>
          <w:b w:val="0"/>
          <w:i w:val="0"/>
          <w:strike w:val="0"/>
          <w:noProof w:val="0"/>
          <w:color w:val="000000"/>
          <w:position w:val="0"/>
          <w:sz w:val="20"/>
          <w:u w:val="none"/>
          <w:vertAlign w:val="baseline"/>
        </w:rPr>
        <w:t>). To the extent that petitioner's remaining contentions are properly before us, they have been considered and found to be lacking in merit.</w:t>
      </w:r>
    </w:p>
    <w:p>
      <w:pPr>
        <w:keepNext w:val="0"/>
        <w:spacing w:before="200" w:after="0" w:line="260" w:lineRule="atLeast"/>
        <w:ind w:left="0" w:right="0" w:firstLine="0"/>
        <w:jc w:val="both"/>
      </w:pPr>
      <w:bookmarkStart w:id="33" w:name="Bookmark_para_5"/>
      <w:bookmarkEnd w:id="33"/>
      <w:r>
        <w:rPr>
          <w:rFonts w:ascii="arial" w:eastAsia="arial" w:hAnsi="arial" w:cs="arial"/>
          <w:b w:val="0"/>
          <w:i w:val="0"/>
          <w:strike w:val="0"/>
          <w:noProof w:val="0"/>
          <w:color w:val="000000"/>
          <w:position w:val="0"/>
          <w:sz w:val="20"/>
          <w:u w:val="none"/>
          <w:vertAlign w:val="baseline"/>
        </w:rPr>
        <w:t>Clark, J.P., Aarons, Pritzker, Reynolds Fitzgerald and Ceresia, JJ., concur.</w:t>
      </w:r>
    </w:p>
    <w:p>
      <w:pPr>
        <w:keepNext w:val="0"/>
        <w:spacing w:before="200" w:after="0" w:line="260" w:lineRule="atLeast"/>
        <w:ind w:left="0" w:right="0" w:firstLine="0"/>
        <w:jc w:val="both"/>
      </w:pPr>
      <w:bookmarkStart w:id="34" w:name="Bookmark_para_6"/>
      <w:bookmarkEnd w:id="34"/>
      <w:r>
        <w:rPr>
          <w:rFonts w:ascii="arial" w:eastAsia="arial" w:hAnsi="arial" w:cs="arial"/>
          <w:b w:val="0"/>
          <w:i w:val="0"/>
          <w:strike w:val="0"/>
          <w:noProof w:val="0"/>
          <w:color w:val="000000"/>
          <w:position w:val="0"/>
          <w:sz w:val="20"/>
          <w:u w:val="none"/>
          <w:vertAlign w:val="baseline"/>
        </w:rPr>
        <w:t>ADJUDGED that the determination is confirmed, without costs, and petition dismissed.</w:t>
      </w:r>
    </w:p>
    <w:p/>
    <w:p>
      <w:pPr>
        <w:ind w:left="200"/>
      </w:pPr>
      <w:r>
        <w:br/>
      </w:r>
      <w:r>
        <w:pict>
          <v:line id="_x0000_s102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Matter of Mena v. Gutwein, 216 A.D.3d 1384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5X1N-SST1-JXNB-61K0-00000-00&amp;context=1519360" TargetMode="External" /><Relationship Id="rId11" Type="http://schemas.openxmlformats.org/officeDocument/2006/relationships/hyperlink" Target="https://advance.lexis.com/api/document?collection=cases&amp;id=urn:contentItem:6602-S601-JWR6-S04M-00000-00&amp;context=1519360" TargetMode="External" /><Relationship Id="rId12" Type="http://schemas.openxmlformats.org/officeDocument/2006/relationships/hyperlink" Target="https://advance.lexis.com/api/document?collection=cases&amp;id=urn:contentItem:64YP-S5K1-F57G-S44X-00000-00&amp;context=1519360" TargetMode="External" /><Relationship Id="rId13" Type="http://schemas.openxmlformats.org/officeDocument/2006/relationships/hyperlink" Target="https://advance.lexis.com/api/document?collection=cases&amp;id=urn:contentItem:61W4-8DP1-K054-G008-00000-00&amp;context=1519360" TargetMode="External" /><Relationship Id="rId14" Type="http://schemas.openxmlformats.org/officeDocument/2006/relationships/hyperlink" Target="https://advance.lexis.com/api/document?collection=administrative-codes&amp;id=urn:contentItem:67VG-N821-JWR6-S1T3-00009-00&amp;context=1519360" TargetMode="External" /><Relationship Id="rId15" Type="http://schemas.openxmlformats.org/officeDocument/2006/relationships/hyperlink" Target="https://advance.lexis.com/api/document?collection=cases&amp;id=urn:contentItem:6423-XY51-K0BB-S2VJ-00000-00&amp;context=1519360" TargetMode="External" /><Relationship Id="rId16" Type="http://schemas.openxmlformats.org/officeDocument/2006/relationships/hyperlink" Target="https://advance.lexis.com/api/document?collection=cases&amp;id=urn:contentItem:5X64-63D1-DY33-B53W-00000-00&amp;context=1519360" TargetMode="External" /><Relationship Id="rId17" Type="http://schemas.openxmlformats.org/officeDocument/2006/relationships/hyperlink" Target="https://advance.lexis.com/api/document?collection=cases&amp;id=urn:contentItem:5TP0-3X01-JSRM-61YD-00000-00&amp;context=1519360" TargetMode="External" /><Relationship Id="rId18" Type="http://schemas.openxmlformats.org/officeDocument/2006/relationships/hyperlink" Target="https://advance.lexis.com/api/document?collection=cases&amp;id=urn:contentItem:64YP-S5K1-F57G-S453-00000-00&amp;context=1519360"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89R-SR41-JGBH-B2WV-00000-00&amp;context=1519360" TargetMode="External" /><Relationship Id="rId9" Type="http://schemas.openxmlformats.org/officeDocument/2006/relationships/hyperlink" Target="https://advance.lexis.com/api/document?collection=cases&amp;id=urn:contentItem:69G5-0951-JF1Y-B4M5-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Matter of Mena v. Gutwein, 216 A.D.3d 1384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72</vt:lpwstr>
  </property>
  <property fmtid="{D5CDD505-2E9C-101B-9397-08002B2CF9AE}" pid="3" name="LADocCount">
    <vt:lpwstr>1</vt:lpwstr>
  </property>
  <property fmtid="{D5CDD505-2E9C-101B-9397-08002B2CF9AE}" pid="4" name="LADocumentID:72">
    <vt:lpwstr>Doc::urn:hlct:5|contextualFeaturePermID::1519360</vt:lpwstr>
  </property>
  <property fmtid="{D5CDD505-2E9C-101B-9397-08002B2CF9AE}" pid="5" name="UserPermID">
    <vt:lpwstr>urn:user:PA186186280</vt:lpwstr>
  </property>
</Properties>
</file>