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Garcia-Vasquez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Third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2023, Argued; June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22-2219</w:t>
      </w:r>
    </w:p>
    <w:p>
      <w:pPr>
        <w:keepNext w:val="0"/>
        <w:spacing w:after="0" w:line="240" w:lineRule="atLeast"/>
        <w:ind w:right="0"/>
        <w:jc w:val="both"/>
      </w:pPr>
      <w:bookmarkStart w:id="0" w:name="Bookmark_3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70 F.4th 177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13793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TREJILIO GARCIA-VASQUEZ, a/k/a Trejelio Garcia,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District of New Jersey. (No. 2-18-cr-00508-001). District Judge: Honorable Katharine S. Hayden.</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conspiracies, Guideline, drug trafficking, offenses, drug-trafficking, enhancement, Sentencing, aggravated felony, inchoate crimes, convicted, includes, drugs, distribute, overt act, sixteen-level, firearms</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Courts must read broad phrases in statutes broadly.</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Illegal Reentry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Adjustments &amp; Enhancements &gt; Criminal History &gt; Prior Felonies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Penalties</w:t>
      </w:r>
    </w:p>
    <w:p>
      <w:pPr>
        <w:keepNext w:val="0"/>
        <w:spacing w:before="240" w:after="0" w:line="260" w:lineRule="atLeast"/>
        <w:ind w:left="0" w:right="0" w:firstLine="0"/>
        <w:jc w:val="both"/>
      </w:pPr>
      <w:bookmarkStart w:id="9" w:name="Bookmark_hnpara_2"/>
      <w:bookmarkEnd w:id="9"/>
      <w:hyperlink r:id="rId12" w:history="1">
        <w:r>
          <w:rPr>
            <w:rFonts w:ascii="arial" w:eastAsia="arial" w:hAnsi="arial" w:cs="arial"/>
            <w:b w:val="0"/>
            <w:i/>
            <w:strike w:val="0"/>
            <w:color w:val="0077CC"/>
            <w:sz w:val="20"/>
            <w:u w:val="single"/>
            <w:vertAlign w:val="baseline"/>
          </w:rPr>
          <w:t>U.S. Sentencing Guidelines Manual § 2L1.2(b)(1)(A)(i) application n. 5</w:t>
        </w:r>
      </w:hyperlink>
      <w:r>
        <w:rPr>
          <w:rFonts w:ascii="arial" w:eastAsia="arial" w:hAnsi="arial" w:cs="arial"/>
          <w:b w:val="0"/>
          <w:i w:val="0"/>
          <w:strike w:val="0"/>
          <w:noProof w:val="0"/>
          <w:color w:val="000000"/>
          <w:position w:val="0"/>
          <w:sz w:val="20"/>
          <w:u w:val="none"/>
          <w:vertAlign w:val="baseline"/>
        </w:rPr>
        <w:t xml:space="preserve">, the illegal-reentry guideline, extends its 16-level enhancement to inchoate crimes like conspiracy. </w:t>
      </w:r>
      <w:hyperlink r:id="rId12" w:history="1">
        <w:r>
          <w:rPr>
            <w:rFonts w:ascii="arial" w:eastAsia="arial" w:hAnsi="arial" w:cs="arial"/>
            <w:b w:val="0"/>
            <w:i/>
            <w:strike w:val="0"/>
            <w:noProof w:val="0"/>
            <w:color w:val="0077CC"/>
            <w:position w:val="0"/>
            <w:sz w:val="20"/>
            <w:u w:val="single"/>
            <w:vertAlign w:val="baseline"/>
          </w:rPr>
          <w:t>§ 2L1.2 cmt. n.5</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An appellate court reviews a pure issue of law de novo.</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Illegal Reentry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Adjustments &amp; Enhancements &gt; Criminal History &gt; Prior Felonies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Delivery, Distribution &amp; Sale, Penalties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The illegal-reentry Guideline requires that a prior conviction be  a drug trafficking offense for which the sentence imposed exceeded 13 months. </w:t>
      </w:r>
      <w:hyperlink r:id="rId12" w:history="1">
        <w:r>
          <w:rPr>
            <w:rFonts w:ascii="arial" w:eastAsia="arial" w:hAnsi="arial" w:cs="arial"/>
            <w:b w:val="0"/>
            <w:i/>
            <w:strike w:val="0"/>
            <w:noProof w:val="0"/>
            <w:color w:val="0077CC"/>
            <w:position w:val="0"/>
            <w:sz w:val="20"/>
            <w:u w:val="single"/>
            <w:vertAlign w:val="baseline"/>
          </w:rPr>
          <w:t>U.S. Sentencing Guidelines Manual § 2L1.2(b)(1)(A)(i)</w:t>
        </w:r>
      </w:hyperlink>
      <w:r>
        <w:rPr>
          <w:rFonts w:ascii="arial" w:eastAsia="arial" w:hAnsi="arial" w:cs="arial"/>
          <w:b w:val="0"/>
          <w:i w:val="0"/>
          <w:strike w:val="0"/>
          <w:noProof w:val="0"/>
          <w:color w:val="000000"/>
          <w:position w:val="0"/>
          <w:sz w:val="20"/>
          <w:u w:val="none"/>
          <w:vertAlign w:val="baseline"/>
        </w:rPr>
        <w:t xml:space="preserve"> (2015). Its text does not define "drug trafficking offense"; only the application notes do. There is no textual definition. So the court must give the phrase "a drug trafficking offense" its ordinary meaning.</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Conspiring requires only an agreement, not trading or even negotiating.</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Illegal Reentry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Adjustments &amp; Enhancements &gt; Criminal History &gt; Prior Felonies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Penalties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 xml:space="preserve">The ordinary meaning of </w:t>
      </w:r>
      <w:hyperlink r:id="rId12" w:history="1">
        <w:r>
          <w:rPr>
            <w:rFonts w:ascii="arial" w:eastAsia="arial" w:hAnsi="arial" w:cs="arial"/>
            <w:b w:val="0"/>
            <w:i/>
            <w:strike w:val="0"/>
            <w:noProof w:val="0"/>
            <w:color w:val="0077CC"/>
            <w:position w:val="0"/>
            <w:sz w:val="20"/>
            <w:u w:val="single"/>
            <w:vertAlign w:val="baseline"/>
          </w:rPr>
          <w:t>U.S. Sentencing Guidelines Manual § 2L1.2(b)(1)(A)(i)</w:t>
        </w:r>
      </w:hyperlink>
      <w:r>
        <w:rPr>
          <w:rFonts w:ascii="arial" w:eastAsia="arial" w:hAnsi="arial" w:cs="arial"/>
          <w:b w:val="0"/>
          <w:i w:val="0"/>
          <w:strike w:val="0"/>
          <w:noProof w:val="0"/>
          <w:color w:val="000000"/>
          <w:position w:val="0"/>
          <w:sz w:val="20"/>
          <w:u w:val="none"/>
          <w:vertAlign w:val="baseline"/>
        </w:rPr>
        <w:t xml:space="preserve"> (2015), governing illegal reentry, goes beyond actual trafficking to include any drug-trafficking offense. It captures conspiracies.</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Conspiracies are defined by the scope of their commitments. Put more colorfully, conspiracy is chameleon-like, taking on a special coloration from each of the many independent offenses on which it may be overlaid.</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Delivery, Distribution &amp; Sale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 xml:space="preserve">Under </w:t>
      </w:r>
      <w:hyperlink r:id="rId19" w:history="1">
        <w:r>
          <w:rPr>
            <w:rFonts w:ascii="arial" w:eastAsia="arial" w:hAnsi="arial" w:cs="arial"/>
            <w:b w:val="0"/>
            <w:i/>
            <w:strike w:val="0"/>
            <w:noProof w:val="0"/>
            <w:color w:val="0077CC"/>
            <w:position w:val="0"/>
            <w:sz w:val="20"/>
            <w:u w:val="single"/>
            <w:vertAlign w:val="baseline"/>
          </w:rPr>
          <w:t>21 U.S.C.S. § 846</w:t>
        </w:r>
      </w:hyperlink>
      <w:r>
        <w:rPr>
          <w:rFonts w:ascii="arial" w:eastAsia="arial" w:hAnsi="arial" w:cs="arial"/>
          <w:b w:val="0"/>
          <w:i w:val="0"/>
          <w:strike w:val="0"/>
          <w:noProof w:val="0"/>
          <w:color w:val="000000"/>
          <w:position w:val="0"/>
          <w:sz w:val="20"/>
          <w:u w:val="none"/>
          <w:vertAlign w:val="baseline"/>
        </w:rPr>
        <w:t xml:space="preserve">, the conspiracy takes its hue from drug trafficking. The United States Court of Appeals for the Third Circuit has called </w:t>
      </w:r>
      <w:hyperlink r:id="rId19"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convictions drug-trafficking conspiracies in which the offense conspired is a violation of </w:t>
      </w:r>
      <w:r>
        <w:rPr>
          <w:rFonts w:ascii="arial" w:eastAsia="arial" w:hAnsi="arial" w:cs="arial"/>
          <w:b w:val="0"/>
          <w:i/>
          <w:strike w:val="0"/>
          <w:noProof w:val="0"/>
          <w:color w:val="000000"/>
          <w:position w:val="0"/>
          <w:sz w:val="20"/>
          <w:u w:val="none"/>
          <w:vertAlign w:val="baseline"/>
        </w:rPr>
        <w:t>21 U.S.C.S. § 841(a)</w:t>
      </w:r>
      <w:r>
        <w:rPr>
          <w:rFonts w:ascii="arial" w:eastAsia="arial" w:hAnsi="arial" w:cs="arial"/>
          <w:b w:val="0"/>
          <w:i w:val="0"/>
          <w:strike w:val="0"/>
          <w:noProof w:val="0"/>
          <w:color w:val="000000"/>
          <w:position w:val="0"/>
          <w:sz w:val="20"/>
          <w:u w:val="none"/>
          <w:vertAlign w:val="baseline"/>
        </w:rPr>
        <w:t xml:space="preserve">. The court has further explained that a conspiracy under </w:t>
      </w:r>
      <w:hyperlink r:id="rId19"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becomes a drug-trafficking conspiracy when its common goal is a violation or violations of </w:t>
      </w:r>
      <w:r>
        <w:rPr>
          <w:rFonts w:ascii="arial" w:eastAsia="arial" w:hAnsi="arial" w:cs="arial"/>
          <w:b w:val="0"/>
          <w:i/>
          <w:strike w:val="0"/>
          <w:noProof w:val="0"/>
          <w:color w:val="000000"/>
          <w:position w:val="0"/>
          <w:sz w:val="20"/>
          <w:u w:val="none"/>
          <w:vertAlign w:val="baseline"/>
        </w:rPr>
        <w:t>§ 841(a)</w:t>
      </w:r>
      <w:r>
        <w:rPr>
          <w:rFonts w:ascii="arial" w:eastAsia="arial" w:hAnsi="arial" w:cs="arial"/>
          <w:b w:val="0"/>
          <w:i w:val="0"/>
          <w:strike w:val="0"/>
          <w:noProof w:val="0"/>
          <w:color w:val="000000"/>
          <w:position w:val="0"/>
          <w:sz w:val="20"/>
          <w:u w:val="none"/>
          <w:vertAlign w:val="baseline"/>
        </w:rPr>
        <w:t>. It requires the same intent and aims at the same goal: trafficking drugs.</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Inchoate Crimes &gt;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Inchoate Crimes, Conspiracy</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Courts commonly use "offense" to include a conspiracy to commit that offense.</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Inchoate Crimes &gt;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Controlled Substances &gt; Delivery, Distribution &amp; Sale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Inchoate Crimes, Conspiracy</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Read in all relevant contexts, "drug trafficking offense" includes conspiracies.</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Illegal Reentry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Controlled Substances &gt; Delivery, Distribution &amp; Sale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Adjustments &amp; Enhancements &gt; Criminal History &gt; Prior Felonies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Delivery, Distribution &amp; Sale, Conspiracy</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 xml:space="preserve">The illegal-reentry Sentencing Guideline applies its sixteen-level enhancement to anyone with a prior conviction for a "drug trafficking offense." </w:t>
      </w:r>
      <w:hyperlink r:id="rId12" w:history="1">
        <w:r>
          <w:rPr>
            <w:rFonts w:ascii="arial" w:eastAsia="arial" w:hAnsi="arial" w:cs="arial"/>
            <w:b w:val="0"/>
            <w:i/>
            <w:strike w:val="0"/>
            <w:noProof w:val="0"/>
            <w:color w:val="0077CC"/>
            <w:position w:val="0"/>
            <w:sz w:val="20"/>
            <w:u w:val="single"/>
            <w:vertAlign w:val="baseline"/>
          </w:rPr>
          <w:t>U.S. Sentencing Guidelines Manual § 2L1.2(b)(1)(A)(i)</w:t>
        </w:r>
      </w:hyperlink>
      <w:r>
        <w:rPr>
          <w:rFonts w:ascii="arial" w:eastAsia="arial" w:hAnsi="arial" w:cs="arial"/>
          <w:b w:val="0"/>
          <w:i w:val="0"/>
          <w:strike w:val="0"/>
          <w:noProof w:val="0"/>
          <w:color w:val="000000"/>
          <w:position w:val="0"/>
          <w:sz w:val="20"/>
          <w:u w:val="none"/>
          <w:vertAlign w:val="baseline"/>
        </w:rPr>
        <w:t xml:space="preserve"> (2015). That enhancement's text captures a wide swath of "offenses," both completed and inchoate, and even conspiracies without overt acts.</w:t>
      </w:r>
    </w:p>
    <w:p>
      <w:pPr>
        <w:keepNext w:val="0"/>
        <w:spacing w:before="240" w:after="0" w:line="260" w:lineRule="atLeast"/>
        <w:ind w:left="0" w:right="0" w:firstLine="0"/>
        <w:jc w:val="left"/>
      </w:pPr>
      <w:bookmarkStart w:id="28" w:name="Counsel"/>
      <w:bookmarkEnd w:id="2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Appellant: Louise Arkel, Evan J. Austin [ARGUED], Saverio A. Viggiano, FEDERAL PUBLIC DEFENDER'S OFFICE, Newark,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Appellee: Mark E Coyne, John F. Romano [ARGUED], U.S. ATTORNEY'S OFFICE, Newark, NJ.</w:t>
      </w:r>
    </w:p>
    <w:p>
      <w:pPr>
        <w:keepNext w:val="0"/>
        <w:spacing w:before="240" w:after="0" w:line="260" w:lineRule="atLeast"/>
        <w:ind w:left="0" w:right="0" w:firstLine="0"/>
        <w:jc w:val="left"/>
      </w:pPr>
      <w:bookmarkStart w:id="29" w:name="Judges"/>
      <w:bookmarkEnd w:id="2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KRAUSE, BIBAS, and RENDELL, Circuit Judges.</w:t>
      </w:r>
    </w:p>
    <w:p>
      <w:pPr>
        <w:keepNext w:val="0"/>
        <w:spacing w:before="240" w:after="0" w:line="260" w:lineRule="atLeast"/>
        <w:ind w:left="0" w:right="0" w:firstLine="0"/>
        <w:jc w:val="left"/>
      </w:pPr>
      <w:bookmarkStart w:id="30" w:name="Opinion by"/>
      <w:bookmarkEnd w:id="3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BIBAS</w:t>
      </w:r>
    </w:p>
    <w:p>
      <w:pPr>
        <w:keepNext/>
        <w:spacing w:before="240" w:after="0" w:line="340" w:lineRule="atLeast"/>
        <w:ind w:left="0" w:right="0" w:firstLine="0"/>
        <w:jc w:val="left"/>
      </w:pPr>
      <w:bookmarkStart w:id="31" w:name="Opinion"/>
      <w:bookmarkEnd w:id="3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9"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 xml:space="preserve"> OPINION OF THE COURT</w:t>
      </w:r>
    </w:p>
    <w:p>
      <w:pPr>
        <w:keepNext w:val="0"/>
        <w:spacing w:before="200" w:after="0" w:line="260" w:lineRule="atLeast"/>
        <w:ind w:left="0" w:right="0" w:firstLine="0"/>
        <w:jc w:val="both"/>
      </w:pPr>
      <w:bookmarkStart w:id="32" w:name="Bookmark_para_2"/>
      <w:bookmarkEnd w:id="32"/>
      <w:r>
        <w:rPr>
          <w:rFonts w:ascii="arial" w:eastAsia="arial" w:hAnsi="arial" w:cs="arial"/>
          <w:b w:val="0"/>
          <w:i w:val="0"/>
          <w:strike w:val="0"/>
          <w:noProof w:val="0"/>
          <w:color w:val="000000"/>
          <w:position w:val="0"/>
          <w:sz w:val="20"/>
          <w:u w:val="none"/>
          <w:vertAlign w:val="baseline"/>
        </w:rPr>
        <w:t xml:space="preserve">BIBAS,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3"/>
      <w:bookmarkEnd w:id="33"/>
      <w:bookmarkStart w:id="34" w:name="Bookmark_LNHNREFclscc1"/>
      <w:bookmarkEnd w:id="34"/>
      <w:hyperlink r:id="rId23"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Courts must read broad phrases broadly. Trejilio Garcia-Vasquez was convicted of a drug-trafficking conspiracy and deported. Then he reentered the country illegally. After he pleaded guilty to illegal reentry, the judge enhanced his sentence based on his conspiracy conviction. He disputes that enhancement, claiming that his drug-trafficking-conspiracy conviction does not count as a "drug trafficking offense" </w:t>
      </w:r>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because it did not require selling drugs. But the phrase is broad enough to reach drug-trafficking conspiracies even without an overt act. So we will affirm his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Garcia-Vasquez's Cocaine Conspiracy, Deportation, and Reentry</w:t>
      </w:r>
    </w:p>
    <w:p>
      <w:pPr>
        <w:keepNext w:val="0"/>
        <w:spacing w:before="240" w:after="0" w:line="260" w:lineRule="atLeast"/>
        <w:ind w:left="0" w:right="0" w:firstLine="0"/>
        <w:jc w:val="both"/>
      </w:pPr>
      <w:bookmarkStart w:id="35" w:name="Bookmark_para_4"/>
      <w:bookmarkEnd w:id="35"/>
      <w:r>
        <w:rPr>
          <w:rFonts w:ascii="arial" w:eastAsia="arial" w:hAnsi="arial" w:cs="arial"/>
          <w:b w:val="0"/>
          <w:i w:val="0"/>
          <w:strike w:val="0"/>
          <w:noProof w:val="0"/>
          <w:color w:val="000000"/>
          <w:position w:val="0"/>
          <w:sz w:val="20"/>
          <w:u w:val="none"/>
          <w:vertAlign w:val="baseline"/>
        </w:rPr>
        <w:t>Garcia-Vasquez is a native and citizen of the Dominican Republic. He first came to the United States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illegally in the 1990s. Once here, he joined a drug-trafficking ring. He was arrested and, in 1999, convicted of conspiring to distribute and to possess with intent to distribute cocaine, in violation of </w:t>
      </w:r>
      <w:hyperlink r:id="rId19"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After serving his seventy-month federal prison sentence, he was removed to the Dominican Republic in 2003.</w:t>
      </w:r>
    </w:p>
    <w:p>
      <w:pPr>
        <w:keepNext w:val="0"/>
        <w:spacing w:before="200" w:after="0" w:line="260" w:lineRule="atLeast"/>
        <w:ind w:left="0" w:right="0" w:firstLine="0"/>
        <w:jc w:val="both"/>
      </w:pPr>
      <w:bookmarkStart w:id="36" w:name="Bookmark_para_5"/>
      <w:bookmarkEnd w:id="36"/>
      <w:r>
        <w:rPr>
          <w:rFonts w:ascii="arial" w:eastAsia="arial" w:hAnsi="arial" w:cs="arial"/>
          <w:b w:val="0"/>
          <w:i w:val="0"/>
          <w:strike w:val="0"/>
          <w:noProof w:val="0"/>
          <w:color w:val="000000"/>
          <w:position w:val="0"/>
          <w:sz w:val="20"/>
          <w:u w:val="none"/>
          <w:vertAlign w:val="baseline"/>
        </w:rPr>
        <w:t>Garcia-Vasquez later returned to the United States illegally. And he returned to dealing drugs. He was arrested and convicted in New Jersey state court of distributing heroin and other drug offenses and, in 2019, sentenced to ten years' imprisonment. The next year, New Jersey released him to federal immigration authorities.</w:t>
      </w:r>
    </w:p>
    <w:p>
      <w:pPr>
        <w:keepNext w:val="0"/>
        <w:spacing w:before="240" w:after="0" w:line="260" w:lineRule="atLeast"/>
        <w:ind w:left="0" w:right="0" w:firstLine="0"/>
        <w:jc w:val="both"/>
      </w:pPr>
      <w:bookmarkStart w:id="37" w:name="Bookmark_para_6"/>
      <w:bookmarkEnd w:id="37"/>
      <w:r>
        <w:rPr>
          <w:rFonts w:ascii="arial" w:eastAsia="arial" w:hAnsi="arial" w:cs="arial"/>
          <w:b w:val="0"/>
          <w:i w:val="0"/>
          <w:strike w:val="0"/>
          <w:noProof w:val="0"/>
          <w:color w:val="000000"/>
          <w:position w:val="0"/>
          <w:sz w:val="20"/>
          <w:u w:val="none"/>
          <w:vertAlign w:val="baseline"/>
        </w:rPr>
        <w:t xml:space="preserve">After that, Garcia-Vasquez pleaded guilty to reentering the country illegally after having been convicted of an aggravated felony and removed, in violation of </w:t>
      </w:r>
      <w:hyperlink r:id="rId25"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(b)(2)</w:t>
        </w:r>
      </w:hyperlink>
      <w:r>
        <w:rPr>
          <w:rFonts w:ascii="arial" w:eastAsia="arial" w:hAnsi="arial" w:cs="arial"/>
          <w:b w:val="0"/>
          <w:i w:val="0"/>
          <w:strike w:val="0"/>
          <w:noProof w:val="0"/>
          <w:color w:val="000000"/>
          <w:position w:val="0"/>
          <w:sz w:val="20"/>
          <w:u w:val="none"/>
          <w:vertAlign w:val="baseline"/>
        </w:rPr>
        <w:t>. At his first sentencing, the judge used the wrong edition of the Sentencing Guidelines Manual. So this Court vacated and remanded for resentencing.</w:t>
      </w:r>
    </w:p>
    <w:p>
      <w:pPr>
        <w:keepNext w:val="0"/>
        <w:spacing w:before="240" w:after="0" w:line="260" w:lineRule="atLeast"/>
        <w:ind w:left="0" w:right="0" w:firstLine="0"/>
        <w:jc w:val="both"/>
      </w:pPr>
      <w:bookmarkStart w:id="38" w:name="Bookmark_para_7"/>
      <w:bookmarkEnd w:id="38"/>
      <w:r>
        <w:rPr>
          <w:rFonts w:ascii="arial" w:eastAsia="arial" w:hAnsi="arial" w:cs="arial"/>
          <w:b w:val="0"/>
          <w:i w:val="0"/>
          <w:strike w:val="0"/>
          <w:noProof w:val="0"/>
          <w:color w:val="000000"/>
          <w:position w:val="0"/>
          <w:sz w:val="20"/>
          <w:u w:val="none"/>
          <w:vertAlign w:val="baseline"/>
        </w:rPr>
        <w:t xml:space="preserve">At resentencing, the parties disputed how much to enhance Garcia-Vasquez's illegal-reentry sentence based on his 1999 cocaine-conspiracy conviction. The government advocated a sixteen-level enhancement under </w:t>
      </w:r>
      <w:hyperlink r:id="rId12" w:history="1">
        <w:r>
          <w:rPr>
            <w:rFonts w:ascii="arial" w:eastAsia="arial" w:hAnsi="arial" w:cs="arial"/>
            <w:b w:val="0"/>
            <w:i/>
            <w:strike w:val="0"/>
            <w:noProof w:val="0"/>
            <w:color w:val="0077CC"/>
            <w:position w:val="0"/>
            <w:sz w:val="20"/>
            <w:u w:val="single"/>
            <w:vertAlign w:val="baseline"/>
          </w:rPr>
          <w:t>Sentencing Guideline § 2L1.2(b)(1)(A)(i)</w:t>
        </w:r>
      </w:hyperlink>
      <w:r>
        <w:rPr>
          <w:rFonts w:ascii="arial" w:eastAsia="arial" w:hAnsi="arial" w:cs="arial"/>
          <w:b w:val="0"/>
          <w:i w:val="0"/>
          <w:strike w:val="0"/>
          <w:noProof w:val="0"/>
          <w:color w:val="000000"/>
          <w:position w:val="0"/>
          <w:sz w:val="20"/>
          <w:u w:val="none"/>
          <w:vertAlign w:val="baseline"/>
        </w:rPr>
        <w:t xml:space="preserve"> (2015). </w:t>
      </w:r>
      <w:bookmarkStart w:id="39" w:name="Bookmark_LNHNREFclscc2"/>
      <w:bookmarkEnd w:id="39"/>
      <w:hyperlink r:id="rId26"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1"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Indeed, the Guideline's </w:t>
      </w:r>
      <w:hyperlink r:id="rId12" w:history="1">
        <w:r>
          <w:rPr>
            <w:rFonts w:ascii="arial" w:eastAsia="arial" w:hAnsi="arial" w:cs="arial"/>
            <w:b w:val="0"/>
            <w:i/>
            <w:strike w:val="0"/>
            <w:noProof w:val="0"/>
            <w:color w:val="0077CC"/>
            <w:position w:val="0"/>
            <w:sz w:val="20"/>
            <w:u w:val="single"/>
            <w:vertAlign w:val="baseline"/>
          </w:rPr>
          <w:t>Application Note 5</w:t>
        </w:r>
      </w:hyperlink>
      <w:r>
        <w:rPr>
          <w:rFonts w:ascii="arial" w:eastAsia="arial" w:hAnsi="arial" w:cs="arial"/>
          <w:b w:val="0"/>
          <w:i w:val="0"/>
          <w:strike w:val="0"/>
          <w:noProof w:val="0"/>
          <w:color w:val="000000"/>
          <w:position w:val="0"/>
          <w:sz w:val="20"/>
          <w:u w:val="none"/>
          <w:vertAlign w:val="baseline"/>
        </w:rPr>
        <w:t xml:space="preserve"> extends that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enhancement to inchoate crimes like conspiracy. </w:t>
      </w:r>
      <w:hyperlink r:id="rId12" w:history="1">
        <w:r>
          <w:rPr>
            <w:rFonts w:ascii="arial" w:eastAsia="arial" w:hAnsi="arial" w:cs="arial"/>
            <w:b w:val="0"/>
            <w:i/>
            <w:strike w:val="0"/>
            <w:noProof w:val="0"/>
            <w:color w:val="0077CC"/>
            <w:position w:val="0"/>
            <w:sz w:val="20"/>
            <w:u w:val="single"/>
            <w:vertAlign w:val="baseline"/>
          </w:rPr>
          <w:t>§ 2L1.2 cmt. n.5</w:t>
        </w:r>
      </w:hyperlink>
      <w:r>
        <w:rPr>
          <w:rFonts w:ascii="arial" w:eastAsia="arial" w:hAnsi="arial" w:cs="arial"/>
          <w:b w:val="0"/>
          <w:i w:val="0"/>
          <w:strike w:val="0"/>
          <w:noProof w:val="0"/>
          <w:color w:val="000000"/>
          <w:position w:val="0"/>
          <w:sz w:val="20"/>
          <w:u w:val="none"/>
          <w:vertAlign w:val="baseline"/>
        </w:rPr>
        <w:t>. But Garcia-Vasquez objected that application notes may not extend the reach of the Guideline's text. He added that, under the categorical approach, his federal conspiracy conviction did not count as a generic conspiracy because its elements did not require an overt act.</w:t>
      </w:r>
    </w:p>
    <w:p>
      <w:pPr>
        <w:keepNext w:val="0"/>
        <w:spacing w:before="200" w:after="0" w:line="260" w:lineRule="atLeast"/>
        <w:ind w:left="0" w:right="0" w:firstLine="0"/>
        <w:jc w:val="both"/>
      </w:pPr>
      <w:bookmarkStart w:id="40" w:name="Bookmark_para_8"/>
      <w:bookmarkEnd w:id="40"/>
      <w:r>
        <w:rPr>
          <w:rFonts w:ascii="arial" w:eastAsia="arial" w:hAnsi="arial" w:cs="arial"/>
          <w:b w:val="0"/>
          <w:i w:val="0"/>
          <w:strike w:val="0"/>
          <w:noProof w:val="0"/>
          <w:color w:val="000000"/>
          <w:position w:val="0"/>
          <w:sz w:val="20"/>
          <w:u w:val="none"/>
          <w:vertAlign w:val="baseline"/>
        </w:rPr>
        <w:t>The District Court agreed with the government and applied the sixteen-level enhancement. It sentenced him to forty-six months' imprisonment, the bottom of the enhanced range, followed by one year's supervised release.</w:t>
      </w:r>
    </w:p>
    <w:p>
      <w:pPr>
        <w:keepNext w:val="0"/>
        <w:spacing w:before="240" w:after="0" w:line="260" w:lineRule="atLeast"/>
        <w:ind w:left="0" w:right="0" w:firstLine="0"/>
        <w:jc w:val="both"/>
      </w:pPr>
      <w:bookmarkStart w:id="41" w:name="Bookmark_para_9"/>
      <w:bookmarkEnd w:id="41"/>
      <w:bookmarkStart w:id="42" w:name="Bookmark_I68DNBM32N1R4R0020000400"/>
      <w:bookmarkEnd w:id="42"/>
      <w:r>
        <w:rPr>
          <w:rFonts w:ascii="arial" w:eastAsia="arial" w:hAnsi="arial" w:cs="arial"/>
          <w:b w:val="0"/>
          <w:i w:val="0"/>
          <w:strike w:val="0"/>
          <w:noProof w:val="0"/>
          <w:color w:val="000000"/>
          <w:position w:val="0"/>
          <w:sz w:val="20"/>
          <w:u w:val="none"/>
          <w:vertAlign w:val="baseline"/>
        </w:rPr>
        <w:t xml:space="preserve">Garcia-Vasquez now appeals. The parties do not dispute any facts but disagree about how to read the Guideline. </w:t>
      </w:r>
      <w:bookmarkStart w:id="43" w:name="Bookmark_LNHNREFclscc3"/>
      <w:bookmarkEnd w:id="43"/>
      <w:hyperlink r:id="rId2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We review that pure issue of law de novo. </w:t>
      </w:r>
      <w:bookmarkStart w:id="44" w:name="Bookmark_I68DNBM32N1R4R0010000400"/>
      <w:bookmarkEnd w:id="44"/>
      <w:hyperlink r:id="rId28" w:history="1">
        <w:r>
          <w:rPr>
            <w:rFonts w:ascii="arial" w:eastAsia="arial" w:hAnsi="arial" w:cs="arial"/>
            <w:b w:val="0"/>
            <w:i/>
            <w:strike w:val="0"/>
            <w:noProof w:val="0"/>
            <w:color w:val="0077CC"/>
            <w:position w:val="0"/>
            <w:sz w:val="20"/>
            <w:u w:val="single"/>
            <w:vertAlign w:val="baseline"/>
          </w:rPr>
          <w:t>United States v. Nasir</w:t>
        </w:r>
      </w:hyperlink>
      <w:hyperlink r:id="rId28" w:history="1">
        <w:r>
          <w:rPr>
            <w:rFonts w:ascii="arial" w:eastAsia="arial" w:hAnsi="arial" w:cs="arial"/>
            <w:b w:val="0"/>
            <w:i/>
            <w:strike w:val="0"/>
            <w:noProof w:val="0"/>
            <w:color w:val="0077CC"/>
            <w:position w:val="0"/>
            <w:sz w:val="20"/>
            <w:u w:val="single"/>
            <w:vertAlign w:val="baseline"/>
          </w:rPr>
          <w:t>, 17 F.4th 459, 468 (3d Cir. 2021)</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0" w:right="0" w:firstLine="0"/>
        <w:jc w:val="both"/>
      </w:pPr>
      <w:bookmarkStart w:id="45" w:name="Bookmark_para_10"/>
      <w:bookmarkEnd w:id="45"/>
      <w:bookmarkStart w:id="46" w:name="Bookmark_I68DNBM32N1R4R0040000400"/>
      <w:bookmarkEnd w:id="46"/>
      <w:r>
        <w:rPr>
          <w:rFonts w:ascii="arial" w:eastAsia="arial" w:hAnsi="arial" w:cs="arial"/>
          <w:b w:val="0"/>
          <w:i w:val="0"/>
          <w:strike w:val="0"/>
          <w:noProof w:val="0"/>
          <w:color w:val="000000"/>
          <w:position w:val="0"/>
          <w:sz w:val="20"/>
          <w:u w:val="none"/>
          <w:vertAlign w:val="baseline"/>
        </w:rPr>
        <w:t xml:space="preserve">One procedural note: Even though Garcia-Vasquez has just finished his prison term and may soon be removed, this case is not moot. If we granted relief, the District Court on remand could credit any excess imprisonment against his remaining supervised-release term. That possibility is enough to keep this case alive. </w:t>
      </w:r>
      <w:bookmarkStart w:id="47" w:name="Bookmark_I68DNBM32N1R4R0030000400"/>
      <w:bookmarkEnd w:id="47"/>
      <w:hyperlink r:id="rId29" w:history="1">
        <w:r>
          <w:rPr>
            <w:rFonts w:ascii="arial" w:eastAsia="arial" w:hAnsi="arial" w:cs="arial"/>
            <w:b w:val="0"/>
            <w:i/>
            <w:strike w:val="0"/>
            <w:noProof w:val="0"/>
            <w:color w:val="0077CC"/>
            <w:position w:val="0"/>
            <w:sz w:val="20"/>
            <w:u w:val="single"/>
            <w:vertAlign w:val="baseline"/>
          </w:rPr>
          <w:t>United States v. Prophet</w:t>
        </w:r>
      </w:hyperlink>
      <w:hyperlink r:id="rId29" w:history="1">
        <w:r>
          <w:rPr>
            <w:rFonts w:ascii="arial" w:eastAsia="arial" w:hAnsi="arial" w:cs="arial"/>
            <w:b w:val="0"/>
            <w:i/>
            <w:strike w:val="0"/>
            <w:noProof w:val="0"/>
            <w:color w:val="0077CC"/>
            <w:position w:val="0"/>
            <w:sz w:val="20"/>
            <w:u w:val="single"/>
            <w:vertAlign w:val="baseline"/>
          </w:rPr>
          <w:t>, 989 F.3d 231, 235 (3d Cir. 2021)</w:t>
        </w:r>
      </w:hyperlink>
      <w:r>
        <w:rPr>
          <w:rFonts w:ascii="arial" w:eastAsia="arial" w:hAnsi="arial" w:cs="arial"/>
          <w:b w:val="0"/>
          <w:i w:val="0"/>
          <w:strike w:val="0"/>
          <w:noProof w:val="0"/>
          <w:color w:val="000000"/>
          <w:position w:val="0"/>
          <w:sz w:val="20"/>
          <w:u w:val="none"/>
          <w:vertAlign w:val="baseline"/>
        </w:rPr>
        <w:t>. So we proceed to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"Drug Trafficking Offense" Includes Conspiracies</w:t>
      </w:r>
    </w:p>
    <w:p>
      <w:pPr>
        <w:keepNext w:val="0"/>
        <w:spacing w:before="240" w:after="0" w:line="260" w:lineRule="atLeast"/>
        <w:ind w:left="0" w:right="0" w:firstLine="0"/>
        <w:jc w:val="both"/>
      </w:pPr>
      <w:bookmarkStart w:id="48" w:name="Bookmark_para_11"/>
      <w:bookmarkEnd w:id="48"/>
      <w:bookmarkStart w:id="49" w:name="Bookmark_I68DNBM32SF8C60010000400"/>
      <w:bookmarkEnd w:id="49"/>
      <w:r>
        <w:rPr>
          <w:rFonts w:ascii="arial" w:eastAsia="arial" w:hAnsi="arial" w:cs="arial"/>
          <w:b w:val="0"/>
          <w:i w:val="0"/>
          <w:strike w:val="0"/>
          <w:noProof w:val="0"/>
          <w:color w:val="000000"/>
          <w:position w:val="0"/>
          <w:sz w:val="20"/>
          <w:u w:val="none"/>
          <w:vertAlign w:val="baseline"/>
        </w:rPr>
        <w:t>Garcia-Vasquez argues that his 1999 conviction was only for conspiring to traffic drugs, not actually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trafficking them. He relies on our recent en banc decision in </w:t>
      </w:r>
      <w:bookmarkStart w:id="50" w:name="Bookmark_I68DNBM32N1R4R0050000400"/>
      <w:bookmarkEnd w:id="50"/>
      <w:hyperlink r:id="rId28" w:history="1">
        <w:r>
          <w:rPr>
            <w:rFonts w:ascii="arial" w:eastAsia="arial" w:hAnsi="arial" w:cs="arial"/>
            <w:b w:val="0"/>
            <w:i/>
            <w:strike w:val="0"/>
            <w:noProof w:val="0"/>
            <w:color w:val="0077CC"/>
            <w:position w:val="0"/>
            <w:sz w:val="20"/>
            <w:u w:val="single"/>
            <w:vertAlign w:val="baseline"/>
          </w:rPr>
          <w:t>Nasir</w:t>
        </w:r>
      </w:hyperlink>
      <w:r>
        <w:rPr>
          <w:rFonts w:ascii="arial" w:eastAsia="arial" w:hAnsi="arial" w:cs="arial"/>
          <w:b w:val="0"/>
          <w:i w:val="0"/>
          <w:strike w:val="0"/>
          <w:noProof w:val="0"/>
          <w:color w:val="000000"/>
          <w:position w:val="0"/>
          <w:sz w:val="20"/>
          <w:u w:val="none"/>
          <w:vertAlign w:val="baseline"/>
        </w:rPr>
        <w:t xml:space="preserve">, which held that an application note may not expand a guideline's text to reach inchoate crimes. </w:t>
      </w:r>
      <w:bookmarkStart w:id="51" w:name="Bookmark_I68DNBM32SF8C60020000400"/>
      <w:bookmarkEnd w:id="51"/>
      <w:hyperlink r:id="rId28" w:history="1">
        <w:r>
          <w:rPr>
            <w:rFonts w:ascii="arial" w:eastAsia="arial" w:hAnsi="arial" w:cs="arial"/>
            <w:b w:val="0"/>
            <w:i/>
            <w:strike w:val="0"/>
            <w:noProof w:val="0"/>
            <w:color w:val="0077CC"/>
            <w:position w:val="0"/>
            <w:sz w:val="20"/>
            <w:u w:val="single"/>
            <w:vertAlign w:val="baseline"/>
          </w:rPr>
          <w:t>17 F.4th at 468-72</w:t>
        </w:r>
      </w:hyperlink>
      <w:r>
        <w:rPr>
          <w:rFonts w:ascii="arial" w:eastAsia="arial" w:hAnsi="arial" w:cs="arial"/>
          <w:b w:val="0"/>
          <w:i w:val="0"/>
          <w:strike w:val="0"/>
          <w:noProof w:val="0"/>
          <w:color w:val="000000"/>
          <w:position w:val="0"/>
          <w:sz w:val="20"/>
          <w:u w:val="none"/>
          <w:vertAlign w:val="baseline"/>
        </w:rPr>
        <w:t xml:space="preserve">. Here, he observes, only </w:t>
      </w:r>
      <w:hyperlink r:id="rId12" w:history="1">
        <w:r>
          <w:rPr>
            <w:rFonts w:ascii="arial" w:eastAsia="arial" w:hAnsi="arial" w:cs="arial"/>
            <w:b w:val="0"/>
            <w:i/>
            <w:strike w:val="0"/>
            <w:noProof w:val="0"/>
            <w:color w:val="0077CC"/>
            <w:position w:val="0"/>
            <w:sz w:val="20"/>
            <w:u w:val="single"/>
            <w:vertAlign w:val="baseline"/>
          </w:rPr>
          <w:t>Application Note 5</w:t>
        </w:r>
      </w:hyperlink>
      <w:r>
        <w:rPr>
          <w:rFonts w:ascii="arial" w:eastAsia="arial" w:hAnsi="arial" w:cs="arial"/>
          <w:b w:val="0"/>
          <w:i w:val="0"/>
          <w:strike w:val="0"/>
          <w:noProof w:val="0"/>
          <w:color w:val="000000"/>
          <w:position w:val="0"/>
          <w:sz w:val="20"/>
          <w:u w:val="none"/>
          <w:vertAlign w:val="baseline"/>
        </w:rPr>
        <w:t xml:space="preserve"> names inchoate crimes expressly. But the plain meaning of "drug trafficking offense" already includes drug-trafficking conspiracies. So we need not resort to the application notes.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 "Offense" reaches the broad family of drug-trafficking crimes, including conspiracies</w:t>
      </w:r>
    </w:p>
    <w:p>
      <w:pPr>
        <w:keepNext w:val="0"/>
        <w:spacing w:before="240" w:after="0" w:line="260" w:lineRule="atLeast"/>
        <w:ind w:left="0" w:right="0" w:firstLine="0"/>
        <w:jc w:val="both"/>
      </w:pPr>
      <w:bookmarkStart w:id="52" w:name="Bookmark_para_12"/>
      <w:bookmarkEnd w:id="52"/>
      <w:bookmarkStart w:id="53" w:name="Bookmark_I2XJXKHGG170000799T00017"/>
      <w:bookmarkEnd w:id="53"/>
      <w:bookmarkStart w:id="54" w:name="Bookmark_I68DNBM32SF8C60050000400"/>
      <w:bookmarkEnd w:id="54"/>
      <w:r>
        <w:rPr>
          <w:rFonts w:ascii="arial" w:eastAsia="arial" w:hAnsi="arial" w:cs="arial"/>
          <w:b w:val="0"/>
          <w:i w:val="0"/>
          <w:strike w:val="0"/>
          <w:noProof w:val="0"/>
          <w:color w:val="000000"/>
          <w:position w:val="0"/>
          <w:sz w:val="20"/>
          <w:u w:val="none"/>
          <w:vertAlign w:val="baseline"/>
        </w:rPr>
        <w:t xml:space="preserve">We start with the text. </w:t>
      </w:r>
      <w:bookmarkStart w:id="55" w:name="Bookmark_LNHNREFclscc4"/>
      <w:bookmarkEnd w:id="55"/>
      <w:hyperlink r:id="rId3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3"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illegal-reentry Guideline differs materially from the one in </w:t>
      </w:r>
      <w:bookmarkStart w:id="56" w:name="Bookmark_I68DNBM32SF8C60040000400"/>
      <w:bookmarkEnd w:id="56"/>
      <w:hyperlink r:id="rId28" w:history="1">
        <w:r>
          <w:rPr>
            <w:rFonts w:ascii="arial" w:eastAsia="arial" w:hAnsi="arial" w:cs="arial"/>
            <w:b w:val="0"/>
            <w:i/>
            <w:strike w:val="0"/>
            <w:noProof w:val="0"/>
            <w:color w:val="0077CC"/>
            <w:position w:val="0"/>
            <w:sz w:val="20"/>
            <w:u w:val="single"/>
            <w:vertAlign w:val="baseline"/>
          </w:rPr>
          <w:t>Nasir</w:t>
        </w:r>
      </w:hyperlink>
      <w:bookmarkStart w:id="57" w:name="Bookmark_I68DNBM32D6P0S0020000400"/>
      <w:bookmarkEnd w:id="57"/>
      <w:r>
        <w:rPr>
          <w:rFonts w:ascii="arial" w:eastAsia="arial" w:hAnsi="arial" w:cs="arial"/>
          <w:b w:val="0"/>
          <w:i w:val="0"/>
          <w:strike w:val="0"/>
          <w:noProof w:val="0"/>
          <w:color w:val="000000"/>
          <w:position w:val="0"/>
          <w:sz w:val="20"/>
          <w:u w:val="none"/>
          <w:vertAlign w:val="baseline"/>
        </w:rPr>
        <w:t xml:space="preserve">. It requires that Garcia-Vasquez's prior conviction be "a drug trafficking offense for which the sentence imposed exceeded 13 months." </w:t>
      </w:r>
      <w:hyperlink r:id="rId12" w:history="1">
        <w:r>
          <w:rPr>
            <w:rFonts w:ascii="arial" w:eastAsia="arial" w:hAnsi="arial" w:cs="arial"/>
            <w:b w:val="0"/>
            <w:i/>
            <w:strike w:val="0"/>
            <w:noProof w:val="0"/>
            <w:color w:val="0077CC"/>
            <w:position w:val="0"/>
            <w:sz w:val="20"/>
            <w:u w:val="single"/>
            <w:vertAlign w:val="baseline"/>
          </w:rPr>
          <w:t>U.S.S.G. § 2L1.2(b)(1)(A)(i)</w:t>
        </w:r>
      </w:hyperlink>
      <w:r>
        <w:rPr>
          <w:rFonts w:ascii="arial" w:eastAsia="arial" w:hAnsi="arial" w:cs="arial"/>
          <w:b w:val="0"/>
          <w:i w:val="0"/>
          <w:strike w:val="0"/>
          <w:noProof w:val="0"/>
          <w:color w:val="000000"/>
          <w:position w:val="0"/>
          <w:sz w:val="20"/>
          <w:u w:val="none"/>
          <w:vertAlign w:val="baseline"/>
        </w:rPr>
        <w:t xml:space="preserve"> (2015). </w:t>
      </w:r>
      <w:bookmarkStart w:id="58" w:name="Bookmark_I68DNBM32D6P0S0020000400_2"/>
      <w:bookmarkEnd w:id="58"/>
      <w:r>
        <w:rPr>
          <w:rFonts w:ascii="arial" w:eastAsia="arial" w:hAnsi="arial" w:cs="arial"/>
          <w:b w:val="0"/>
          <w:i w:val="0"/>
          <w:strike w:val="0"/>
          <w:noProof w:val="0"/>
          <w:color w:val="000000"/>
          <w:position w:val="0"/>
          <w:sz w:val="20"/>
          <w:u w:val="none"/>
          <w:vertAlign w:val="baseline"/>
        </w:rPr>
        <w:t xml:space="preserve">Its text does not define "drug trafficking offense"; only the application notes do. By contrast, the text of </w:t>
      </w:r>
      <w:bookmarkStart w:id="59" w:name="Bookmark_I68DNBM32D6P0S0020000400_3"/>
      <w:bookmarkEnd w:id="59"/>
      <w:bookmarkStart w:id="60" w:name="Bookmark_I68DNBM32D6P0S0010000400"/>
      <w:bookmarkEnd w:id="60"/>
      <w:hyperlink r:id="rId28" w:history="1">
        <w:r>
          <w:rPr>
            <w:rFonts w:ascii="arial" w:eastAsia="arial" w:hAnsi="arial" w:cs="arial"/>
            <w:b w:val="0"/>
            <w:i/>
            <w:strike w:val="0"/>
            <w:noProof w:val="0"/>
            <w:color w:val="0077CC"/>
            <w:position w:val="0"/>
            <w:sz w:val="20"/>
            <w:u w:val="single"/>
            <w:vertAlign w:val="baseline"/>
          </w:rPr>
          <w:t>Nasir</w:t>
        </w:r>
      </w:hyperlink>
      <w:bookmarkStart w:id="61" w:name="Bookmark_I68DNBM32D6P0S0040000400"/>
      <w:bookmarkEnd w:id="61"/>
      <w:r>
        <w:rPr>
          <w:rFonts w:ascii="arial" w:eastAsia="arial" w:hAnsi="arial" w:cs="arial"/>
          <w:b w:val="0"/>
          <w:i w:val="0"/>
          <w:strike w:val="0"/>
          <w:noProof w:val="0"/>
          <w:color w:val="000000"/>
          <w:position w:val="0"/>
          <w:sz w:val="20"/>
          <w:u w:val="none"/>
          <w:vertAlign w:val="baseline"/>
        </w:rPr>
        <w:t xml:space="preserve">'s career-offender guideline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define "controlled substance offense" and omitted inchoate crimes. </w:t>
      </w:r>
      <w:hyperlink r:id="rId31" w:history="1">
        <w:r>
          <w:rPr>
            <w:rFonts w:ascii="arial" w:eastAsia="arial" w:hAnsi="arial" w:cs="arial"/>
            <w:b w:val="0"/>
            <w:i/>
            <w:strike w:val="0"/>
            <w:noProof w:val="0"/>
            <w:color w:val="0077CC"/>
            <w:position w:val="0"/>
            <w:sz w:val="20"/>
            <w:u w:val="single"/>
            <w:vertAlign w:val="baseline"/>
          </w:rPr>
          <w:t>U.S.S.G. § 4B1.2(b)</w:t>
        </w:r>
      </w:hyperlink>
      <w:r>
        <w:rPr>
          <w:rFonts w:ascii="arial" w:eastAsia="arial" w:hAnsi="arial" w:cs="arial"/>
          <w:b w:val="0"/>
          <w:i w:val="0"/>
          <w:strike w:val="0"/>
          <w:noProof w:val="0"/>
          <w:color w:val="000000"/>
          <w:position w:val="0"/>
          <w:sz w:val="20"/>
          <w:u w:val="none"/>
          <w:vertAlign w:val="baseline"/>
        </w:rPr>
        <w:t xml:space="preserve">. </w:t>
      </w:r>
      <w:bookmarkStart w:id="62" w:name="Bookmark_I68DNBM32D6P0S0040000400_2"/>
      <w:bookmarkEnd w:id="62"/>
      <w:bookmarkStart w:id="63" w:name="Bookmark_I68DNBM32D6P0S0030000400"/>
      <w:bookmarkEnd w:id="63"/>
      <w:hyperlink r:id="rId28" w:history="1">
        <w:r>
          <w:rPr>
            <w:rFonts w:ascii="arial" w:eastAsia="arial" w:hAnsi="arial" w:cs="arial"/>
            <w:b w:val="0"/>
            <w:i/>
            <w:strike w:val="0"/>
            <w:noProof w:val="0"/>
            <w:color w:val="0077CC"/>
            <w:position w:val="0"/>
            <w:sz w:val="20"/>
            <w:u w:val="single"/>
            <w:vertAlign w:val="baseline"/>
          </w:rPr>
          <w:t>Nasir</w:t>
        </w:r>
      </w:hyperlink>
      <w:r>
        <w:rPr>
          <w:rFonts w:ascii="arial" w:eastAsia="arial" w:hAnsi="arial" w:cs="arial"/>
          <w:b w:val="0"/>
          <w:i w:val="0"/>
          <w:strike w:val="0"/>
          <w:noProof w:val="0"/>
          <w:color w:val="000000"/>
          <w:position w:val="0"/>
          <w:sz w:val="20"/>
          <w:u w:val="none"/>
          <w:vertAlign w:val="baseline"/>
        </w:rPr>
        <w:t xml:space="preserve"> refused to let the commentary expand the textual definition to reach inchoate crimes too. But here, there is no textual definition. So we must give the phrase "a drug trafficking offense" its ordinary meaning.</w:t>
      </w:r>
    </w:p>
    <w:p>
      <w:pPr>
        <w:keepNext w:val="0"/>
        <w:spacing w:before="200" w:after="0" w:line="260" w:lineRule="atLeast"/>
        <w:ind w:left="0" w:right="0" w:firstLine="0"/>
        <w:jc w:val="both"/>
      </w:pPr>
      <w:bookmarkStart w:id="64" w:name="Bookmark_para_13"/>
      <w:bookmarkEnd w:id="64"/>
      <w:bookmarkStart w:id="65" w:name="Bookmark_I68DNBM32HM6KR0010000400"/>
      <w:bookmarkEnd w:id="65"/>
      <w:r>
        <w:rPr>
          <w:rFonts w:ascii="arial" w:eastAsia="arial" w:hAnsi="arial" w:cs="arial"/>
          <w:b w:val="0"/>
          <w:i w:val="0"/>
          <w:strike w:val="0"/>
          <w:noProof w:val="0"/>
          <w:color w:val="000000"/>
          <w:position w:val="0"/>
          <w:sz w:val="20"/>
          <w:u w:val="none"/>
          <w:vertAlign w:val="baseline"/>
        </w:rPr>
        <w:t xml:space="preserve">Garcia-Vasquez says he was never convicted of drug </w:t>
      </w:r>
      <w:r>
        <w:rPr>
          <w:rFonts w:ascii="arial" w:eastAsia="arial" w:hAnsi="arial" w:cs="arial"/>
          <w:b w:val="0"/>
          <w:i/>
          <w:strike w:val="0"/>
          <w:noProof w:val="0"/>
          <w:color w:val="000000"/>
          <w:position w:val="0"/>
          <w:sz w:val="20"/>
          <w:u w:val="none"/>
          <w:vertAlign w:val="baseline"/>
        </w:rPr>
        <w:t>trafficking</w:t>
      </w:r>
      <w:r>
        <w:rPr>
          <w:rFonts w:ascii="arial" w:eastAsia="arial" w:hAnsi="arial" w:cs="arial"/>
          <w:b w:val="0"/>
          <w:i w:val="0"/>
          <w:strike w:val="0"/>
          <w:noProof w:val="0"/>
          <w:color w:val="000000"/>
          <w:position w:val="0"/>
          <w:sz w:val="20"/>
          <w:u w:val="none"/>
          <w:vertAlign w:val="baseline"/>
        </w:rPr>
        <w:t>. Trafficking, he insists, requires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buying, selling, dealing, and the like. </w:t>
      </w:r>
      <w:bookmarkStart w:id="66" w:name="Bookmark_LNHNREFclscc5"/>
      <w:bookmarkEnd w:id="66"/>
      <w:hyperlink r:id="rId3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4"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But conspiring requires only an agreement, not trading or even negotiating. </w:t>
      </w:r>
      <w:r>
        <w:rPr>
          <w:rFonts w:ascii="arial" w:eastAsia="arial" w:hAnsi="arial" w:cs="arial"/>
          <w:b w:val="0"/>
          <w:i/>
          <w:strike w:val="0"/>
          <w:noProof w:val="0"/>
          <w:color w:val="000000"/>
          <w:position w:val="0"/>
          <w:sz w:val="20"/>
          <w:u w:val="none"/>
          <w:vertAlign w:val="baseline"/>
        </w:rPr>
        <w:t xml:space="preserve">See </w:t>
      </w:r>
      <w:bookmarkStart w:id="67" w:name="Bookmark_I68DNBM32D6P0S0050000400"/>
      <w:bookmarkEnd w:id="67"/>
      <w:hyperlink r:id="rId33" w:history="1">
        <w:r>
          <w:rPr>
            <w:rFonts w:ascii="arial" w:eastAsia="arial" w:hAnsi="arial" w:cs="arial"/>
            <w:b w:val="0"/>
            <w:i/>
            <w:strike w:val="0"/>
            <w:noProof w:val="0"/>
            <w:color w:val="0077CC"/>
            <w:position w:val="0"/>
            <w:sz w:val="20"/>
            <w:u w:val="single"/>
            <w:vertAlign w:val="baseline"/>
          </w:rPr>
          <w:t>United States v. Shabani</w:t>
        </w:r>
      </w:hyperlink>
      <w:hyperlink r:id="rId33" w:history="1">
        <w:r>
          <w:rPr>
            <w:rFonts w:ascii="arial" w:eastAsia="arial" w:hAnsi="arial" w:cs="arial"/>
            <w:b w:val="0"/>
            <w:i/>
            <w:strike w:val="0"/>
            <w:noProof w:val="0"/>
            <w:color w:val="0077CC"/>
            <w:position w:val="0"/>
            <w:sz w:val="20"/>
            <w:u w:val="single"/>
            <w:vertAlign w:val="baseline"/>
          </w:rPr>
          <w:t>, 513 U.S. 10, 17, 115 S. Ct. 382, 130 L. Ed. 2d 225 (1994)</w:t>
        </w:r>
      </w:hyperlink>
      <w:r>
        <w:rPr>
          <w:rFonts w:ascii="arial" w:eastAsia="arial" w:hAnsi="arial" w:cs="arial"/>
          <w:b w:val="0"/>
          <w:i w:val="0"/>
          <w:strike w:val="0"/>
          <w:noProof w:val="0"/>
          <w:color w:val="000000"/>
          <w:position w:val="0"/>
          <w:sz w:val="20"/>
          <w:u w:val="none"/>
          <w:vertAlign w:val="baseline"/>
        </w:rPr>
        <w:t xml:space="preserve">. We accept that reading for the sake of argument. But </w:t>
      </w:r>
      <w:bookmarkStart w:id="68" w:name="Bookmark_LNHNREFclscc6"/>
      <w:bookmarkEnd w:id="68"/>
      <w:hyperlink r:id="rId34"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5"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Guideline's ordinary meaning goes beyond actual trafficking to include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drug-trafficking offense. It captures conspiracies.</w:t>
      </w:r>
    </w:p>
    <w:p>
      <w:pPr>
        <w:keepNext w:val="0"/>
        <w:spacing w:before="200" w:after="0" w:line="260" w:lineRule="atLeast"/>
        <w:ind w:left="0" w:right="0" w:firstLine="0"/>
        <w:jc w:val="both"/>
      </w:pPr>
      <w:bookmarkStart w:id="69" w:name="Bookmark_para_14"/>
      <w:bookmarkEnd w:id="69"/>
      <w:r>
        <w:rPr>
          <w:rFonts w:ascii="arial" w:eastAsia="arial" w:hAnsi="arial" w:cs="arial"/>
          <w:b w:val="0"/>
          <w:i w:val="0"/>
          <w:strike w:val="0"/>
          <w:noProof w:val="0"/>
          <w:color w:val="000000"/>
          <w:position w:val="0"/>
          <w:sz w:val="20"/>
          <w:u w:val="none"/>
          <w:vertAlign w:val="baseline"/>
        </w:rPr>
        <w:t>1. "</w:t>
      </w:r>
      <w:r>
        <w:rPr>
          <w:rFonts w:ascii="arial" w:eastAsia="arial" w:hAnsi="arial" w:cs="arial"/>
          <w:b w:val="0"/>
          <w:i/>
          <w:strike w:val="0"/>
          <w:noProof w:val="0"/>
          <w:color w:val="000000"/>
          <w:position w:val="0"/>
          <w:sz w:val="20"/>
          <w:u w:val="none"/>
          <w:vertAlign w:val="baseline"/>
        </w:rPr>
        <w:t>A[n] ... offense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defines a family of related crimes</w:t>
      </w:r>
      <w:r>
        <w:rPr>
          <w:rFonts w:ascii="arial" w:eastAsia="arial" w:hAnsi="arial" w:cs="arial"/>
          <w:b w:val="0"/>
          <w:i w:val="0"/>
          <w:strike w:val="0"/>
          <w:noProof w:val="0"/>
          <w:color w:val="000000"/>
          <w:position w:val="0"/>
          <w:sz w:val="20"/>
          <w:u w:val="none"/>
          <w:vertAlign w:val="baseline"/>
        </w:rPr>
        <w:t xml:space="preserve">. The word "offense" is not surplusage. American law commonly uses "offense" to refer to a group of crimes. </w:t>
      </w:r>
      <w:r>
        <w:rPr>
          <w:rFonts w:ascii="arial" w:eastAsia="arial" w:hAnsi="arial" w:cs="arial"/>
          <w:b w:val="0"/>
          <w:i/>
          <w:strike w:val="0"/>
          <w:noProof w:val="0"/>
          <w:color w:val="000000"/>
          <w:position w:val="0"/>
          <w:sz w:val="20"/>
          <w:u w:val="none"/>
          <w:vertAlign w:val="baseline"/>
        </w:rPr>
        <w:t>Black's Law Dictionary</w:t>
      </w:r>
      <w:r>
        <w:rPr>
          <w:rFonts w:ascii="arial" w:eastAsia="arial" w:hAnsi="arial" w:cs="arial"/>
          <w:b w:val="0"/>
          <w:i w:val="0"/>
          <w:strike w:val="0"/>
          <w:noProof w:val="0"/>
          <w:color w:val="000000"/>
          <w:position w:val="0"/>
          <w:sz w:val="20"/>
          <w:u w:val="none"/>
          <w:vertAlign w:val="baseline"/>
        </w:rPr>
        <w:t xml:space="preserve"> lists dozens of compound nouns in which a term modifies "offense." Each compound refers to a category, often a broad family, rather than a specific crime. Examples include "offense against property," "offense against the person," and "sexual offense." </w:t>
      </w:r>
      <w:r>
        <w:rPr>
          <w:rFonts w:ascii="arial" w:eastAsia="arial" w:hAnsi="arial" w:cs="arial"/>
          <w:b w:val="0"/>
          <w:i/>
          <w:strike w:val="0"/>
          <w:noProof w:val="0"/>
          <w:color w:val="000000"/>
          <w:position w:val="0"/>
          <w:sz w:val="20"/>
          <w:u w:val="none"/>
          <w:vertAlign w:val="baseline"/>
        </w:rPr>
        <w:t>Offense</w:t>
      </w:r>
      <w:r>
        <w:rPr>
          <w:rFonts w:ascii="arial" w:eastAsia="arial" w:hAnsi="arial" w:cs="arial"/>
          <w:b w:val="0"/>
          <w:i w:val="0"/>
          <w:strike w:val="0"/>
          <w:noProof w:val="0"/>
          <w:color w:val="000000"/>
          <w:position w:val="0"/>
          <w:sz w:val="20"/>
          <w:u w:val="none"/>
          <w:vertAlign w:val="baseline"/>
        </w:rPr>
        <w:t xml:space="preserve"> (def. 1), </w:t>
      </w:r>
      <w:r>
        <w:rPr>
          <w:rFonts w:ascii="arial" w:eastAsia="arial" w:hAnsi="arial" w:cs="arial"/>
          <w:b w:val="0"/>
          <w:i/>
          <w:strike w:val="0"/>
          <w:noProof w:val="0"/>
          <w:color w:val="000000"/>
          <w:position w:val="0"/>
          <w:sz w:val="20"/>
          <w:u w:val="none"/>
          <w:vertAlign w:val="baseline"/>
        </w:rPr>
        <w:t>Black's Law Dictionary</w:t>
      </w:r>
      <w:r>
        <w:rPr>
          <w:rFonts w:ascii="arial" w:eastAsia="arial" w:hAnsi="arial" w:cs="arial"/>
          <w:b w:val="0"/>
          <w:i w:val="0"/>
          <w:strike w:val="0"/>
          <w:noProof w:val="0"/>
          <w:color w:val="000000"/>
          <w:position w:val="0"/>
          <w:sz w:val="20"/>
          <w:u w:val="none"/>
          <w:vertAlign w:val="baseline"/>
        </w:rPr>
        <w:t xml:space="preserve"> (7th ed. 1999) (two years before the phrase was added to the Guideline). And though a specific crime requires specific elements, these groupings share only family resemblances. In other words, they need not all have the same necessary or sufficient conditions, but only recognizable similarities.</w:t>
      </w:r>
    </w:p>
    <w:p>
      <w:pPr>
        <w:keepNext w:val="0"/>
        <w:spacing w:before="240" w:after="0" w:line="260" w:lineRule="atLeast"/>
        <w:ind w:left="0" w:right="0" w:firstLine="0"/>
        <w:jc w:val="both"/>
      </w:pPr>
      <w:bookmarkStart w:id="70" w:name="Bookmark_para_15"/>
      <w:bookmarkEnd w:id="70"/>
      <w:bookmarkStart w:id="71" w:name="Bookmark_I68DNBM32HM6KR0030000400"/>
      <w:bookmarkEnd w:id="71"/>
      <w:bookmarkStart w:id="72" w:name="Bookmark_I68DNBM32HM6KR0050000400"/>
      <w:bookmarkEnd w:id="72"/>
      <w:r>
        <w:rPr>
          <w:rFonts w:ascii="arial" w:eastAsia="arial" w:hAnsi="arial" w:cs="arial"/>
          <w:b w:val="0"/>
          <w:i w:val="0"/>
          <w:strike w:val="0"/>
          <w:noProof w:val="0"/>
          <w:color w:val="000000"/>
          <w:position w:val="0"/>
          <w:sz w:val="20"/>
          <w:u w:val="none"/>
          <w:vertAlign w:val="baseline"/>
        </w:rPr>
        <w:t>Plus, the Guideline refers to "a" drug-trafficking offense, meaning one out of many. In combination, "[t]he use of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indefinite article 'a[]' and the addition of 'offense' at the phrase's end indicates that the phrase ... is meant to refer not just to [the offense] per se but to a family of offenses that are in some sense related to" it. </w:t>
      </w:r>
      <w:bookmarkStart w:id="73" w:name="Bookmark_I68DNBM32HM6KR0020000400"/>
      <w:bookmarkEnd w:id="73"/>
      <w:hyperlink r:id="rId35" w:history="1">
        <w:r>
          <w:rPr>
            <w:rFonts w:ascii="arial" w:eastAsia="arial" w:hAnsi="arial" w:cs="arial"/>
            <w:b w:val="0"/>
            <w:i/>
            <w:strike w:val="0"/>
            <w:noProof w:val="0"/>
            <w:color w:val="0077CC"/>
            <w:position w:val="0"/>
            <w:sz w:val="20"/>
            <w:u w:val="single"/>
            <w:vertAlign w:val="baseline"/>
          </w:rPr>
          <w:t>United States v. Martinez-Candejas</w:t>
        </w:r>
      </w:hyperlink>
      <w:hyperlink r:id="rId35" w:history="1">
        <w:r>
          <w:rPr>
            <w:rFonts w:ascii="arial" w:eastAsia="arial" w:hAnsi="arial" w:cs="arial"/>
            <w:b w:val="0"/>
            <w:i/>
            <w:strike w:val="0"/>
            <w:noProof w:val="0"/>
            <w:color w:val="0077CC"/>
            <w:position w:val="0"/>
            <w:sz w:val="20"/>
            <w:u w:val="single"/>
            <w:vertAlign w:val="baseline"/>
          </w:rPr>
          <w:t>, 347 F.3d 853, 856 (10th Cir. 2003)</w:t>
        </w:r>
      </w:hyperlink>
      <w:r>
        <w:rPr>
          <w:rFonts w:ascii="arial" w:eastAsia="arial" w:hAnsi="arial" w:cs="arial"/>
          <w:b w:val="0"/>
          <w:i w:val="0"/>
          <w:strike w:val="0"/>
          <w:noProof w:val="0"/>
          <w:color w:val="000000"/>
          <w:position w:val="0"/>
          <w:sz w:val="20"/>
          <w:u w:val="none"/>
          <w:vertAlign w:val="baseline"/>
        </w:rPr>
        <w:t xml:space="preserve"> (McConnell, J.) (addressing "an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 under the same Guideline); </w:t>
      </w:r>
      <w:r>
        <w:rPr>
          <w:rFonts w:ascii="arial" w:eastAsia="arial" w:hAnsi="arial" w:cs="arial"/>
          <w:b w:val="0"/>
          <w:i/>
          <w:strike w:val="0"/>
          <w:noProof w:val="0"/>
          <w:color w:val="000000"/>
          <w:position w:val="0"/>
          <w:sz w:val="20"/>
          <w:u w:val="none"/>
          <w:vertAlign w:val="baseline"/>
        </w:rPr>
        <w:t xml:space="preserve">see also </w:t>
      </w:r>
      <w:bookmarkStart w:id="74" w:name="Bookmark_I68DNBM32HM6KR0040000400"/>
      <w:bookmarkEnd w:id="74"/>
      <w:hyperlink r:id="rId36" w:history="1">
        <w:r>
          <w:rPr>
            <w:rFonts w:ascii="arial" w:eastAsia="arial" w:hAnsi="arial" w:cs="arial"/>
            <w:b w:val="0"/>
            <w:i/>
            <w:strike w:val="0"/>
            <w:noProof w:val="0"/>
            <w:color w:val="0077CC"/>
            <w:position w:val="0"/>
            <w:sz w:val="20"/>
            <w:u w:val="single"/>
            <w:vertAlign w:val="baseline"/>
          </w:rPr>
          <w:t>Hernandez-Mancilla v. INS</w:t>
        </w:r>
      </w:hyperlink>
      <w:hyperlink r:id="rId36" w:history="1">
        <w:r>
          <w:rPr>
            <w:rFonts w:ascii="arial" w:eastAsia="arial" w:hAnsi="arial" w:cs="arial"/>
            <w:b w:val="0"/>
            <w:i/>
            <w:strike w:val="0"/>
            <w:noProof w:val="0"/>
            <w:color w:val="0077CC"/>
            <w:position w:val="0"/>
            <w:sz w:val="20"/>
            <w:u w:val="single"/>
            <w:vertAlign w:val="baseline"/>
          </w:rPr>
          <w:t>, 246 F.3d 1002, 1008 (7th Cir. 2001)</w:t>
        </w:r>
      </w:hyperlink>
      <w:r>
        <w:rPr>
          <w:rFonts w:ascii="arial" w:eastAsia="arial" w:hAnsi="arial" w:cs="arial"/>
          <w:b w:val="0"/>
          <w:i w:val="0"/>
          <w:strike w:val="0"/>
          <w:noProof w:val="0"/>
          <w:color w:val="000000"/>
          <w:position w:val="0"/>
          <w:sz w:val="20"/>
          <w:u w:val="none"/>
          <w:vertAlign w:val="baseline"/>
        </w:rPr>
        <w:t xml:space="preserve"> (same, for "theft offense").</w:t>
      </w:r>
    </w:p>
    <w:p>
      <w:pPr>
        <w:keepNext w:val="0"/>
        <w:spacing w:before="240" w:after="0" w:line="260" w:lineRule="atLeast"/>
        <w:ind w:left="0" w:right="0" w:firstLine="0"/>
        <w:jc w:val="both"/>
      </w:pPr>
      <w:bookmarkStart w:id="75" w:name="Bookmark_para_16"/>
      <w:bookmarkEnd w:id="75"/>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The family of "drug trafficking offense[s]" includes conspiracies</w:t>
      </w:r>
      <w:r>
        <w:rPr>
          <w:rFonts w:ascii="arial" w:eastAsia="arial" w:hAnsi="arial" w:cs="arial"/>
          <w:b w:val="0"/>
          <w:i w:val="0"/>
          <w:strike w:val="0"/>
          <w:noProof w:val="0"/>
          <w:color w:val="000000"/>
          <w:position w:val="0"/>
          <w:sz w:val="20"/>
          <w:u w:val="none"/>
          <w:vertAlign w:val="baseline"/>
        </w:rPr>
        <w:t xml:space="preserve">. Of course, a conspiracy is an "offense." </w:t>
      </w:r>
      <w:r>
        <w:rPr>
          <w:rFonts w:ascii="arial" w:eastAsia="arial" w:hAnsi="arial" w:cs="arial"/>
          <w:b w:val="0"/>
          <w:i/>
          <w:strike w:val="0"/>
          <w:noProof w:val="0"/>
          <w:color w:val="000000"/>
          <w:position w:val="0"/>
          <w:sz w:val="20"/>
          <w:u w:val="none"/>
          <w:vertAlign w:val="baseline"/>
        </w:rPr>
        <w:t>See, e.g., Conspiracy, Black's Law Dictionary</w:t>
      </w:r>
      <w:r>
        <w:rPr>
          <w:rFonts w:ascii="arial" w:eastAsia="arial" w:hAnsi="arial" w:cs="arial"/>
          <w:b w:val="0"/>
          <w:i w:val="0"/>
          <w:strike w:val="0"/>
          <w:noProof w:val="0"/>
          <w:color w:val="000000"/>
          <w:position w:val="0"/>
          <w:sz w:val="20"/>
          <w:u w:val="none"/>
          <w:vertAlign w:val="baseline"/>
        </w:rPr>
        <w:t xml:space="preserve"> (7th ed. 1999). </w:t>
      </w:r>
      <w:bookmarkStart w:id="76" w:name="Bookmark_I68DNBM428T4HF0020000400"/>
      <w:bookmarkEnd w:id="76"/>
      <w:r>
        <w:rPr>
          <w:rFonts w:ascii="arial" w:eastAsia="arial" w:hAnsi="arial" w:cs="arial"/>
          <w:b w:val="0"/>
          <w:i w:val="0"/>
          <w:strike w:val="0"/>
          <w:noProof w:val="0"/>
          <w:color w:val="000000"/>
          <w:position w:val="0"/>
          <w:sz w:val="20"/>
          <w:u w:val="none"/>
          <w:vertAlign w:val="baseline"/>
        </w:rPr>
        <w:t xml:space="preserve">The question is what </w:t>
      </w:r>
      <w:r>
        <w:rPr>
          <w:rFonts w:ascii="arial" w:eastAsia="arial" w:hAnsi="arial" w:cs="arial"/>
          <w:b w:val="0"/>
          <w:i/>
          <w:strike w:val="0"/>
          <w:noProof w:val="0"/>
          <w:color w:val="000000"/>
          <w:position w:val="0"/>
          <w:sz w:val="20"/>
          <w:u w:val="none"/>
          <w:vertAlign w:val="baseline"/>
        </w:rPr>
        <w:t>kind</w:t>
      </w:r>
      <w:r>
        <w:rPr>
          <w:rFonts w:ascii="arial" w:eastAsia="arial" w:hAnsi="arial" w:cs="arial"/>
          <w:b w:val="0"/>
          <w:i w:val="0"/>
          <w:strike w:val="0"/>
          <w:noProof w:val="0"/>
          <w:color w:val="000000"/>
          <w:position w:val="0"/>
          <w:sz w:val="20"/>
          <w:u w:val="none"/>
          <w:vertAlign w:val="baseline"/>
        </w:rPr>
        <w:t xml:space="preserve"> of offense. </w:t>
      </w:r>
      <w:bookmarkStart w:id="77" w:name="Bookmark_I68DNBM428T4HF0040000400"/>
      <w:bookmarkEnd w:id="77"/>
      <w:r>
        <w:rPr>
          <w:rFonts w:ascii="arial" w:eastAsia="arial" w:hAnsi="arial" w:cs="arial"/>
          <w:b w:val="0"/>
          <w:i w:val="0"/>
          <w:strike w:val="0"/>
          <w:noProof w:val="0"/>
          <w:color w:val="000000"/>
          <w:position w:val="0"/>
          <w:sz w:val="20"/>
          <w:u w:val="none"/>
          <w:vertAlign w:val="baseline"/>
        </w:rPr>
        <w:t xml:space="preserve">Inchoate offenses are their own family. </w:t>
      </w:r>
      <w:r>
        <w:rPr>
          <w:rFonts w:ascii="arial" w:eastAsia="arial" w:hAnsi="arial" w:cs="arial"/>
          <w:b w:val="0"/>
          <w:i/>
          <w:strike w:val="0"/>
          <w:noProof w:val="0"/>
          <w:color w:val="000000"/>
          <w:position w:val="0"/>
          <w:sz w:val="20"/>
          <w:u w:val="none"/>
          <w:vertAlign w:val="baseline"/>
        </w:rPr>
        <w:t>See Offense</w:t>
      </w:r>
      <w:r>
        <w:rPr>
          <w:rFonts w:ascii="arial" w:eastAsia="arial" w:hAnsi="arial" w:cs="arial"/>
          <w:b w:val="0"/>
          <w:i w:val="0"/>
          <w:strike w:val="0"/>
          <w:noProof w:val="0"/>
          <w:color w:val="000000"/>
          <w:position w:val="0"/>
          <w:sz w:val="20"/>
          <w:u w:val="none"/>
          <w:vertAlign w:val="baseline"/>
        </w:rPr>
        <w:t xml:space="preserve"> (def. 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78" w:name="Bookmark_LNHNREFclscc7"/>
      <w:bookmarkEnd w:id="78"/>
      <w:hyperlink r:id="rId3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6"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Yet conspiracies are also "defined by the scope of [their] commitment[s]." </w:t>
      </w:r>
      <w:bookmarkStart w:id="79" w:name="Bookmark_I68DNBM428T4HF0010000400"/>
      <w:bookmarkEnd w:id="79"/>
      <w:hyperlink r:id="rId38" w:history="1">
        <w:r>
          <w:rPr>
            <w:rFonts w:ascii="arial" w:eastAsia="arial" w:hAnsi="arial" w:cs="arial"/>
            <w:b w:val="0"/>
            <w:i/>
            <w:strike w:val="0"/>
            <w:noProof w:val="0"/>
            <w:color w:val="0077CC"/>
            <w:position w:val="0"/>
            <w:sz w:val="20"/>
            <w:u w:val="single"/>
            <w:vertAlign w:val="baseline"/>
          </w:rPr>
          <w:t>United States v. Smith</w:t>
        </w:r>
      </w:hyperlink>
      <w:hyperlink r:id="rId38" w:history="1">
        <w:r>
          <w:rPr>
            <w:rFonts w:ascii="arial" w:eastAsia="arial" w:hAnsi="arial" w:cs="arial"/>
            <w:b w:val="0"/>
            <w:i/>
            <w:strike w:val="0"/>
            <w:noProof w:val="0"/>
            <w:color w:val="0077CC"/>
            <w:position w:val="0"/>
            <w:sz w:val="20"/>
            <w:u w:val="single"/>
            <w:vertAlign w:val="baseline"/>
          </w:rPr>
          <w:t>, 82 F.3d 1261, 1272 (3d Cir. 1996)</w:t>
        </w:r>
      </w:hyperlink>
      <w:r>
        <w:rPr>
          <w:rFonts w:ascii="arial" w:eastAsia="arial" w:hAnsi="arial" w:cs="arial"/>
          <w:b w:val="0"/>
          <w:i w:val="0"/>
          <w:strike w:val="0"/>
          <w:noProof w:val="0"/>
          <w:color w:val="000000"/>
          <w:position w:val="0"/>
          <w:sz w:val="20"/>
          <w:u w:val="none"/>
          <w:vertAlign w:val="baseline"/>
        </w:rPr>
        <w:t xml:space="preserve">. </w:t>
      </w:r>
      <w:bookmarkStart w:id="80" w:name="Bookmark_I68DNBM428T4HF0040000400_2"/>
      <w:bookmarkEnd w:id="80"/>
      <w:r>
        <w:rPr>
          <w:rFonts w:ascii="arial" w:eastAsia="arial" w:hAnsi="arial" w:cs="arial"/>
          <w:b w:val="0"/>
          <w:i w:val="0"/>
          <w:strike w:val="0"/>
          <w:noProof w:val="0"/>
          <w:color w:val="000000"/>
          <w:position w:val="0"/>
          <w:sz w:val="20"/>
          <w:u w:val="none"/>
          <w:vertAlign w:val="baseline"/>
        </w:rPr>
        <w:t xml:space="preserve">Put more colorfully, conspiracy is "chameleon-like, tak[ing] on a special coloration from each of the many independent offenses on which it may be overlaid." </w:t>
      </w:r>
      <w:bookmarkStart w:id="81" w:name="Bookmark_I68DNBM428T4HF0030000400"/>
      <w:bookmarkEnd w:id="81"/>
      <w:hyperlink r:id="rId39" w:history="1">
        <w:r>
          <w:rPr>
            <w:rFonts w:ascii="arial" w:eastAsia="arial" w:hAnsi="arial" w:cs="arial"/>
            <w:b w:val="0"/>
            <w:i/>
            <w:strike w:val="0"/>
            <w:noProof w:val="0"/>
            <w:color w:val="0077CC"/>
            <w:position w:val="0"/>
            <w:sz w:val="20"/>
            <w:u w:val="single"/>
            <w:vertAlign w:val="baseline"/>
          </w:rPr>
          <w:t>Krulewitch v. United States</w:t>
        </w:r>
      </w:hyperlink>
      <w:hyperlink r:id="rId39" w:history="1">
        <w:r>
          <w:rPr>
            <w:rFonts w:ascii="arial" w:eastAsia="arial" w:hAnsi="arial" w:cs="arial"/>
            <w:b w:val="0"/>
            <w:i/>
            <w:strike w:val="0"/>
            <w:noProof w:val="0"/>
            <w:color w:val="0077CC"/>
            <w:position w:val="0"/>
            <w:sz w:val="20"/>
            <w:u w:val="single"/>
            <w:vertAlign w:val="baseline"/>
          </w:rPr>
          <w:t>, 336 U.S. 440, 447, 69 S. Ct. 716, 93 L. Ed. 790 (1949)</w:t>
        </w:r>
      </w:hyperlink>
      <w:r>
        <w:rPr>
          <w:rFonts w:ascii="arial" w:eastAsia="arial" w:hAnsi="arial" w:cs="arial"/>
          <w:b w:val="0"/>
          <w:i w:val="0"/>
          <w:strike w:val="0"/>
          <w:noProof w:val="0"/>
          <w:color w:val="000000"/>
          <w:position w:val="0"/>
          <w:sz w:val="20"/>
          <w:u w:val="none"/>
          <w:vertAlign w:val="baseline"/>
        </w:rPr>
        <w:t xml:space="preserve"> (Jackson, J., concurring).</w:t>
      </w:r>
    </w:p>
    <w:p>
      <w:pPr>
        <w:keepNext w:val="0"/>
        <w:spacing w:before="240" w:after="0" w:line="260" w:lineRule="atLeast"/>
        <w:ind w:left="0" w:right="0" w:firstLine="0"/>
        <w:jc w:val="both"/>
      </w:pPr>
      <w:bookmarkStart w:id="82" w:name="Bookmark_para_17"/>
      <w:bookmarkEnd w:id="82"/>
      <w:bookmarkStart w:id="83" w:name="Bookmark_I68DNBM42N1R560010000400"/>
      <w:bookmarkEnd w:id="83"/>
      <w:bookmarkStart w:id="84" w:name="Bookmark_I68DNBM42N1R560030000400"/>
      <w:bookmarkEnd w:id="84"/>
      <w:bookmarkStart w:id="85" w:name="Bookmark_LNHNREFclscc8"/>
      <w:bookmarkEnd w:id="85"/>
      <w:hyperlink r:id="rId4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7"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9"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the conspiracy takes its hue from drug trafficking. We have called </w:t>
      </w:r>
      <w:hyperlink r:id="rId19"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convictions "drug-trafficking conspiracies" in which "the 'offense' conspired is a violation of </w:t>
      </w:r>
      <w:r>
        <w:rPr>
          <w:rFonts w:ascii="arial" w:eastAsia="arial" w:hAnsi="arial" w:cs="arial"/>
          <w:b w:val="0"/>
          <w:i/>
          <w:strike w:val="0"/>
          <w:noProof w:val="0"/>
          <w:color w:val="000000"/>
          <w:position w:val="0"/>
          <w:sz w:val="20"/>
          <w:u w:val="none"/>
          <w:vertAlign w:val="baseline"/>
        </w:rPr>
        <w:t>§ 841(a)</w:t>
      </w:r>
      <w:r>
        <w:rPr>
          <w:rFonts w:ascii="arial" w:eastAsia="arial" w:hAnsi="arial" w:cs="arial"/>
          <w:b w:val="0"/>
          <w:i w:val="0"/>
          <w:strike w:val="0"/>
          <w:noProof w:val="0"/>
          <w:color w:val="000000"/>
          <w:position w:val="0"/>
          <w:sz w:val="20"/>
          <w:u w:val="none"/>
          <w:vertAlign w:val="baseline"/>
        </w:rPr>
        <w:t xml:space="preserve">." </w:t>
      </w:r>
      <w:bookmarkStart w:id="86" w:name="Bookmark_I68DNBM428T4HF0050000400"/>
      <w:bookmarkEnd w:id="86"/>
      <w:hyperlink r:id="rId41" w:history="1">
        <w:r>
          <w:rPr>
            <w:rFonts w:ascii="arial" w:eastAsia="arial" w:hAnsi="arial" w:cs="arial"/>
            <w:b w:val="0"/>
            <w:i/>
            <w:strike w:val="0"/>
            <w:noProof w:val="0"/>
            <w:color w:val="0077CC"/>
            <w:position w:val="0"/>
            <w:sz w:val="20"/>
            <w:u w:val="single"/>
            <w:vertAlign w:val="baseline"/>
          </w:rPr>
          <w:t>United States v. Williams</w:t>
        </w:r>
      </w:hyperlink>
      <w:hyperlink r:id="rId41" w:history="1">
        <w:r>
          <w:rPr>
            <w:rFonts w:ascii="arial" w:eastAsia="arial" w:hAnsi="arial" w:cs="arial"/>
            <w:b w:val="0"/>
            <w:i/>
            <w:strike w:val="0"/>
            <w:noProof w:val="0"/>
            <w:color w:val="0077CC"/>
            <w:position w:val="0"/>
            <w:sz w:val="20"/>
            <w:u w:val="single"/>
            <w:vertAlign w:val="baseline"/>
          </w:rPr>
          <w:t>, 974 F.3d 320, 363 (3d Cir. 2020)</w:t>
        </w:r>
      </w:hyperlink>
      <w:r>
        <w:rPr>
          <w:rFonts w:ascii="arial" w:eastAsia="arial" w:hAnsi="arial" w:cs="arial"/>
          <w:b w:val="0"/>
          <w:i w:val="0"/>
          <w:strike w:val="0"/>
          <w:noProof w:val="0"/>
          <w:color w:val="000000"/>
          <w:position w:val="0"/>
          <w:sz w:val="20"/>
          <w:u w:val="none"/>
          <w:vertAlign w:val="baseline"/>
        </w:rPr>
        <w:t xml:space="preserve">. </w:t>
      </w:r>
      <w:bookmarkStart w:id="87" w:name="Bookmark_I68DNBM42N1R560050000400"/>
      <w:bookmarkEnd w:id="87"/>
      <w:r>
        <w:rPr>
          <w:rFonts w:ascii="arial" w:eastAsia="arial" w:hAnsi="arial" w:cs="arial"/>
          <w:b w:val="0"/>
          <w:i w:val="0"/>
          <w:strike w:val="0"/>
          <w:noProof w:val="0"/>
          <w:color w:val="000000"/>
          <w:position w:val="0"/>
          <w:sz w:val="20"/>
          <w:u w:val="none"/>
          <w:vertAlign w:val="baseline"/>
        </w:rPr>
        <w:t xml:space="preserve">We have further explained that a "conspiracy </w:t>
      </w:r>
      <w:r>
        <w:rPr>
          <w:rFonts w:ascii="arial" w:eastAsia="arial" w:hAnsi="arial" w:cs="arial"/>
          <w:b/>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under </w:t>
      </w:r>
      <w:hyperlink r:id="rId19"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becomes a drug-trafficking conspiracy when [its] common goal is a violation or violations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 841(a)</w:t>
      </w:r>
      <w:r>
        <w:rPr>
          <w:rFonts w:ascii="arial" w:eastAsia="arial" w:hAnsi="arial" w:cs="arial"/>
          <w:b w:val="0"/>
          <w:i w:val="0"/>
          <w:strike w:val="0"/>
          <w:noProof w:val="0"/>
          <w:color w:val="000000"/>
          <w:position w:val="0"/>
          <w:sz w:val="20"/>
          <w:u w:val="none"/>
          <w:vertAlign w:val="baseline"/>
        </w:rPr>
        <w:t xml:space="preserve">." </w:t>
      </w:r>
      <w:bookmarkStart w:id="88" w:name="Bookmark_I68DNBM42N1R560020000400"/>
      <w:bookmarkEnd w:id="88"/>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371</w:t>
        </w:r>
      </w:hyperlink>
      <w:r>
        <w:rPr>
          <w:rFonts w:ascii="arial" w:eastAsia="arial" w:hAnsi="arial" w:cs="arial"/>
          <w:b w:val="0"/>
          <w:i w:val="0"/>
          <w:strike w:val="0"/>
          <w:noProof w:val="0"/>
          <w:color w:val="000000"/>
          <w:position w:val="0"/>
          <w:sz w:val="20"/>
          <w:u w:val="none"/>
          <w:vertAlign w:val="baseline"/>
        </w:rPr>
        <w:t xml:space="preserve">. </w:t>
      </w:r>
      <w:bookmarkStart w:id="89" w:name="Bookmark_I68DNBM42N1R560050000400_2"/>
      <w:bookmarkEnd w:id="89"/>
      <w:r>
        <w:rPr>
          <w:rFonts w:ascii="arial" w:eastAsia="arial" w:hAnsi="arial" w:cs="arial"/>
          <w:b w:val="0"/>
          <w:i w:val="0"/>
          <w:strike w:val="0"/>
          <w:noProof w:val="0"/>
          <w:color w:val="000000"/>
          <w:position w:val="0"/>
          <w:sz w:val="20"/>
          <w:u w:val="none"/>
          <w:vertAlign w:val="baseline"/>
        </w:rPr>
        <w:t xml:space="preserve">It requires the same intent and aims at the same goal: trafficking drugs. </w:t>
      </w:r>
      <w:bookmarkStart w:id="90" w:name="Bookmark_I68DNBM42N1R560040000400"/>
      <w:bookmarkEnd w:id="90"/>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362-63</w:t>
        </w:r>
      </w:hyperlink>
      <w:r>
        <w:rPr>
          <w:rFonts w:ascii="arial" w:eastAsia="arial" w:hAnsi="arial" w:cs="arial"/>
          <w:b w:val="0"/>
          <w:i w:val="0"/>
          <w:strike w:val="0"/>
          <w:noProof w:val="0"/>
          <w:color w:val="000000"/>
          <w:position w:val="0"/>
          <w:sz w:val="20"/>
          <w:u w:val="none"/>
          <w:vertAlign w:val="baseline"/>
        </w:rPr>
        <w:t xml:space="preserve">. And the conspiracy and its object are even "subject to the same penalties." </w:t>
      </w:r>
      <w:hyperlink r:id="rId19"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(That fact refutes Garcia-Vasquez's suggestion that conspiracies are not serious enough to merit the same enhancements as completed crimes.) So his conspiracy offense for agreeing to traffic drugs is, naturally, a drug-trafficking offense.</w:t>
      </w:r>
    </w:p>
    <w:p>
      <w:pPr>
        <w:keepNext w:val="0"/>
        <w:spacing w:before="240" w:after="0" w:line="260" w:lineRule="atLeast"/>
        <w:ind w:left="0" w:right="0" w:firstLine="0"/>
        <w:jc w:val="both"/>
      </w:pPr>
      <w:bookmarkStart w:id="91" w:name="Bookmark_para_18"/>
      <w:bookmarkEnd w:id="91"/>
      <w:bookmarkStart w:id="92" w:name="Bookmark_I2XJXKHGCCJ0000799T00016"/>
      <w:bookmarkEnd w:id="92"/>
      <w:bookmarkStart w:id="93" w:name="Bookmark_I68DNBM52SF8CK0020000400"/>
      <w:bookmarkEnd w:id="93"/>
      <w:bookmarkStart w:id="94" w:name="Bookmark_I68DNBM52SF8CK0040000400"/>
      <w:bookmarkEnd w:id="94"/>
      <w:bookmarkStart w:id="95" w:name="Bookmark_LNHNREFclscc9"/>
      <w:bookmarkEnd w:id="95"/>
      <w:hyperlink r:id="rId4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8"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Courts commonly use "offense" to include a conspiracy to commit that offense. That is how the Supreme Court used a nearly identical phrase in </w:t>
      </w:r>
      <w:bookmarkStart w:id="96" w:name="Bookmark_I68DNBM52SF8CK0010000400"/>
      <w:bookmarkEnd w:id="96"/>
      <w:hyperlink r:id="rId43" w:history="1">
        <w:r>
          <w:rPr>
            <w:rFonts w:ascii="arial" w:eastAsia="arial" w:hAnsi="arial" w:cs="arial"/>
            <w:b w:val="0"/>
            <w:i/>
            <w:strike w:val="0"/>
            <w:noProof w:val="0"/>
            <w:color w:val="0077CC"/>
            <w:position w:val="0"/>
            <w:sz w:val="20"/>
            <w:u w:val="single"/>
            <w:vertAlign w:val="baseline"/>
          </w:rPr>
          <w:t>Smith v. United States</w:t>
        </w:r>
      </w:hyperlink>
      <w:hyperlink r:id="rId43" w:history="1">
        <w:r>
          <w:rPr>
            <w:rFonts w:ascii="arial" w:eastAsia="arial" w:hAnsi="arial" w:cs="arial"/>
            <w:b w:val="0"/>
            <w:i/>
            <w:strike w:val="0"/>
            <w:noProof w:val="0"/>
            <w:color w:val="0077CC"/>
            <w:position w:val="0"/>
            <w:sz w:val="20"/>
            <w:u w:val="single"/>
            <w:vertAlign w:val="baseline"/>
          </w:rPr>
          <w:t>, 508 U.S. 223, 113 S. Ct. 2050, 124 L. Ed. 2d 138 (1993)</w:t>
        </w:r>
      </w:hyperlink>
      <w:r>
        <w:rPr>
          <w:rFonts w:ascii="arial" w:eastAsia="arial" w:hAnsi="arial" w:cs="arial"/>
          <w:b w:val="0"/>
          <w:i w:val="0"/>
          <w:strike w:val="0"/>
          <w:noProof w:val="0"/>
          <w:color w:val="000000"/>
          <w:position w:val="0"/>
          <w:sz w:val="20"/>
          <w:u w:val="none"/>
          <w:vertAlign w:val="baseline"/>
        </w:rPr>
        <w:t xml:space="preserve">. </w:t>
      </w:r>
      <w:bookmarkStart w:id="97" w:name="Bookmark_I68DNBM528T4HN0010000400"/>
      <w:bookmarkEnd w:id="97"/>
      <w:r>
        <w:rPr>
          <w:rFonts w:ascii="arial" w:eastAsia="arial" w:hAnsi="arial" w:cs="arial"/>
          <w:b w:val="0"/>
          <w:i w:val="0"/>
          <w:strike w:val="0"/>
          <w:noProof w:val="0"/>
          <w:color w:val="000000"/>
          <w:position w:val="0"/>
          <w:sz w:val="20"/>
          <w:u w:val="none"/>
          <w:vertAlign w:val="baseline"/>
        </w:rPr>
        <w:t xml:space="preserve">The Court described Smith's indictment as including "two drug trafficking crimes—conspiracy to possess cocaine with intent to distribute and attempt to possess cocaine with intent to distribute." </w:t>
      </w:r>
      <w:bookmarkStart w:id="98" w:name="Bookmark_I68DNBM52SF8CK0030000400"/>
      <w:bookmarkEnd w:id="98"/>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226</w:t>
        </w:r>
      </w:hyperlink>
      <w:r>
        <w:rPr>
          <w:rFonts w:ascii="arial" w:eastAsia="arial" w:hAnsi="arial" w:cs="arial"/>
          <w:b w:val="0"/>
          <w:i w:val="0"/>
          <w:strike w:val="0"/>
          <w:noProof w:val="0"/>
          <w:color w:val="000000"/>
          <w:position w:val="0"/>
          <w:sz w:val="20"/>
          <w:u w:val="none"/>
          <w:vertAlign w:val="baseline"/>
        </w:rPr>
        <w:t xml:space="preserve">. </w:t>
      </w:r>
      <w:bookmarkStart w:id="99" w:name="Bookmark_I68DNBM528T4HN0010000400_2"/>
      <w:bookmarkEnd w:id="99"/>
      <w:r>
        <w:rPr>
          <w:rFonts w:ascii="arial" w:eastAsia="arial" w:hAnsi="arial" w:cs="arial"/>
          <w:b w:val="0"/>
          <w:i w:val="0"/>
          <w:strike w:val="0"/>
          <w:noProof w:val="0"/>
          <w:color w:val="000000"/>
          <w:position w:val="0"/>
          <w:sz w:val="20"/>
          <w:u w:val="none"/>
          <w:vertAlign w:val="baseline"/>
        </w:rPr>
        <w:t xml:space="preserve">It then used the terms "drug trafficking crime" and "drug trafficking offense" interchangeably. </w:t>
      </w:r>
      <w:r>
        <w:rPr>
          <w:rFonts w:ascii="arial" w:eastAsia="arial" w:hAnsi="arial" w:cs="arial"/>
          <w:b w:val="0"/>
          <w:i/>
          <w:strike w:val="0"/>
          <w:noProof w:val="0"/>
          <w:color w:val="000000"/>
          <w:position w:val="0"/>
          <w:sz w:val="20"/>
          <w:u w:val="none"/>
          <w:vertAlign w:val="baseline"/>
        </w:rPr>
        <w:t xml:space="preserve">See, e.g., </w:t>
      </w:r>
      <w:bookmarkStart w:id="100" w:name="Bookmark_I68DNBM52SF8CK0050000400"/>
      <w:bookmarkEnd w:id="100"/>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227</w:t>
        </w:r>
      </w:hyperlink>
      <w:r>
        <w:rPr>
          <w:rFonts w:ascii="arial" w:eastAsia="arial" w:hAnsi="arial" w:cs="arial"/>
          <w:b w:val="0"/>
          <w:i w:val="0"/>
          <w:strike w:val="0"/>
          <w:noProof w:val="0"/>
          <w:color w:val="000000"/>
          <w:position w:val="0"/>
          <w:sz w:val="20"/>
          <w:u w:val="none"/>
          <w:vertAlign w:val="baseline"/>
        </w:rPr>
        <w:t xml:space="preserve">. As it happens, Smith's cocaine-conspiracy conviction under </w:t>
      </w:r>
      <w:hyperlink r:id="rId19"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is the very same conviction on Garcia-Vasquez's rap sheet.</w:t>
      </w:r>
    </w:p>
    <w:p>
      <w:pPr>
        <w:keepNext w:val="0"/>
        <w:spacing w:before="240" w:after="0" w:line="260" w:lineRule="atLeast"/>
        <w:ind w:left="0" w:right="0" w:firstLine="0"/>
        <w:jc w:val="both"/>
      </w:pPr>
      <w:bookmarkStart w:id="101" w:name="Bookmark_para_19"/>
      <w:bookmarkEnd w:id="101"/>
      <w:bookmarkStart w:id="102" w:name="Bookmark_I68DNBM528T4HN0030000400"/>
      <w:bookmarkEnd w:id="102"/>
      <w:r>
        <w:rPr>
          <w:rFonts w:ascii="arial" w:eastAsia="arial" w:hAnsi="arial" w:cs="arial"/>
          <w:b w:val="0"/>
          <w:i w:val="0"/>
          <w:strike w:val="0"/>
          <w:noProof w:val="0"/>
          <w:color w:val="000000"/>
          <w:position w:val="0"/>
          <w:sz w:val="20"/>
          <w:u w:val="none"/>
          <w:vertAlign w:val="baseline"/>
        </w:rPr>
        <w:t xml:space="preserve">We and our sister circuits have likewise mentioned that conspiracies are included in the other categories of "offenses" listed in the Guideline. </w:t>
      </w:r>
      <w:bookmarkStart w:id="103" w:name="Bookmark_I2XJXKHFYGK0000799T00012"/>
      <w:bookmarkEnd w:id="103"/>
      <w:bookmarkStart w:id="104" w:name="Bookmark_I2XJXKHG5KV0000799T00014"/>
      <w:bookmarkEnd w:id="104"/>
      <w:bookmarkStart w:id="105" w:name="Bookmark_I68DNBM52N1R5D0020000400"/>
      <w:bookmarkEnd w:id="105"/>
      <w:r>
        <w:rPr>
          <w:rFonts w:ascii="arial" w:eastAsia="arial" w:hAnsi="arial" w:cs="arial"/>
          <w:b w:val="0"/>
          <w:i/>
          <w:strike w:val="0"/>
          <w:noProof w:val="0"/>
          <w:color w:val="000000"/>
          <w:position w:val="0"/>
          <w:sz w:val="20"/>
          <w:u w:val="none"/>
          <w:vertAlign w:val="baseline"/>
        </w:rPr>
        <w:t xml:space="preserve">See, e.g., </w:t>
      </w:r>
      <w:bookmarkStart w:id="106" w:name="Bookmark_I68DNBM528T4HN0020000400"/>
      <w:bookmarkEnd w:id="106"/>
      <w:hyperlink r:id="rId44" w:history="1">
        <w:r>
          <w:rPr>
            <w:rFonts w:ascii="arial" w:eastAsia="arial" w:hAnsi="arial" w:cs="arial"/>
            <w:b w:val="0"/>
            <w:i/>
            <w:strike w:val="0"/>
            <w:noProof w:val="0"/>
            <w:color w:val="0077CC"/>
            <w:position w:val="0"/>
            <w:sz w:val="20"/>
            <w:u w:val="single"/>
            <w:vertAlign w:val="baseline"/>
          </w:rPr>
          <w:t>United States v. Salamone</w:t>
        </w:r>
      </w:hyperlink>
      <w:hyperlink r:id="rId44" w:history="1">
        <w:r>
          <w:rPr>
            <w:rFonts w:ascii="arial" w:eastAsia="arial" w:hAnsi="arial" w:cs="arial"/>
            <w:b w:val="0"/>
            <w:i/>
            <w:strike w:val="0"/>
            <w:noProof w:val="0"/>
            <w:color w:val="0077CC"/>
            <w:position w:val="0"/>
            <w:sz w:val="20"/>
            <w:u w:val="single"/>
            <w:vertAlign w:val="baseline"/>
          </w:rPr>
          <w:t>, 902 F.2d 237, 238 (3d Cir. 1990)</w:t>
        </w:r>
      </w:hyperlink>
      <w:r>
        <w:rPr>
          <w:rFonts w:ascii="arial" w:eastAsia="arial" w:hAnsi="arial" w:cs="arial"/>
          <w:b w:val="0"/>
          <w:i w:val="0"/>
          <w:strike w:val="0"/>
          <w:noProof w:val="0"/>
          <w:color w:val="000000"/>
          <w:position w:val="0"/>
          <w:sz w:val="20"/>
          <w:u w:val="none"/>
          <w:vertAlign w:val="baseline"/>
        </w:rPr>
        <w:t xml:space="preserve"> (including among "various firearms offenses" "conspiracy to violate the federal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firearms laws by falsifying firearms transaction records"); </w:t>
      </w:r>
      <w:bookmarkStart w:id="107" w:name="Bookmark_I68DNBM528T4HN0040000400"/>
      <w:bookmarkEnd w:id="107"/>
      <w:hyperlink r:id="rId45" w:history="1">
        <w:r>
          <w:rPr>
            <w:rFonts w:ascii="arial" w:eastAsia="arial" w:hAnsi="arial" w:cs="arial"/>
            <w:b w:val="0"/>
            <w:i/>
            <w:strike w:val="0"/>
            <w:noProof w:val="0"/>
            <w:color w:val="0077CC"/>
            <w:position w:val="0"/>
            <w:sz w:val="20"/>
            <w:u w:val="single"/>
            <w:vertAlign w:val="baseline"/>
          </w:rPr>
          <w:t>United States v. Williams</w:t>
        </w:r>
      </w:hyperlink>
      <w:hyperlink r:id="rId45" w:history="1">
        <w:r>
          <w:rPr>
            <w:rFonts w:ascii="arial" w:eastAsia="arial" w:hAnsi="arial" w:cs="arial"/>
            <w:b w:val="0"/>
            <w:i/>
            <w:strike w:val="0"/>
            <w:noProof w:val="0"/>
            <w:color w:val="0077CC"/>
            <w:position w:val="0"/>
            <w:sz w:val="20"/>
            <w:u w:val="single"/>
            <w:vertAlign w:val="baseline"/>
          </w:rPr>
          <w:t>, 449 F.3d 635, 639 (5th Cir. 2006)</w:t>
        </w:r>
      </w:hyperlink>
      <w:r>
        <w:rPr>
          <w:rFonts w:ascii="arial" w:eastAsia="arial" w:hAnsi="arial" w:cs="arial"/>
          <w:b w:val="0"/>
          <w:i w:val="0"/>
          <w:strike w:val="0"/>
          <w:noProof w:val="0"/>
          <w:color w:val="000000"/>
          <w:position w:val="0"/>
          <w:sz w:val="20"/>
          <w:u w:val="none"/>
          <w:vertAlign w:val="baseline"/>
        </w:rPr>
        <w:t xml:space="preserve"> (Higginbotham, J.) (including among "various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offenses" "conspiracy to conceal, harbor, shield from detection, and transport illegal aliens"). </w:t>
      </w:r>
      <w:bookmarkStart w:id="108" w:name="Bookmark_I68DNBM52N1R5D0020000400_2"/>
      <w:bookmarkEnd w:id="108"/>
      <w:r>
        <w:rPr>
          <w:rFonts w:ascii="arial" w:eastAsia="arial" w:hAnsi="arial" w:cs="arial"/>
          <w:b w:val="0"/>
          <w:i w:val="0"/>
          <w:strike w:val="0"/>
          <w:noProof w:val="0"/>
          <w:color w:val="000000"/>
          <w:position w:val="0"/>
          <w:sz w:val="20"/>
          <w:u w:val="none"/>
          <w:vertAlign w:val="baseline"/>
        </w:rPr>
        <w:t xml:space="preserve">And when we have excluded inchoate crimes, it is when the definition in a Guideline's text has done so. </w:t>
      </w:r>
      <w:r>
        <w:rPr>
          <w:rFonts w:ascii="arial" w:eastAsia="arial" w:hAnsi="arial" w:cs="arial"/>
          <w:b w:val="0"/>
          <w:i/>
          <w:strike w:val="0"/>
          <w:noProof w:val="0"/>
          <w:color w:val="000000"/>
          <w:position w:val="0"/>
          <w:sz w:val="20"/>
          <w:u w:val="none"/>
          <w:vertAlign w:val="baseline"/>
        </w:rPr>
        <w:t xml:space="preserve">See </w:t>
      </w:r>
      <w:bookmarkStart w:id="109" w:name="Bookmark_I68DNBM52N1R5D0010000400"/>
      <w:bookmarkEnd w:id="109"/>
      <w:hyperlink r:id="rId46" w:history="1">
        <w:r>
          <w:rPr>
            <w:rFonts w:ascii="arial" w:eastAsia="arial" w:hAnsi="arial" w:cs="arial"/>
            <w:b w:val="0"/>
            <w:i/>
            <w:strike w:val="0"/>
            <w:noProof w:val="0"/>
            <w:color w:val="0077CC"/>
            <w:position w:val="0"/>
            <w:sz w:val="20"/>
            <w:u w:val="single"/>
            <w:vertAlign w:val="baseline"/>
          </w:rPr>
          <w:t>United States v. Abreu</w:t>
        </w:r>
      </w:hyperlink>
      <w:hyperlink r:id="rId46" w:history="1">
        <w:r>
          <w:rPr>
            <w:rFonts w:ascii="arial" w:eastAsia="arial" w:hAnsi="arial" w:cs="arial"/>
            <w:b w:val="0"/>
            <w:i/>
            <w:strike w:val="0"/>
            <w:noProof w:val="0"/>
            <w:color w:val="0077CC"/>
            <w:position w:val="0"/>
            <w:sz w:val="20"/>
            <w:u w:val="single"/>
            <w:vertAlign w:val="baseline"/>
          </w:rPr>
          <w:t>, 32 F.4th 271, 276-77 (3d Cir. 2022)</w:t>
        </w:r>
      </w:hyperlink>
      <w:r>
        <w:rPr>
          <w:rFonts w:ascii="arial" w:eastAsia="arial" w:hAnsi="arial" w:cs="arial"/>
          <w:b w:val="0"/>
          <w:i w:val="0"/>
          <w:strike w:val="0"/>
          <w:noProof w:val="0"/>
          <w:color w:val="000000"/>
          <w:position w:val="0"/>
          <w:sz w:val="20"/>
          <w:u w:val="none"/>
          <w:vertAlign w:val="baseline"/>
        </w:rPr>
        <w:t xml:space="preserve"> (excluding conspiracies from "crime[s] of violence"); </w:t>
      </w:r>
      <w:bookmarkStart w:id="110" w:name="Bookmark_I68DNBM52N1R5D0030000400"/>
      <w:bookmarkEnd w:id="110"/>
      <w:hyperlink r:id="rId28" w:history="1">
        <w:r>
          <w:rPr>
            <w:rFonts w:ascii="arial" w:eastAsia="arial" w:hAnsi="arial" w:cs="arial"/>
            <w:b w:val="0"/>
            <w:i/>
            <w:strike w:val="0"/>
            <w:noProof w:val="0"/>
            <w:color w:val="0077CC"/>
            <w:position w:val="0"/>
            <w:sz w:val="20"/>
            <w:u w:val="single"/>
            <w:vertAlign w:val="baseline"/>
          </w:rPr>
          <w:t>Nasir</w:t>
        </w:r>
      </w:hyperlink>
      <w:hyperlink r:id="rId28" w:history="1">
        <w:r>
          <w:rPr>
            <w:rFonts w:ascii="arial" w:eastAsia="arial" w:hAnsi="arial" w:cs="arial"/>
            <w:b w:val="0"/>
            <w:i/>
            <w:strike w:val="0"/>
            <w:noProof w:val="0"/>
            <w:color w:val="0077CC"/>
            <w:position w:val="0"/>
            <w:sz w:val="20"/>
            <w:u w:val="single"/>
            <w:vertAlign w:val="baseline"/>
          </w:rPr>
          <w:t>, 17 F.4th at 468-72</w:t>
        </w:r>
      </w:hyperlink>
      <w:r>
        <w:rPr>
          <w:rFonts w:ascii="arial" w:eastAsia="arial" w:hAnsi="arial" w:cs="arial"/>
          <w:b w:val="0"/>
          <w:i w:val="0"/>
          <w:strike w:val="0"/>
          <w:noProof w:val="0"/>
          <w:color w:val="000000"/>
          <w:position w:val="0"/>
          <w:sz w:val="20"/>
          <w:u w:val="none"/>
          <w:vertAlign w:val="baseline"/>
        </w:rPr>
        <w:t xml:space="preserve"> (excluding attempts from "controlled substance offense[s]").</w:t>
      </w:r>
    </w:p>
    <w:p>
      <w:pPr>
        <w:keepNext w:val="0"/>
        <w:spacing w:before="240" w:after="0" w:line="260" w:lineRule="atLeast"/>
        <w:ind w:left="0" w:right="0" w:firstLine="0"/>
        <w:jc w:val="both"/>
      </w:pPr>
      <w:bookmarkStart w:id="111" w:name="Bookmark_para_20"/>
      <w:bookmarkEnd w:id="111"/>
      <w:bookmarkStart w:id="112" w:name="Bookmark_I68DNBM528T4HW0010000400"/>
      <w:bookmarkEnd w:id="112"/>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Garcia-Vasquez's responses fail</w:t>
      </w:r>
      <w:r>
        <w:rPr>
          <w:rFonts w:ascii="arial" w:eastAsia="arial" w:hAnsi="arial" w:cs="arial"/>
          <w:b w:val="0"/>
          <w:i w:val="0"/>
          <w:strike w:val="0"/>
          <w:noProof w:val="0"/>
          <w:color w:val="000000"/>
          <w:position w:val="0"/>
          <w:sz w:val="20"/>
          <w:u w:val="none"/>
          <w:vertAlign w:val="baseline"/>
        </w:rPr>
        <w:t xml:space="preserve">. Taken to its logical conclusion, Garcia-Vasquez's argument would lead to a "bizarre result." </w:t>
      </w:r>
      <w:bookmarkStart w:id="113" w:name="Bookmark_I68DNBM52N1R5D0050000400"/>
      <w:bookmarkEnd w:id="113"/>
      <w:hyperlink r:id="rId47" w:history="1">
        <w:r>
          <w:rPr>
            <w:rFonts w:ascii="arial" w:eastAsia="arial" w:hAnsi="arial" w:cs="arial"/>
            <w:b w:val="0"/>
            <w:i/>
            <w:strike w:val="0"/>
            <w:noProof w:val="0"/>
            <w:color w:val="0077CC"/>
            <w:position w:val="0"/>
            <w:sz w:val="20"/>
            <w:u w:val="single"/>
            <w:vertAlign w:val="baseline"/>
          </w:rPr>
          <w:t>United States v. Dawson</w:t>
        </w:r>
      </w:hyperlink>
      <w:hyperlink r:id="rId47" w:history="1">
        <w:r>
          <w:rPr>
            <w:rFonts w:ascii="arial" w:eastAsia="arial" w:hAnsi="arial" w:cs="arial"/>
            <w:b w:val="0"/>
            <w:i/>
            <w:strike w:val="0"/>
            <w:noProof w:val="0"/>
            <w:color w:val="0077CC"/>
            <w:position w:val="0"/>
            <w:sz w:val="20"/>
            <w:u w:val="single"/>
            <w:vertAlign w:val="baseline"/>
          </w:rPr>
          <w:t>, 32 F.4th 254, 265 (3d Cir. 2022)</w:t>
        </w:r>
      </w:hyperlink>
      <w:r>
        <w:rPr>
          <w:rFonts w:ascii="arial" w:eastAsia="arial" w:hAnsi="arial" w:cs="arial"/>
          <w:b w:val="0"/>
          <w:i w:val="0"/>
          <w:strike w:val="0"/>
          <w:noProof w:val="0"/>
          <w:color w:val="000000"/>
          <w:position w:val="0"/>
          <w:sz w:val="20"/>
          <w:u w:val="none"/>
          <w:vertAlign w:val="baseline"/>
        </w:rPr>
        <w:t xml:space="preserve">. It would limit drug-trafficking offenses to those that require "trading in or dealing" drugs. </w:t>
      </w:r>
      <w:bookmarkStart w:id="114" w:name="Bookmark_I68DNBM528T4HW0030000400"/>
      <w:bookmarkEnd w:id="114"/>
      <w:r>
        <w:rPr>
          <w:rFonts w:ascii="arial" w:eastAsia="arial" w:hAnsi="arial" w:cs="arial"/>
          <w:b w:val="0"/>
          <w:i w:val="0"/>
          <w:strike w:val="0"/>
          <w:noProof w:val="0"/>
          <w:color w:val="000000"/>
          <w:position w:val="0"/>
          <w:sz w:val="20"/>
          <w:u w:val="none"/>
          <w:vertAlign w:val="baseline"/>
        </w:rPr>
        <w:t>Appellant's Br. 25. That reading would exclude manufacturing drugs or possessing them with intent to distribute them. Yet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paradigmatic" federal drug-trafficking offense includes both manufacturing and possession with intent to distribute. </w:t>
      </w:r>
      <w:bookmarkStart w:id="115" w:name="Bookmark_I68DNBM528T4HW0050000400"/>
      <w:bookmarkEnd w:id="115"/>
      <w:bookmarkStart w:id="116" w:name="Bookmark_I68DNBM528T4HW0020000400"/>
      <w:bookmarkEnd w:id="116"/>
      <w:hyperlink r:id="rId47" w:history="1">
        <w:r>
          <w:rPr>
            <w:rFonts w:ascii="arial" w:eastAsia="arial" w:hAnsi="arial" w:cs="arial"/>
            <w:b w:val="0"/>
            <w:i/>
            <w:strike w:val="0"/>
            <w:noProof w:val="0"/>
            <w:color w:val="0077CC"/>
            <w:position w:val="0"/>
            <w:sz w:val="20"/>
            <w:u w:val="single"/>
            <w:vertAlign w:val="baseline"/>
          </w:rPr>
          <w:t>Dawson</w:t>
        </w:r>
      </w:hyperlink>
      <w:hyperlink r:id="rId47" w:history="1">
        <w:r>
          <w:rPr>
            <w:rFonts w:ascii="arial" w:eastAsia="arial" w:hAnsi="arial" w:cs="arial"/>
            <w:b w:val="0"/>
            <w:i/>
            <w:strike w:val="0"/>
            <w:noProof w:val="0"/>
            <w:color w:val="0077CC"/>
            <w:position w:val="0"/>
            <w:sz w:val="20"/>
            <w:u w:val="single"/>
            <w:vertAlign w:val="baseline"/>
          </w:rPr>
          <w:t>, 32 F.4th at 265</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bookmarkStart w:id="117" w:name="Bookmark_I68DNBM528T4HW0050000400_2"/>
      <w:bookmarkEnd w:id="117"/>
      <w:r>
        <w:rPr>
          <w:rFonts w:ascii="arial" w:eastAsia="arial" w:hAnsi="arial" w:cs="arial"/>
          <w:b w:val="0"/>
          <w:i w:val="0"/>
          <w:strike w:val="0"/>
          <w:noProof w:val="0"/>
          <w:color w:val="000000"/>
          <w:position w:val="0"/>
          <w:sz w:val="20"/>
          <w:u w:val="none"/>
          <w:vertAlign w:val="baseline"/>
        </w:rPr>
        <w:t xml:space="preserve">Neither activity requires trading or dealing, so convictions under </w:t>
      </w:r>
      <w:r>
        <w:rPr>
          <w:rFonts w:ascii="arial" w:eastAsia="arial" w:hAnsi="arial" w:cs="arial"/>
          <w:b w:val="0"/>
          <w:i/>
          <w:strike w:val="0"/>
          <w:noProof w:val="0"/>
          <w:color w:val="000000"/>
          <w:position w:val="0"/>
          <w:sz w:val="20"/>
          <w:u w:val="none"/>
          <w:vertAlign w:val="baseline"/>
        </w:rPr>
        <w:t>§ 841(a)(1)</w:t>
      </w:r>
      <w:r>
        <w:rPr>
          <w:rFonts w:ascii="arial" w:eastAsia="arial" w:hAnsi="arial" w:cs="arial"/>
          <w:b w:val="0"/>
          <w:i w:val="0"/>
          <w:strike w:val="0"/>
          <w:noProof w:val="0"/>
          <w:color w:val="000000"/>
          <w:position w:val="0"/>
          <w:sz w:val="20"/>
          <w:u w:val="none"/>
          <w:vertAlign w:val="baseline"/>
        </w:rPr>
        <w:t xml:space="preserve"> would not count. Excluding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federal drug-trafficking offense from the Guideline's drug-trafficking-offense enhancement would be strange if not "absurd." </w:t>
      </w:r>
      <w:bookmarkStart w:id="118" w:name="Bookmark_I68DNBM528T4HW0040000400"/>
      <w:bookmarkEnd w:id="118"/>
      <w:hyperlink r:id="rId47" w:history="1">
        <w:r>
          <w:rPr>
            <w:rFonts w:ascii="arial" w:eastAsia="arial" w:hAnsi="arial" w:cs="arial"/>
            <w:b w:val="0"/>
            <w:i/>
            <w:strike w:val="0"/>
            <w:noProof w:val="0"/>
            <w:color w:val="0077CC"/>
            <w:position w:val="0"/>
            <w:sz w:val="20"/>
            <w:u w:val="single"/>
            <w:vertAlign w:val="baseline"/>
          </w:rPr>
          <w:t>Dawson</w:t>
        </w:r>
      </w:hyperlink>
      <w:hyperlink r:id="rId47" w:history="1">
        <w:r>
          <w:rPr>
            <w:rFonts w:ascii="arial" w:eastAsia="arial" w:hAnsi="arial" w:cs="arial"/>
            <w:b w:val="0"/>
            <w:i/>
            <w:strike w:val="0"/>
            <w:noProof w:val="0"/>
            <w:color w:val="0077CC"/>
            <w:position w:val="0"/>
            <w:sz w:val="20"/>
            <w:u w:val="single"/>
            <w:vertAlign w:val="baseline"/>
          </w:rPr>
          <w:t>, 32 F.4th at 265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21"/>
      <w:bookmarkEnd w:id="119"/>
      <w:r>
        <w:rPr>
          <w:rFonts w:ascii="arial" w:eastAsia="arial" w:hAnsi="arial" w:cs="arial"/>
          <w:b w:val="0"/>
          <w:i w:val="0"/>
          <w:strike w:val="0"/>
          <w:noProof w:val="0"/>
          <w:color w:val="000000"/>
          <w:position w:val="0"/>
          <w:sz w:val="20"/>
          <w:u w:val="none"/>
          <w:vertAlign w:val="baseline"/>
        </w:rPr>
        <w:t>Garcia-Vasquez has two fallback arguments. First, 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tries to use the definition of "drug trafficking offense" from </w:t>
      </w:r>
      <w:hyperlink r:id="rId12" w:history="1">
        <w:r>
          <w:rPr>
            <w:rFonts w:ascii="arial" w:eastAsia="arial" w:hAnsi="arial" w:cs="arial"/>
            <w:b w:val="0"/>
            <w:i/>
            <w:strike w:val="0"/>
            <w:noProof w:val="0"/>
            <w:color w:val="0077CC"/>
            <w:position w:val="0"/>
            <w:sz w:val="20"/>
            <w:u w:val="single"/>
            <w:vertAlign w:val="baseline"/>
          </w:rPr>
          <w:t>Application Note 1(B)(iv)</w:t>
        </w:r>
      </w:hyperlink>
      <w:r>
        <w:rPr>
          <w:rFonts w:ascii="arial" w:eastAsia="arial" w:hAnsi="arial" w:cs="arial"/>
          <w:b w:val="0"/>
          <w:i w:val="0"/>
          <w:strike w:val="0"/>
          <w:noProof w:val="0"/>
          <w:color w:val="000000"/>
          <w:position w:val="0"/>
          <w:sz w:val="20"/>
          <w:u w:val="none"/>
          <w:vertAlign w:val="baseline"/>
        </w:rPr>
        <w:t xml:space="preserve"> (which includes only completed crimes) while rejecting </w:t>
      </w:r>
      <w:hyperlink r:id="rId12" w:history="1">
        <w:r>
          <w:rPr>
            <w:rFonts w:ascii="arial" w:eastAsia="arial" w:hAnsi="arial" w:cs="arial"/>
            <w:b w:val="0"/>
            <w:i/>
            <w:strike w:val="0"/>
            <w:noProof w:val="0"/>
            <w:color w:val="0077CC"/>
            <w:position w:val="0"/>
            <w:sz w:val="20"/>
            <w:u w:val="single"/>
            <w:vertAlign w:val="baseline"/>
          </w:rPr>
          <w:t>Application Note 5</w:t>
        </w:r>
      </w:hyperlink>
      <w:r>
        <w:rPr>
          <w:rFonts w:ascii="arial" w:eastAsia="arial" w:hAnsi="arial" w:cs="arial"/>
          <w:b w:val="0"/>
          <w:i w:val="0"/>
          <w:strike w:val="0"/>
          <w:noProof w:val="0"/>
          <w:color w:val="000000"/>
          <w:position w:val="0"/>
          <w:sz w:val="20"/>
          <w:u w:val="none"/>
          <w:vertAlign w:val="baseline"/>
        </w:rPr>
        <w:t xml:space="preserve">'s expansion of that definition to inchoate crimes. </w:t>
      </w:r>
      <w:hyperlink r:id="rId12" w:history="1">
        <w:r>
          <w:rPr>
            <w:rFonts w:ascii="arial" w:eastAsia="arial" w:hAnsi="arial" w:cs="arial"/>
            <w:b w:val="0"/>
            <w:i/>
            <w:strike w:val="0"/>
            <w:noProof w:val="0"/>
            <w:color w:val="0077CC"/>
            <w:position w:val="0"/>
            <w:sz w:val="20"/>
            <w:u w:val="single"/>
            <w:vertAlign w:val="baseline"/>
          </w:rPr>
          <w:t>U.S.S.G. § 2L1.2 cmt. nn.1(B)(iv)</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5 (2015)</w:t>
        </w:r>
      </w:hyperlink>
      <w:r>
        <w:rPr>
          <w:rFonts w:ascii="arial" w:eastAsia="arial" w:hAnsi="arial" w:cs="arial"/>
          <w:b w:val="0"/>
          <w:i w:val="0"/>
          <w:strike w:val="0"/>
          <w:noProof w:val="0"/>
          <w:color w:val="000000"/>
          <w:position w:val="0"/>
          <w:sz w:val="20"/>
          <w:u w:val="none"/>
          <w:vertAlign w:val="baseline"/>
        </w:rPr>
        <w:t>. But he cannot have it both ways. Neither Note can change the meaning of "drug trafficking offense."</w:t>
      </w:r>
    </w:p>
    <w:p>
      <w:pPr>
        <w:keepNext w:val="0"/>
        <w:spacing w:before="200" w:after="0" w:line="260" w:lineRule="atLeast"/>
        <w:ind w:left="0" w:right="0" w:firstLine="0"/>
        <w:jc w:val="both"/>
      </w:pPr>
      <w:bookmarkStart w:id="120" w:name="Bookmark_para_22"/>
      <w:bookmarkEnd w:id="120"/>
      <w:r>
        <w:rPr>
          <w:rFonts w:ascii="arial" w:eastAsia="arial" w:hAnsi="arial" w:cs="arial"/>
          <w:b w:val="0"/>
          <w:i w:val="0"/>
          <w:strike w:val="0"/>
          <w:noProof w:val="0"/>
          <w:color w:val="000000"/>
          <w:position w:val="0"/>
          <w:sz w:val="20"/>
          <w:u w:val="none"/>
          <w:vertAlign w:val="baseline"/>
        </w:rPr>
        <w:t xml:space="preserve">Second, he says that even if conspiracies are included in "drug trafficking offense," federal conspiracies do not count as "conspiracies" because they do not require an overt act. But this response answers the wrong question. This case turns on the meaning of "drug trafficking offense," not </w:t>
      </w:r>
      <w:r>
        <w:rPr>
          <w:rFonts w:ascii="arial" w:eastAsia="arial" w:hAnsi="arial" w:cs="arial"/>
          <w:b/>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"conspiracy." Even if the federal conspiracy offense is atypical, it is undoubtedly an "offense." Though an overt act might bring a defendant closer to actual drug trafficking, it does not affect whether a drug-trafficking conspiracy is part of the drug-trafficking-offense family.</w:t>
      </w:r>
    </w:p>
    <w:p>
      <w:pPr>
        <w:keepNext w:val="0"/>
        <w:spacing w:before="200" w:after="0" w:line="260" w:lineRule="atLeast"/>
        <w:ind w:left="0" w:right="0" w:firstLine="0"/>
        <w:jc w:val="both"/>
      </w:pPr>
      <w:bookmarkStart w:id="121" w:name="Bookmark_para_23"/>
      <w:bookmarkEnd w:id="121"/>
      <w:r>
        <w:rPr>
          <w:rFonts w:ascii="arial" w:eastAsia="arial" w:hAnsi="arial" w:cs="arial"/>
          <w:b/>
          <w:i w:val="0"/>
          <w:strike w:val="0"/>
          <w:noProof w:val="0"/>
          <w:color w:val="000000"/>
          <w:position w:val="0"/>
          <w:sz w:val="20"/>
          <w:u w:val="none"/>
          <w:vertAlign w:val="baseline"/>
        </w:rPr>
        <w:t>B. The Guideline's structure is not to the contrary</w:t>
      </w:r>
    </w:p>
    <w:p>
      <w:pPr>
        <w:keepNext w:val="0"/>
        <w:spacing w:before="240" w:after="0" w:line="260" w:lineRule="atLeast"/>
        <w:ind w:left="0" w:right="0" w:firstLine="0"/>
        <w:jc w:val="both"/>
      </w:pPr>
      <w:bookmarkStart w:id="122" w:name="Bookmark_para_24"/>
      <w:bookmarkEnd w:id="122"/>
      <w:bookmarkStart w:id="123" w:name="Bookmark_I68DNBM62N1R5H0020000400"/>
      <w:bookmarkEnd w:id="123"/>
      <w:r>
        <w:rPr>
          <w:rFonts w:ascii="arial" w:eastAsia="arial" w:hAnsi="arial" w:cs="arial"/>
          <w:b w:val="0"/>
          <w:i w:val="0"/>
          <w:strike w:val="0"/>
          <w:noProof w:val="0"/>
          <w:color w:val="000000"/>
          <w:position w:val="0"/>
          <w:sz w:val="20"/>
          <w:u w:val="none"/>
          <w:vertAlign w:val="baseline"/>
        </w:rPr>
        <w:t>Garcia-Vasquez next contrasts this Guideline with others. Because nineteen Guidelines expressly include conspiracies, he infers that the Commission deliberately omitted conspiracies from this Guideline. But his inference is weak: Those Guidelines refer to conspiracies just in their titles, which are relevant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only as far as they clarify ambiguity in their Guidelines' text. </w:t>
      </w:r>
      <w:r>
        <w:rPr>
          <w:rFonts w:ascii="arial" w:eastAsia="arial" w:hAnsi="arial" w:cs="arial"/>
          <w:b w:val="0"/>
          <w:i/>
          <w:strike w:val="0"/>
          <w:noProof w:val="0"/>
          <w:color w:val="000000"/>
          <w:position w:val="0"/>
          <w:sz w:val="20"/>
          <w:u w:val="none"/>
          <w:vertAlign w:val="baseline"/>
        </w:rPr>
        <w:t xml:space="preserve">See </w:t>
      </w:r>
      <w:bookmarkStart w:id="124" w:name="Bookmark_I68DNBM62N1R5H0010000400"/>
      <w:bookmarkEnd w:id="124"/>
      <w:hyperlink r:id="rId48" w:history="1">
        <w:r>
          <w:rPr>
            <w:rFonts w:ascii="arial" w:eastAsia="arial" w:hAnsi="arial" w:cs="arial"/>
            <w:b w:val="0"/>
            <w:i/>
            <w:strike w:val="0"/>
            <w:noProof w:val="0"/>
            <w:color w:val="0077CC"/>
            <w:position w:val="0"/>
            <w:sz w:val="20"/>
            <w:u w:val="single"/>
            <w:vertAlign w:val="baseline"/>
          </w:rPr>
          <w:t>Carter v. United States</w:t>
        </w:r>
      </w:hyperlink>
      <w:hyperlink r:id="rId48" w:history="1">
        <w:r>
          <w:rPr>
            <w:rFonts w:ascii="arial" w:eastAsia="arial" w:hAnsi="arial" w:cs="arial"/>
            <w:b w:val="0"/>
            <w:i/>
            <w:strike w:val="0"/>
            <w:noProof w:val="0"/>
            <w:color w:val="0077CC"/>
            <w:position w:val="0"/>
            <w:sz w:val="20"/>
            <w:u w:val="single"/>
            <w:vertAlign w:val="baseline"/>
          </w:rPr>
          <w:t>, 530 U.S. 255, 267, 120 S. Ct. 2159, 147 L. Ed. 2d 203 (2000)</w:t>
        </w:r>
      </w:hyperlink>
      <w:r>
        <w:rPr>
          <w:rFonts w:ascii="arial" w:eastAsia="arial" w:hAnsi="arial" w:cs="arial"/>
          <w:b w:val="0"/>
          <w:i w:val="0"/>
          <w:strike w:val="0"/>
          <w:noProof w:val="0"/>
          <w:color w:val="000000"/>
          <w:position w:val="0"/>
          <w:sz w:val="20"/>
          <w:u w:val="none"/>
          <w:vertAlign w:val="baseline"/>
        </w:rPr>
        <w:t xml:space="preserve">. </w:t>
      </w:r>
      <w:bookmarkStart w:id="125" w:name="Bookmark_I68DNBM62N1R5H0040000400"/>
      <w:bookmarkEnd w:id="125"/>
      <w:r>
        <w:rPr>
          <w:rFonts w:ascii="arial" w:eastAsia="arial" w:hAnsi="arial" w:cs="arial"/>
          <w:b w:val="0"/>
          <w:i w:val="0"/>
          <w:strike w:val="0"/>
          <w:noProof w:val="0"/>
          <w:color w:val="000000"/>
          <w:position w:val="0"/>
          <w:sz w:val="20"/>
          <w:u w:val="none"/>
          <w:vertAlign w:val="baseline"/>
        </w:rPr>
        <w:t xml:space="preserve">And they are offense Guidelines, merely referring to the specific provision for calculating conspiracy base-offense levels.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U.S.S.G. § 2X1.1</w:t>
        </w:r>
      </w:hyperlink>
      <w:r>
        <w:rPr>
          <w:rFonts w:ascii="arial" w:eastAsia="arial" w:hAnsi="arial" w:cs="arial"/>
          <w:b w:val="0"/>
          <w:i w:val="0"/>
          <w:strike w:val="0"/>
          <w:noProof w:val="0"/>
          <w:color w:val="000000"/>
          <w:position w:val="0"/>
          <w:sz w:val="20"/>
          <w:u w:val="none"/>
          <w:vertAlign w:val="baseline"/>
        </w:rPr>
        <w:t xml:space="preserve">. Plus, there is a competing inference: other Guidelines leave conspiracies out. </w:t>
      </w:r>
      <w:r>
        <w:rPr>
          <w:rFonts w:ascii="arial" w:eastAsia="arial" w:hAnsi="arial" w:cs="arial"/>
          <w:b w:val="0"/>
          <w:i/>
          <w:strike w:val="0"/>
          <w:noProof w:val="0"/>
          <w:color w:val="000000"/>
          <w:position w:val="0"/>
          <w:sz w:val="20"/>
          <w:u w:val="none"/>
          <w:vertAlign w:val="baseline"/>
        </w:rPr>
        <w:t xml:space="preserve">See, e.g., </w:t>
      </w:r>
      <w:bookmarkStart w:id="126" w:name="Bookmark_I68DNBM62N1R5H0030000400"/>
      <w:bookmarkEnd w:id="126"/>
      <w:hyperlink r:id="rId28" w:history="1">
        <w:r>
          <w:rPr>
            <w:rFonts w:ascii="arial" w:eastAsia="arial" w:hAnsi="arial" w:cs="arial"/>
            <w:b w:val="0"/>
            <w:i/>
            <w:strike w:val="0"/>
            <w:noProof w:val="0"/>
            <w:color w:val="0077CC"/>
            <w:position w:val="0"/>
            <w:sz w:val="20"/>
            <w:u w:val="single"/>
            <w:vertAlign w:val="baseline"/>
          </w:rPr>
          <w:t>Nasir</w:t>
        </w:r>
      </w:hyperlink>
      <w:hyperlink r:id="rId28" w:history="1">
        <w:r>
          <w:rPr>
            <w:rFonts w:ascii="arial" w:eastAsia="arial" w:hAnsi="arial" w:cs="arial"/>
            <w:b w:val="0"/>
            <w:i/>
            <w:strike w:val="0"/>
            <w:noProof w:val="0"/>
            <w:color w:val="0077CC"/>
            <w:position w:val="0"/>
            <w:sz w:val="20"/>
            <w:u w:val="single"/>
            <w:vertAlign w:val="baseline"/>
          </w:rPr>
          <w:t>, 17 F.4th at 471-72</w:t>
        </w:r>
      </w:hyperlink>
      <w:r>
        <w:rPr>
          <w:rFonts w:ascii="arial" w:eastAsia="arial" w:hAnsi="arial" w:cs="arial"/>
          <w:b w:val="0"/>
          <w:i w:val="0"/>
          <w:strike w:val="0"/>
          <w:noProof w:val="0"/>
          <w:color w:val="000000"/>
          <w:position w:val="0"/>
          <w:sz w:val="20"/>
          <w:u w:val="none"/>
          <w:vertAlign w:val="baseline"/>
        </w:rPr>
        <w:t>. This Guideline is silent. So we will not draw either inference.</w:t>
      </w:r>
    </w:p>
    <w:p>
      <w:pPr>
        <w:keepNext w:val="0"/>
        <w:spacing w:before="200" w:after="0" w:line="260" w:lineRule="atLeast"/>
        <w:ind w:left="0" w:right="0" w:firstLine="0"/>
        <w:jc w:val="both"/>
      </w:pPr>
      <w:bookmarkStart w:id="127" w:name="Bookmark_para_25"/>
      <w:bookmarkEnd w:id="127"/>
      <w:r>
        <w:rPr>
          <w:rFonts w:ascii="arial" w:eastAsia="arial" w:hAnsi="arial" w:cs="arial"/>
          <w:b/>
          <w:i w:val="0"/>
          <w:strike w:val="0"/>
          <w:noProof w:val="0"/>
          <w:color w:val="000000"/>
          <w:position w:val="0"/>
          <w:sz w:val="20"/>
          <w:u w:val="none"/>
          <w:vertAlign w:val="baseline"/>
        </w:rPr>
        <w:t>C. The Guideline's amendment history confirms our reading</w:t>
      </w:r>
    </w:p>
    <w:p>
      <w:pPr>
        <w:keepNext w:val="0"/>
        <w:spacing w:before="240" w:after="0" w:line="260" w:lineRule="atLeast"/>
        <w:ind w:left="0" w:right="0" w:firstLine="0"/>
        <w:jc w:val="both"/>
      </w:pPr>
      <w:bookmarkStart w:id="128" w:name="Bookmark_para_26"/>
      <w:bookmarkEnd w:id="128"/>
      <w:r>
        <w:rPr>
          <w:rFonts w:ascii="arial" w:eastAsia="arial" w:hAnsi="arial" w:cs="arial"/>
          <w:b w:val="0"/>
          <w:i w:val="0"/>
          <w:strike w:val="0"/>
          <w:noProof w:val="0"/>
          <w:color w:val="000000"/>
          <w:position w:val="0"/>
          <w:sz w:val="20"/>
          <w:u w:val="none"/>
          <w:vertAlign w:val="baseline"/>
        </w:rPr>
        <w:t xml:space="preserve">Garcia-Vasquez next points to the Guideline's amendment history, but it cuts against him. Before the 2001 amendments to the Sentencing Guidelines, </w:t>
      </w:r>
      <w:hyperlink r:id="rId12"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applied a sixteen-level enhancement for any prior "aggravated felony." </w:t>
      </w:r>
      <w:hyperlink r:id="rId12" w:history="1">
        <w:r>
          <w:rPr>
            <w:rFonts w:ascii="arial" w:eastAsia="arial" w:hAnsi="arial" w:cs="arial"/>
            <w:b w:val="0"/>
            <w:i/>
            <w:strike w:val="0"/>
            <w:noProof w:val="0"/>
            <w:color w:val="0077CC"/>
            <w:position w:val="0"/>
            <w:sz w:val="20"/>
            <w:u w:val="single"/>
            <w:vertAlign w:val="baseline"/>
          </w:rPr>
          <w:t>U.S.S.G. § 2L1.2(b)(1)(A)</w:t>
        </w:r>
      </w:hyperlink>
      <w:r>
        <w:rPr>
          <w:rFonts w:ascii="arial" w:eastAsia="arial" w:hAnsi="arial" w:cs="arial"/>
          <w:b w:val="0"/>
          <w:i w:val="0"/>
          <w:strike w:val="0"/>
          <w:noProof w:val="0"/>
          <w:color w:val="000000"/>
          <w:position w:val="0"/>
          <w:sz w:val="20"/>
          <w:u w:val="none"/>
          <w:vertAlign w:val="baseline"/>
        </w:rPr>
        <w:t xml:space="preserve"> (1997).</w:t>
      </w:r>
    </w:p>
    <w:p>
      <w:pPr>
        <w:keepNext w:val="0"/>
        <w:spacing w:before="240" w:after="0" w:line="260" w:lineRule="atLeast"/>
        <w:ind w:left="0" w:right="0" w:firstLine="0"/>
        <w:jc w:val="both"/>
      </w:pPr>
      <w:bookmarkStart w:id="129" w:name="Bookmark_para_27"/>
      <w:bookmarkEnd w:id="129"/>
      <w:r>
        <w:rPr>
          <w:rFonts w:ascii="arial" w:eastAsia="arial" w:hAnsi="arial" w:cs="arial"/>
          <w:b w:val="0"/>
          <w:i w:val="0"/>
          <w:strike w:val="0"/>
          <w:noProof w:val="0"/>
          <w:color w:val="000000"/>
          <w:position w:val="0"/>
          <w:sz w:val="20"/>
          <w:u w:val="none"/>
          <w:vertAlign w:val="baseline"/>
        </w:rPr>
        <w:t xml:space="preserve">After the 2001 amendments, the Guidelines directed the sentencing judge to "[a]pply the [g]reatest" of a series of enhancements. </w:t>
      </w:r>
      <w:hyperlink r:id="rId12" w:history="1">
        <w:r>
          <w:rPr>
            <w:rFonts w:ascii="arial" w:eastAsia="arial" w:hAnsi="arial" w:cs="arial"/>
            <w:b w:val="0"/>
            <w:i/>
            <w:strike w:val="0"/>
            <w:noProof w:val="0"/>
            <w:color w:val="0077CC"/>
            <w:position w:val="0"/>
            <w:sz w:val="20"/>
            <w:u w:val="single"/>
            <w:vertAlign w:val="baseline"/>
          </w:rPr>
          <w:t>§ 2L1.2(b)(1)</w:t>
        </w:r>
      </w:hyperlink>
      <w:r>
        <w:rPr>
          <w:rFonts w:ascii="arial" w:eastAsia="arial" w:hAnsi="arial" w:cs="arial"/>
          <w:b w:val="0"/>
          <w:i w:val="0"/>
          <w:strike w:val="0"/>
          <w:noProof w:val="0"/>
          <w:color w:val="000000"/>
          <w:position w:val="0"/>
          <w:sz w:val="20"/>
          <w:u w:val="none"/>
          <w:vertAlign w:val="baseline"/>
        </w:rPr>
        <w:t xml:space="preserve"> (2001). The enhancement for "an aggravated felony" was reduced to eight levels. </w:t>
      </w:r>
      <w:hyperlink r:id="rId12" w:history="1">
        <w:r>
          <w:rPr>
            <w:rFonts w:ascii="arial" w:eastAsia="arial" w:hAnsi="arial" w:cs="arial"/>
            <w:b w:val="0"/>
            <w:i/>
            <w:strike w:val="0"/>
            <w:noProof w:val="0"/>
            <w:color w:val="0077CC"/>
            <w:position w:val="0"/>
            <w:sz w:val="20"/>
            <w:u w:val="single"/>
            <w:vertAlign w:val="baseline"/>
          </w:rPr>
          <w:t>§ 2L1.2(b)(1)(C)</w:t>
        </w:r>
      </w:hyperlink>
      <w:r>
        <w:rPr>
          <w:rFonts w:ascii="arial" w:eastAsia="arial" w:hAnsi="arial" w:cs="arial"/>
          <w:b w:val="0"/>
          <w:i w:val="0"/>
          <w:strike w:val="0"/>
          <w:noProof w:val="0"/>
          <w:color w:val="000000"/>
          <w:position w:val="0"/>
          <w:sz w:val="20"/>
          <w:u w:val="none"/>
          <w:vertAlign w:val="baseline"/>
        </w:rPr>
        <w:t xml:space="preserve"> (2001). The sixteen-level enhancement was now reserved for a specific list of offenses: drug-trafficking offenses, crimes of violence, firearms offenses, child-pornography offenses, national-security or terrorism offenses,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-trafficking offenses, and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offenses. </w:t>
      </w:r>
      <w:hyperlink r:id="rId12" w:history="1">
        <w:r>
          <w:rPr>
            <w:rFonts w:ascii="arial" w:eastAsia="arial" w:hAnsi="arial" w:cs="arial"/>
            <w:b w:val="0"/>
            <w:i/>
            <w:strike w:val="0"/>
            <w:noProof w:val="0"/>
            <w:color w:val="0077CC"/>
            <w:position w:val="0"/>
            <w:sz w:val="20"/>
            <w:u w:val="single"/>
            <w:vertAlign w:val="baseline"/>
          </w:rPr>
          <w:t>§ 2L1.2(b)(1)(A)</w:t>
        </w:r>
      </w:hyperlink>
      <w:r>
        <w:rPr>
          <w:rFonts w:ascii="arial" w:eastAsia="arial" w:hAnsi="arial" w:cs="arial"/>
          <w:b w:val="0"/>
          <w:i w:val="0"/>
          <w:strike w:val="0"/>
          <w:noProof w:val="0"/>
          <w:color w:val="000000"/>
          <w:position w:val="0"/>
          <w:sz w:val="20"/>
          <w:u w:val="none"/>
          <w:vertAlign w:val="baseline"/>
        </w:rPr>
        <w:t xml:space="preserve"> (2001).</w:t>
      </w:r>
    </w:p>
    <w:p>
      <w:pPr>
        <w:keepNext w:val="0"/>
        <w:spacing w:before="240" w:after="0" w:line="260" w:lineRule="atLeast"/>
        <w:ind w:left="0" w:right="0" w:firstLine="0"/>
        <w:jc w:val="both"/>
      </w:pPr>
      <w:bookmarkStart w:id="130" w:name="Bookmark_para_28"/>
      <w:bookmarkEnd w:id="130"/>
      <w:bookmarkStart w:id="131" w:name="Bookmark_I68DNBM62N1R5K0010000400"/>
      <w:bookmarkEnd w:id="131"/>
      <w:r>
        <w:rPr>
          <w:rFonts w:ascii="arial" w:eastAsia="arial" w:hAnsi="arial" w:cs="arial"/>
          <w:b w:val="0"/>
          <w:i w:val="0"/>
          <w:strike w:val="0"/>
          <w:noProof w:val="0"/>
          <w:color w:val="000000"/>
          <w:position w:val="0"/>
          <w:sz w:val="20"/>
          <w:u w:val="none"/>
          <w:vertAlign w:val="baseline"/>
        </w:rPr>
        <w:t xml:space="preserve">This history is revealing. </w:t>
      </w:r>
      <w:r>
        <w:rPr>
          <w:rFonts w:ascii="arial" w:eastAsia="arial" w:hAnsi="arial" w:cs="arial"/>
          <w:b w:val="0"/>
          <w:i/>
          <w:strike w:val="0"/>
          <w:noProof w:val="0"/>
          <w:color w:val="000000"/>
          <w:position w:val="0"/>
          <w:sz w:val="20"/>
          <w:u w:val="none"/>
          <w:vertAlign w:val="baseline"/>
        </w:rPr>
        <w:t xml:space="preserve">Cf. </w:t>
      </w:r>
      <w:bookmarkStart w:id="132" w:name="Bookmark_I68DNBM62N1R5H0050000400"/>
      <w:bookmarkEnd w:id="132"/>
      <w:hyperlink r:id="rId50" w:history="1">
        <w:r>
          <w:rPr>
            <w:rFonts w:ascii="arial" w:eastAsia="arial" w:hAnsi="arial" w:cs="arial"/>
            <w:b w:val="0"/>
            <w:i/>
            <w:strike w:val="0"/>
            <w:noProof w:val="0"/>
            <w:color w:val="0077CC"/>
            <w:position w:val="0"/>
            <w:sz w:val="20"/>
            <w:u w:val="single"/>
            <w:vertAlign w:val="baseline"/>
          </w:rPr>
          <w:t>Bittner v. United States</w:t>
        </w:r>
      </w:hyperlink>
      <w:hyperlink r:id="rId50" w:history="1">
        <w:r>
          <w:rPr>
            <w:rFonts w:ascii="arial" w:eastAsia="arial" w:hAnsi="arial" w:cs="arial"/>
            <w:b w:val="0"/>
            <w:i/>
            <w:strike w:val="0"/>
            <w:noProof w:val="0"/>
            <w:color w:val="0077CC"/>
            <w:position w:val="0"/>
            <w:sz w:val="20"/>
            <w:u w:val="single"/>
            <w:vertAlign w:val="baseline"/>
          </w:rPr>
          <w:t>, 598 U.S. 85, 143 S. Ct. 713, 722, 215 L. Ed. 2d 1 (2023)</w:t>
        </w:r>
      </w:hyperlink>
      <w:r>
        <w:rPr>
          <w:rFonts w:ascii="arial" w:eastAsia="arial" w:hAnsi="arial" w:cs="arial"/>
          <w:b w:val="0"/>
          <w:i w:val="0"/>
          <w:strike w:val="0"/>
          <w:noProof w:val="0"/>
          <w:color w:val="000000"/>
          <w:position w:val="0"/>
          <w:sz w:val="20"/>
          <w:u w:val="none"/>
          <w:vertAlign w:val="baseline"/>
        </w:rPr>
        <w:t xml:space="preserve"> (analyzing a statute's amendment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history). The specific list of crimes is simply a subset of the longer list of aggravated felonies. </w:t>
      </w:r>
      <w:bookmarkStart w:id="133" w:name="Bookmark_I68DNBM62N1R5K0030000400"/>
      <w:bookmarkEnd w:id="133"/>
      <w:r>
        <w:rPr>
          <w:rFonts w:ascii="arial" w:eastAsia="arial" w:hAnsi="arial" w:cs="arial"/>
          <w:b w:val="0"/>
          <w:i w:val="0"/>
          <w:strike w:val="0"/>
          <w:noProof w:val="0"/>
          <w:color w:val="000000"/>
          <w:position w:val="0"/>
          <w:sz w:val="20"/>
          <w:u w:val="none"/>
          <w:vertAlign w:val="baseline"/>
        </w:rPr>
        <w:t xml:space="preserve">This sentencing enhancement is in the "Immigration" part of the Guidelines. </w:t>
      </w:r>
      <w:hyperlink r:id="rId51" w:history="1">
        <w:r>
          <w:rPr>
            <w:rFonts w:ascii="arial" w:eastAsia="arial" w:hAnsi="arial" w:cs="arial"/>
            <w:b w:val="0"/>
            <w:i/>
            <w:strike w:val="0"/>
            <w:noProof w:val="0"/>
            <w:color w:val="0077CC"/>
            <w:position w:val="0"/>
            <w:sz w:val="20"/>
            <w:u w:val="single"/>
            <w:vertAlign w:val="baseline"/>
          </w:rPr>
          <w:t>U.S.S.G. pt. L(1)</w:t>
        </w:r>
      </w:hyperlink>
      <w:r>
        <w:rPr>
          <w:rFonts w:ascii="arial" w:eastAsia="arial" w:hAnsi="arial" w:cs="arial"/>
          <w:b w:val="0"/>
          <w:i w:val="0"/>
          <w:strike w:val="0"/>
          <w:noProof w:val="0"/>
          <w:color w:val="000000"/>
          <w:position w:val="0"/>
          <w:sz w:val="20"/>
          <w:u w:val="none"/>
          <w:vertAlign w:val="baseline"/>
        </w:rPr>
        <w:t xml:space="preserve">. The Sentencing Commission wrote its terms to effectuate immigration law. And the term "aggravated felony" is a "term of art" extensively defined in the "Immigration and Nationality" chapter of the U.S. Code. </w:t>
      </w:r>
      <w:bookmarkStart w:id="134" w:name="Bookmark_I68DNBM62N1R5K0020000400"/>
      <w:bookmarkEnd w:id="134"/>
      <w:hyperlink r:id="rId52" w:history="1">
        <w:r>
          <w:rPr>
            <w:rFonts w:ascii="arial" w:eastAsia="arial" w:hAnsi="arial" w:cs="arial"/>
            <w:b w:val="0"/>
            <w:i/>
            <w:strike w:val="0"/>
            <w:noProof w:val="0"/>
            <w:color w:val="0077CC"/>
            <w:position w:val="0"/>
            <w:sz w:val="20"/>
            <w:u w:val="single"/>
            <w:vertAlign w:val="baseline"/>
          </w:rPr>
          <w:t>Biskupski v. Att'y Gen.</w:t>
        </w:r>
      </w:hyperlink>
      <w:hyperlink r:id="rId52" w:history="1">
        <w:r>
          <w:rPr>
            <w:rFonts w:ascii="arial" w:eastAsia="arial" w:hAnsi="arial" w:cs="arial"/>
            <w:b w:val="0"/>
            <w:i/>
            <w:strike w:val="0"/>
            <w:noProof w:val="0"/>
            <w:color w:val="0077CC"/>
            <w:position w:val="0"/>
            <w:sz w:val="20"/>
            <w:u w:val="single"/>
            <w:vertAlign w:val="baseline"/>
          </w:rPr>
          <w:t>, 503 F.3d 274, 280 (3d Cir. 2007)</w:t>
        </w:r>
      </w:hyperlink>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8 U.S.C. ch. 12</w:t>
        </w:r>
      </w:hyperlink>
      <w:r>
        <w:rPr>
          <w:rFonts w:ascii="arial" w:eastAsia="arial" w:hAnsi="arial" w:cs="arial"/>
          <w:b w:val="0"/>
          <w:i w:val="0"/>
          <w:strike w:val="0"/>
          <w:noProof w:val="0"/>
          <w:color w:val="000000"/>
          <w:position w:val="0"/>
          <w:sz w:val="20"/>
          <w:u w:val="none"/>
          <w:vertAlign w:val="baseline"/>
        </w:rPr>
        <w:t>. So it follows that we look to that Chapter's definition of "aggravated felony."</w:t>
      </w:r>
    </w:p>
    <w:p>
      <w:pPr>
        <w:keepNext w:val="0"/>
        <w:spacing w:before="200" w:after="0" w:line="260" w:lineRule="atLeast"/>
        <w:ind w:left="0" w:right="0" w:firstLine="0"/>
        <w:jc w:val="both"/>
      </w:pPr>
      <w:bookmarkStart w:id="135" w:name="Bookmark_para_29"/>
      <w:bookmarkEnd w:id="135"/>
      <w:r>
        <w:rPr>
          <w:rFonts w:ascii="arial" w:eastAsia="arial" w:hAnsi="arial" w:cs="arial"/>
          <w:b w:val="0"/>
          <w:i w:val="0"/>
          <w:strike w:val="0"/>
          <w:noProof w:val="0"/>
          <w:color w:val="000000"/>
          <w:position w:val="0"/>
          <w:sz w:val="20"/>
          <w:u w:val="none"/>
          <w:vertAlign w:val="baseline"/>
        </w:rPr>
        <w:t xml:space="preserve">There, we find subsections closely associated with each item in the Guideline's list.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8 U.S.C. § 1101(a)(43)(B)</w:t>
        </w:r>
      </w:hyperlink>
      <w:r>
        <w:rPr>
          <w:rFonts w:ascii="arial" w:eastAsia="arial" w:hAnsi="arial" w:cs="arial"/>
          <w:b w:val="0"/>
          <w:i w:val="0"/>
          <w:strike w:val="0"/>
          <w:noProof w:val="0"/>
          <w:color w:val="000000"/>
          <w:position w:val="0"/>
          <w:sz w:val="20"/>
          <w:u w:val="none"/>
          <w:vertAlign w:val="baseline"/>
        </w:rPr>
        <w:t xml:space="preserve"> ("drug trafficking crime (as defined in </w:t>
      </w:r>
      <w:hyperlink r:id="rId54" w:history="1">
        <w:r>
          <w:rPr>
            <w:rFonts w:ascii="arial" w:eastAsia="arial" w:hAnsi="arial" w:cs="arial"/>
            <w:b w:val="0"/>
            <w:i/>
            <w:strike w:val="0"/>
            <w:noProof w:val="0"/>
            <w:color w:val="0077CC"/>
            <w:position w:val="0"/>
            <w:sz w:val="20"/>
            <w:u w:val="single"/>
            <w:vertAlign w:val="baseline"/>
          </w:rPr>
          <w:t>section 924(c) of Title 18)")</w:t>
        </w:r>
      </w:hyperlink>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(F)</w:t>
        </w:r>
      </w:hyperlink>
      <w:r>
        <w:rPr>
          <w:rFonts w:ascii="arial" w:eastAsia="arial" w:hAnsi="arial" w:cs="arial"/>
          <w:b w:val="0"/>
          <w:i w:val="0"/>
          <w:strike w:val="0"/>
          <w:noProof w:val="0"/>
          <w:color w:val="000000"/>
          <w:position w:val="0"/>
          <w:sz w:val="20"/>
          <w:u w:val="none"/>
          <w:vertAlign w:val="baseline"/>
        </w:rPr>
        <w:t xml:space="preserve"> ("crime of violence (as defined in </w:t>
      </w:r>
      <w:hyperlink r:id="rId55" w:history="1">
        <w:r>
          <w:rPr>
            <w:rFonts w:ascii="arial" w:eastAsia="arial" w:hAnsi="arial" w:cs="arial"/>
            <w:b w:val="0"/>
            <w:i/>
            <w:strike w:val="0"/>
            <w:noProof w:val="0"/>
            <w:color w:val="0077CC"/>
            <w:position w:val="0"/>
            <w:sz w:val="20"/>
            <w:u w:val="single"/>
            <w:vertAlign w:val="baseline"/>
          </w:rPr>
          <w:t>section 16 of Title 18)")</w:t>
        </w:r>
      </w:hyperlink>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(E)(ii)-(iii)</w:t>
        </w:r>
      </w:hyperlink>
      <w:r>
        <w:rPr>
          <w:rFonts w:ascii="arial" w:eastAsia="arial" w:hAnsi="arial" w:cs="arial"/>
          <w:b w:val="0"/>
          <w:i w:val="0"/>
          <w:strike w:val="0"/>
          <w:noProof w:val="0"/>
          <w:color w:val="000000"/>
          <w:position w:val="0"/>
          <w:sz w:val="20"/>
          <w:u w:val="none"/>
          <w:vertAlign w:val="baseline"/>
        </w:rPr>
        <w:t xml:space="preserve"> ("firearms offenses"), </w:t>
      </w:r>
      <w:hyperlink r:id="rId53" w:history="1">
        <w:r>
          <w:rPr>
            <w:rFonts w:ascii="arial" w:eastAsia="arial" w:hAnsi="arial" w:cs="arial"/>
            <w:b w:val="0"/>
            <w:i/>
            <w:strike w:val="0"/>
            <w:noProof w:val="0"/>
            <w:color w:val="0077CC"/>
            <w:position w:val="0"/>
            <w:sz w:val="20"/>
            <w:u w:val="single"/>
            <w:vertAlign w:val="baseline"/>
          </w:rPr>
          <w:t>(I)</w:t>
        </w:r>
      </w:hyperlink>
      <w:r>
        <w:rPr>
          <w:rFonts w:ascii="arial" w:eastAsia="arial" w:hAnsi="arial" w:cs="arial"/>
          <w:b w:val="0"/>
          <w:i w:val="0"/>
          <w:strike w:val="0"/>
          <w:noProof w:val="0"/>
          <w:color w:val="000000"/>
          <w:position w:val="0"/>
          <w:sz w:val="20"/>
          <w:u w:val="none"/>
          <w:vertAlign w:val="baseline"/>
        </w:rPr>
        <w:t xml:space="preserve"> ("offense ... relating to child pornography"), </w:t>
      </w:r>
      <w:hyperlink r:id="rId53" w:history="1">
        <w:r>
          <w:rPr>
            <w:rFonts w:ascii="arial" w:eastAsia="arial" w:hAnsi="arial" w:cs="arial"/>
            <w:b w:val="0"/>
            <w:i/>
            <w:strike w:val="0"/>
            <w:noProof w:val="0"/>
            <w:color w:val="0077CC"/>
            <w:position w:val="0"/>
            <w:sz w:val="20"/>
            <w:u w:val="single"/>
            <w:vertAlign w:val="baseline"/>
          </w:rPr>
          <w:t>(L)</w:t>
        </w:r>
      </w:hyperlink>
      <w:r>
        <w:rPr>
          <w:rFonts w:ascii="arial" w:eastAsia="arial" w:hAnsi="arial" w:cs="arial"/>
          <w:b w:val="0"/>
          <w:i w:val="0"/>
          <w:strike w:val="0"/>
          <w:noProof w:val="0"/>
          <w:color w:val="000000"/>
          <w:position w:val="0"/>
          <w:sz w:val="20"/>
          <w:u w:val="none"/>
          <w:vertAlign w:val="baseline"/>
        </w:rPr>
        <w:t xml:space="preserve"> (disclosing classified information, sabotage, treason), </w:t>
      </w:r>
      <w:hyperlink r:id="rId53" w:history="1">
        <w:r>
          <w:rPr>
            <w:rFonts w:ascii="arial" w:eastAsia="arial" w:hAnsi="arial" w:cs="arial"/>
            <w:b w:val="0"/>
            <w:i/>
            <w:strike w:val="0"/>
            <w:noProof w:val="0"/>
            <w:color w:val="0077CC"/>
            <w:position w:val="0"/>
            <w:sz w:val="20"/>
            <w:u w:val="single"/>
            <w:vertAlign w:val="baseline"/>
          </w:rPr>
          <w:t>(K)</w:t>
        </w:r>
      </w:hyperlink>
      <w:r>
        <w:rPr>
          <w:rFonts w:ascii="arial" w:eastAsia="arial" w:hAnsi="arial" w:cs="arial"/>
          <w:b w:val="0"/>
          <w:i w:val="0"/>
          <w:strike w:val="0"/>
          <w:noProof w:val="0"/>
          <w:color w:val="000000"/>
          <w:position w:val="0"/>
          <w:sz w:val="20"/>
          <w:u w:val="none"/>
          <w:vertAlign w:val="baseline"/>
        </w:rPr>
        <w:t xml:space="preserve"> (prostitution, peonage, slavery), </w:t>
      </w:r>
      <w:hyperlink r:id="rId53"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("offense ... relating to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6" w:name="Bookmark_para_30"/>
      <w:bookmarkEnd w:id="136"/>
      <w:r>
        <w:rPr>
          <w:rFonts w:ascii="arial" w:eastAsia="arial" w:hAnsi="arial" w:cs="arial"/>
          <w:b w:val="0"/>
          <w:i w:val="0"/>
          <w:strike w:val="0"/>
          <w:noProof w:val="0"/>
          <w:color w:val="000000"/>
          <w:position w:val="0"/>
          <w:sz w:val="20"/>
          <w:u w:val="none"/>
          <w:vertAlign w:val="baseline"/>
        </w:rPr>
        <w:t>The Guidelines work hand in glove with the substantive criminal law. The neat overlap here is thus strong evidence that "drug trafficking offense" in the Guideline should be read in light of "drug trafficking crime" as defined by statute under "aggravated felony." (We should not read much into the difference between "crime" and "offense"; the choice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latter might simply have been to match the other items </w:t>
      </w:r>
      <w:r>
        <w:rPr>
          <w:rFonts w:ascii="arial" w:eastAsia="arial" w:hAnsi="arial" w:cs="arial"/>
          <w:b/>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in the Guideline's list.) </w:t>
      </w:r>
      <w:bookmarkStart w:id="137" w:name="Bookmark_LNHNREFclscc10"/>
      <w:bookmarkEnd w:id="137"/>
      <w:hyperlink r:id="rId56"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9"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That statutory definition refers us to </w:t>
      </w:r>
      <w:hyperlink r:id="rId54"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And </w:t>
      </w:r>
      <w:hyperlink r:id="rId54" w:history="1">
        <w:r>
          <w:rPr>
            <w:rFonts w:ascii="arial" w:eastAsia="arial" w:hAnsi="arial" w:cs="arial"/>
            <w:b w:val="0"/>
            <w:i/>
            <w:strike w:val="0"/>
            <w:noProof w:val="0"/>
            <w:color w:val="0077CC"/>
            <w:position w:val="0"/>
            <w:sz w:val="20"/>
            <w:u w:val="single"/>
            <w:vertAlign w:val="baseline"/>
          </w:rPr>
          <w:t>§ 924(c)(2)</w:t>
        </w:r>
      </w:hyperlink>
      <w:r>
        <w:rPr>
          <w:rFonts w:ascii="arial" w:eastAsia="arial" w:hAnsi="arial" w:cs="arial"/>
          <w:b w:val="0"/>
          <w:i w:val="0"/>
          <w:strike w:val="0"/>
          <w:noProof w:val="0"/>
          <w:color w:val="000000"/>
          <w:position w:val="0"/>
          <w:sz w:val="20"/>
          <w:u w:val="none"/>
          <w:vertAlign w:val="baseline"/>
        </w:rPr>
        <w:t xml:space="preserve"> includes conspiracies. Thus, read in all relevant context, "drug trafficking offense" includes conspiracies.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Because no ambiguity remains, we need not resort to lenity or deference</w:t>
      </w:r>
    </w:p>
    <w:p>
      <w:pPr>
        <w:keepNext w:val="0"/>
        <w:spacing w:before="240" w:after="0" w:line="260" w:lineRule="atLeast"/>
        <w:ind w:left="0" w:right="0" w:firstLine="0"/>
        <w:jc w:val="both"/>
      </w:pPr>
      <w:bookmarkStart w:id="138" w:name="Bookmark_para_31"/>
      <w:bookmarkEnd w:id="138"/>
      <w:bookmarkStart w:id="139" w:name="Bookmark_I68DNBM62N1R5K0050000400"/>
      <w:bookmarkEnd w:id="139"/>
      <w:r>
        <w:rPr>
          <w:rFonts w:ascii="arial" w:eastAsia="arial" w:hAnsi="arial" w:cs="arial"/>
          <w:b w:val="0"/>
          <w:i w:val="0"/>
          <w:strike w:val="0"/>
          <w:noProof w:val="0"/>
          <w:color w:val="000000"/>
          <w:position w:val="0"/>
          <w:sz w:val="20"/>
          <w:u w:val="none"/>
          <w:vertAlign w:val="baseline"/>
        </w:rPr>
        <w:t xml:space="preserve">Finally, Garcia-Vasquez argues that, at a minimum, we must apply the rule of lenity and read the Guideline in his favor. The government, on the other hand, asks us to defer to the Sentencing Commission's application notes under </w:t>
      </w:r>
      <w:bookmarkStart w:id="140" w:name="Bookmark_I68DNBM62N1R5K0040000400"/>
      <w:bookmarkEnd w:id="140"/>
      <w:hyperlink r:id="rId57" w:history="1">
        <w:r>
          <w:rPr>
            <w:rFonts w:ascii="arial" w:eastAsia="arial" w:hAnsi="arial" w:cs="arial"/>
            <w:b w:val="0"/>
            <w:i/>
            <w:strike w:val="0"/>
            <w:noProof w:val="0"/>
            <w:color w:val="0077CC"/>
            <w:position w:val="0"/>
            <w:sz w:val="20"/>
            <w:u w:val="single"/>
            <w:vertAlign w:val="baseline"/>
          </w:rPr>
          <w:t>Kisor v. Wilkie</w:t>
        </w:r>
      </w:hyperlink>
      <w:hyperlink r:id="rId57" w:history="1">
        <w:r>
          <w:rPr>
            <w:rFonts w:ascii="arial" w:eastAsia="arial" w:hAnsi="arial" w:cs="arial"/>
            <w:b w:val="0"/>
            <w:i/>
            <w:strike w:val="0"/>
            <w:noProof w:val="0"/>
            <w:color w:val="0077CC"/>
            <w:position w:val="0"/>
            <w:sz w:val="20"/>
            <w:u w:val="single"/>
            <w:vertAlign w:val="baseline"/>
          </w:rPr>
          <w:t>, 139 S. Ct. 2400, 2415-16, 204 L. Ed. 2d 841 (2019)</w:t>
        </w:r>
      </w:hyperlink>
      <w:r>
        <w:rPr>
          <w:rFonts w:ascii="arial" w:eastAsia="arial" w:hAnsi="arial" w:cs="arial"/>
          <w:b w:val="0"/>
          <w:i w:val="0"/>
          <w:strike w:val="0"/>
          <w:noProof w:val="0"/>
          <w:color w:val="000000"/>
          <w:position w:val="0"/>
          <w:sz w:val="20"/>
          <w:u w:val="none"/>
          <w:vertAlign w:val="baseline"/>
        </w:rPr>
        <w:t>. But we need not resort to either approach. The Guideline's text, structure, and amendment history leave no ambiguity to resolve. Drug-trafficking offenses include conspiracies, not just completed crimes.</w:t>
      </w:r>
    </w:p>
    <w:p>
      <w:pPr>
        <w:keepNext w:val="0"/>
        <w:spacing w:before="200" w:after="0" w:line="260" w:lineRule="atLeast"/>
        <w:ind w:left="0" w:right="0" w:firstLine="0"/>
        <w:jc w:val="both"/>
      </w:pPr>
      <w:bookmarkStart w:id="141" w:name="Bookmark_para_32"/>
      <w:bookmarkEnd w:id="141"/>
      <w:r>
        <w:rPr>
          <w:rFonts w:ascii="arial" w:eastAsia="arial" w:hAnsi="arial" w:cs="arial"/>
          <w:b w:val="0"/>
          <w:i w:val="0"/>
          <w:strike w:val="0"/>
          <w:noProof w:val="0"/>
          <w:color w:val="000000"/>
          <w:position w:val="0"/>
          <w:sz w:val="20"/>
          <w:u w:val="none"/>
          <w:vertAlign w:val="baseline"/>
        </w:rPr>
        <w:t>* * * *</w:t>
      </w:r>
    </w:p>
    <w:p>
      <w:pPr>
        <w:keepNext w:val="0"/>
        <w:spacing w:before="240" w:after="0" w:line="260" w:lineRule="atLeast"/>
        <w:ind w:left="0" w:right="0" w:firstLine="0"/>
        <w:jc w:val="both"/>
      </w:pPr>
      <w:bookmarkStart w:id="142" w:name="Bookmark_para_33"/>
      <w:bookmarkEnd w:id="142"/>
      <w:bookmarkStart w:id="143" w:name="Bookmark_LNHNREFclscc11"/>
      <w:bookmarkEnd w:id="143"/>
      <w:hyperlink r:id="rId5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0"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illegal-reentry Sentencing Guideline applied its sixteen-level enhancement to anyone with a prior conviction for a "drug trafficking offense." </w:t>
      </w:r>
      <w:hyperlink r:id="rId12" w:history="1">
        <w:r>
          <w:rPr>
            <w:rFonts w:ascii="arial" w:eastAsia="arial" w:hAnsi="arial" w:cs="arial"/>
            <w:b w:val="0"/>
            <w:i/>
            <w:strike w:val="0"/>
            <w:noProof w:val="0"/>
            <w:color w:val="0077CC"/>
            <w:position w:val="0"/>
            <w:sz w:val="20"/>
            <w:u w:val="single"/>
            <w:vertAlign w:val="baseline"/>
          </w:rPr>
          <w:t>U.S.S.G. § 2L1.2(b)(1)(A)(i) (2015)</w:t>
        </w:r>
      </w:hyperlink>
      <w:r>
        <w:rPr>
          <w:rFonts w:ascii="arial" w:eastAsia="arial" w:hAnsi="arial" w:cs="arial"/>
          <w:b w:val="0"/>
          <w:i w:val="0"/>
          <w:strike w:val="0"/>
          <w:noProof w:val="0"/>
          <w:color w:val="000000"/>
          <w:position w:val="0"/>
          <w:sz w:val="20"/>
          <w:u w:val="none"/>
          <w:vertAlign w:val="baseline"/>
        </w:rPr>
        <w:t>. That enhancement's text captured a wide swath of "of-fense[s]," both completed and inchoate, and even conspiracies without overt acts. So we need not consider the Guideline's commentary or the rule of lenity and will affirm.</w:t>
      </w:r>
    </w:p>
    <w:p/>
    <w:p>
      <w:pPr>
        <w:ind w:left="200"/>
      </w:pPr>
      <w:r>
        <w:br/>
      </w:r>
      <w:r>
        <w:pict>
          <v:line id="_x0000_s105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Garcia-Vasquez, 70 F.4th 177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68D3-CH31-K054-G0CH-00000-00&amp;context=1519360&amp;link=LNHNREFclscc2" TargetMode="External" /><Relationship Id="rId12" Type="http://schemas.openxmlformats.org/officeDocument/2006/relationships/hyperlink" Target="https://advance.lexis.com/api/document?collection=statutes-legislation&amp;id=urn:contentItem:69KS-0WY3-S13X-P1SR-00000-00&amp;context=1519360" TargetMode="External" /><Relationship Id="rId13" Type="http://schemas.openxmlformats.org/officeDocument/2006/relationships/hyperlink" Target="https://advance.lexis.com/api/document?collection=cases&amp;id=urn:contentItem:68D3-CH31-K054-G0CH-00000-00&amp;context=1519360&amp;link=LNHNREFclscc3" TargetMode="External" /><Relationship Id="rId14" Type="http://schemas.openxmlformats.org/officeDocument/2006/relationships/hyperlink" Target="https://advance.lexis.com/api/document?collection=cases&amp;id=urn:contentItem:68D3-CH31-K054-G0CH-00000-00&amp;context=1519360&amp;link=LNHNREFclscc4" TargetMode="External" /><Relationship Id="rId15" Type="http://schemas.openxmlformats.org/officeDocument/2006/relationships/hyperlink" Target="https://advance.lexis.com/api/document?collection=cases&amp;id=urn:contentItem:68D3-CH31-K054-G0CH-00000-00&amp;context=1519360&amp;link=LNHNREFclscc5" TargetMode="External" /><Relationship Id="rId16" Type="http://schemas.openxmlformats.org/officeDocument/2006/relationships/hyperlink" Target="https://advance.lexis.com/api/document?collection=cases&amp;id=urn:contentItem:68D3-CH31-K054-G0CH-00000-00&amp;context=1519360&amp;link=LNHNREFclscc6" TargetMode="External" /><Relationship Id="rId17" Type="http://schemas.openxmlformats.org/officeDocument/2006/relationships/hyperlink" Target="https://advance.lexis.com/api/document?collection=cases&amp;id=urn:contentItem:68D3-CH31-K054-G0CH-00000-00&amp;context=1519360&amp;link=LNHNREFclscc7" TargetMode="External" /><Relationship Id="rId18" Type="http://schemas.openxmlformats.org/officeDocument/2006/relationships/hyperlink" Target="https://advance.lexis.com/api/document?collection=cases&amp;id=urn:contentItem:68D3-CH31-K054-G0CH-00000-00&amp;context=1519360&amp;link=LNHNREFclscc8" TargetMode="External" /><Relationship Id="rId19" Type="http://schemas.openxmlformats.org/officeDocument/2006/relationships/hyperlink" Target="https://advance.lexis.com/api/document?collection=statutes-legislation&amp;id=urn:contentItem:8SDD-0C82-8T6X-73J2-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8D3-CH31-K054-G0CH-00000-00&amp;context=1519360&amp;link=LNHNREFclscc9" TargetMode="External" /><Relationship Id="rId21" Type="http://schemas.openxmlformats.org/officeDocument/2006/relationships/hyperlink" Target="https://advance.lexis.com/api/document?collection=cases&amp;id=urn:contentItem:68D3-CH31-K054-G0CH-00000-00&amp;context=1519360&amp;link=LNHNREFclscc10" TargetMode="External" /><Relationship Id="rId22" Type="http://schemas.openxmlformats.org/officeDocument/2006/relationships/hyperlink" Target="https://advance.lexis.com/api/document?collection=cases&amp;id=urn:contentItem:68D3-CH31-K054-G0CH-00000-00&amp;context=1519360&amp;link=LNHNREFclscc11" TargetMode="External" /><Relationship Id="rId23" Type="http://schemas.openxmlformats.org/officeDocument/2006/relationships/hyperlink" Target="https://advance.lexis.com/api/document?collection=cases&amp;id=urn:contentItem:68D3-CH31-K054-G0CH-00000-00&amp;context=1519360&amp;link=clscc1" TargetMode="External" /><Relationship Id="rId24" Type="http://schemas.openxmlformats.org/officeDocument/2006/relationships/image" Target="media/image3.png" /><Relationship Id="rId25" Type="http://schemas.openxmlformats.org/officeDocument/2006/relationships/hyperlink" Target="https://advance.lexis.com/api/document?collection=statutes-legislation&amp;id=urn:contentItem:8S6M-T0S2-D6RV-H4B1-00000-00&amp;context=1519360" TargetMode="External" /><Relationship Id="rId26" Type="http://schemas.openxmlformats.org/officeDocument/2006/relationships/hyperlink" Target="https://advance.lexis.com/api/document?collection=cases&amp;id=urn:contentItem:68D3-CH31-K054-G0CH-00000-00&amp;context=1519360&amp;link=clscc2" TargetMode="External" /><Relationship Id="rId27" Type="http://schemas.openxmlformats.org/officeDocument/2006/relationships/hyperlink" Target="https://advance.lexis.com/api/document?collection=cases&amp;id=urn:contentItem:68D3-CH31-K054-G0CH-00000-00&amp;context=1519360&amp;link=clscc3" TargetMode="External" /><Relationship Id="rId28" Type="http://schemas.openxmlformats.org/officeDocument/2006/relationships/hyperlink" Target="https://advance.lexis.com/api/document?collection=cases&amp;id=urn:contentItem:641P-90V1-FD4T-B4XV-00000-00&amp;context=1519360" TargetMode="External" /><Relationship Id="rId29" Type="http://schemas.openxmlformats.org/officeDocument/2006/relationships/hyperlink" Target="https://advance.lexis.com/api/document?collection=cases&amp;id=urn:contentItem:624C-K3N1-JCJ5-2145-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8D3-CH31-K054-G0CH-00000-00&amp;context=1519360&amp;link=clscc4" TargetMode="External" /><Relationship Id="rId31" Type="http://schemas.openxmlformats.org/officeDocument/2006/relationships/hyperlink" Target="https://advance.lexis.com/api/document?collection=statutes-legislation&amp;id=urn:contentItem:69KS-8XG3-RRMY-D05D-00000-00&amp;context=1519360" TargetMode="External" /><Relationship Id="rId32" Type="http://schemas.openxmlformats.org/officeDocument/2006/relationships/hyperlink" Target="https://advance.lexis.com/api/document?collection=cases&amp;id=urn:contentItem:68D3-CH31-K054-G0CH-00000-00&amp;context=1519360&amp;link=clscc5" TargetMode="External" /><Relationship Id="rId33" Type="http://schemas.openxmlformats.org/officeDocument/2006/relationships/hyperlink" Target="https://advance.lexis.com/api/document?collection=cases&amp;id=urn:contentItem:3RYC-0150-003B-R1M8-00000-00&amp;context=1519360" TargetMode="External" /><Relationship Id="rId34" Type="http://schemas.openxmlformats.org/officeDocument/2006/relationships/hyperlink" Target="https://advance.lexis.com/api/document?collection=cases&amp;id=urn:contentItem:68D3-CH31-K054-G0CH-00000-00&amp;context=1519360&amp;link=clscc6" TargetMode="External" /><Relationship Id="rId35" Type="http://schemas.openxmlformats.org/officeDocument/2006/relationships/hyperlink" Target="https://advance.lexis.com/api/document?collection=cases&amp;id=urn:contentItem:49TY-GRD0-0038-X4PV-00000-00&amp;context=1519360" TargetMode="External" /><Relationship Id="rId36" Type="http://schemas.openxmlformats.org/officeDocument/2006/relationships/hyperlink" Target="https://advance.lexis.com/api/document?collection=cases&amp;id=urn:contentItem:42T4-D960-0038-X42P-00000-00&amp;context=1519360" TargetMode="External" /><Relationship Id="rId37" Type="http://schemas.openxmlformats.org/officeDocument/2006/relationships/hyperlink" Target="https://advance.lexis.com/api/document?collection=cases&amp;id=urn:contentItem:68D3-CH31-K054-G0CH-00000-00&amp;context=1519360&amp;link=clscc7" TargetMode="External" /><Relationship Id="rId38" Type="http://schemas.openxmlformats.org/officeDocument/2006/relationships/hyperlink" Target="https://advance.lexis.com/api/document?collection=cases&amp;id=urn:contentItem:3S4X-2CH0-006F-M1YD-00000-00&amp;context=1519360" TargetMode="External" /><Relationship Id="rId39" Type="http://schemas.openxmlformats.org/officeDocument/2006/relationships/hyperlink" Target="https://advance.lexis.com/api/document?collection=cases&amp;id=urn:contentItem:3S4X-JR30-003B-S2DJ-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68D3-CH31-K054-G0CH-00000-00&amp;context=1519360&amp;link=clscc8" TargetMode="External" /><Relationship Id="rId41" Type="http://schemas.openxmlformats.org/officeDocument/2006/relationships/hyperlink" Target="https://advance.lexis.com/api/document?collection=cases&amp;id=urn:contentItem:60T9-4X71-JWJ0-G3GX-00000-00&amp;context=1519360" TargetMode="External" /><Relationship Id="rId42" Type="http://schemas.openxmlformats.org/officeDocument/2006/relationships/hyperlink" Target="https://advance.lexis.com/api/document?collection=cases&amp;id=urn:contentItem:68D3-CH31-K054-G0CH-00000-00&amp;context=1519360&amp;link=clscc9" TargetMode="External" /><Relationship Id="rId43" Type="http://schemas.openxmlformats.org/officeDocument/2006/relationships/hyperlink" Target="https://advance.lexis.com/api/document?collection=cases&amp;id=urn:contentItem:3RJ6-FCX0-003B-R0MH-00000-00&amp;context=1519360" TargetMode="External" /><Relationship Id="rId44" Type="http://schemas.openxmlformats.org/officeDocument/2006/relationships/hyperlink" Target="https://advance.lexis.com/api/document?collection=cases&amp;id=urn:contentItem:3S4X-5F50-003B-508R-00000-00&amp;context=1519360" TargetMode="External" /><Relationship Id="rId45" Type="http://schemas.openxmlformats.org/officeDocument/2006/relationships/hyperlink" Target="https://advance.lexis.com/api/document?collection=cases&amp;id=urn:contentItem:4JXR-42P0-0038-X0W5-00000-00&amp;context=1519360" TargetMode="External" /><Relationship Id="rId46" Type="http://schemas.openxmlformats.org/officeDocument/2006/relationships/hyperlink" Target="https://advance.lexis.com/api/document?collection=cases&amp;id=urn:contentItem:65C1-1GC1-F5DR-2001-00000-00&amp;context=1519360" TargetMode="External" /><Relationship Id="rId47" Type="http://schemas.openxmlformats.org/officeDocument/2006/relationships/hyperlink" Target="https://advance.lexis.com/api/document?collection=cases&amp;id=urn:contentItem:65B5-4SM1-F1H1-2095-00000-00&amp;context=1519360" TargetMode="External" /><Relationship Id="rId48" Type="http://schemas.openxmlformats.org/officeDocument/2006/relationships/hyperlink" Target="https://advance.lexis.com/api/document?collection=cases&amp;id=urn:contentItem:40G9-2N40-004C-0025-00000-00&amp;context=1519360" TargetMode="External" /><Relationship Id="rId49" Type="http://schemas.openxmlformats.org/officeDocument/2006/relationships/hyperlink" Target="https://advance.lexis.com/api/document?collection=statutes-legislation&amp;id=urn:contentItem:8SGR-CKX2-D6RV-H0R5-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67NC-XYR1-F4NT-X3HC-00000-00&amp;context=1519360" TargetMode="External" /><Relationship Id="rId51" Type="http://schemas.openxmlformats.org/officeDocument/2006/relationships/hyperlink" Target="https://advance.lexis.com/api/document?collection=statutes-legislation&amp;id=urn:contentItem:8TWM-B3H2-8T6X-7295-00000-00&amp;context=1519360" TargetMode="External" /><Relationship Id="rId52" Type="http://schemas.openxmlformats.org/officeDocument/2006/relationships/hyperlink" Target="https://advance.lexis.com/api/document?collection=cases&amp;id=urn:contentItem:4PS1-4N50-TXFX-537N-00000-00&amp;context=1519360" TargetMode="External" /><Relationship Id="rId53" Type="http://schemas.openxmlformats.org/officeDocument/2006/relationships/hyperlink" Target="https://advance.lexis.com/api/document?collection=statutes-legislation&amp;id=urn:contentItem:67TN-3M73-GXF6-837V-00000-00&amp;context=1519360" TargetMode="External" /><Relationship Id="rId54" Type="http://schemas.openxmlformats.org/officeDocument/2006/relationships/hyperlink" Target="https://advance.lexis.com/api/document?collection=statutes-legislation&amp;id=urn:contentItem:6C7N-K8C3-RS1Y-S2RB-00000-00&amp;context=1519360" TargetMode="External" /><Relationship Id="rId55" Type="http://schemas.openxmlformats.org/officeDocument/2006/relationships/hyperlink" Target="https://advance.lexis.com/api/document?collection=statutes-legislation&amp;id=urn:contentItem:8SG9-5032-D6RV-H4Y3-00000-00&amp;context=1519360" TargetMode="External" /><Relationship Id="rId56" Type="http://schemas.openxmlformats.org/officeDocument/2006/relationships/hyperlink" Target="https://advance.lexis.com/api/document?collection=cases&amp;id=urn:contentItem:68D3-CH31-K054-G0CH-00000-00&amp;context=1519360&amp;link=clscc10" TargetMode="External" /><Relationship Id="rId57" Type="http://schemas.openxmlformats.org/officeDocument/2006/relationships/hyperlink" Target="https://advance.lexis.com/api/document?collection=cases&amp;id=urn:contentItem:5WF0-XPS1-JW5H-X1WS-00000-00&amp;context=1519360" TargetMode="External" /><Relationship Id="rId58" Type="http://schemas.openxmlformats.org/officeDocument/2006/relationships/hyperlink" Target="https://advance.lexis.com/api/document?collection=cases&amp;id=urn:contentItem:68D3-CH31-K054-G0CH-00000-00&amp;context=1519360&amp;link=clscc11"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D3-CH31-K054-G0CH-00000-00&amp;context=1519360" TargetMode="External" /><Relationship Id="rId9" Type="http://schemas.openxmlformats.org/officeDocument/2006/relationships/hyperlink" Target="https://advance.lexis.com/api/document?collection=cases&amp;id=urn:contentItem:68D3-CH31-K054-G0CH-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Garcia-Vasquez, 70 F.4th 177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Doc::urn:hlct:5|contextualFeaturePermID::1519360</vt:lpwstr>
  </property>
  <property fmtid="{D5CDD505-2E9C-101B-9397-08002B2CF9AE}" pid="5" name="UserPermID">
    <vt:lpwstr>urn:user:PA186186280</vt:lpwstr>
  </property>
</Properties>
</file>