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J.M.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Fourth Appellate District, Division One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D081062</w:t>
      </w:r>
    </w:p>
    <w:p>
      <w:pPr>
        <w:keepNext w:val="0"/>
        <w:spacing w:after="0" w:line="240" w:lineRule="atLeast"/>
        <w:ind w:right="0"/>
        <w:jc w:val="both"/>
      </w:pPr>
      <w:bookmarkStart w:id="0" w:name="Bookmark_4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1879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2706754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 re J.M., A Person Coming Under the Juvenile Court Law.SAN DIEGO COUNTY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AGENCY, Plaintiff and Respondent, v. K.D.,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an order of the Superior Court of San Diego County, No. J520057, Marissa A. Bejarano, Judge.</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 in part, conditionally reversed in part, and remanded with directions.</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visitation, juvenile court, maternal, fentanyl, maternal grandmother, sobriety, supervised, attendance, relapse, change of circumstances, maternal grandparent, best interest, grandmother's, substance abuse, probation, meetings, juvenile, drug treatment program, progress, drugs, drug test, completion, no-contact, in-person, inpatient, exposure, paternal, uncle, test positive, court order</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Emily Uhre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Claudia G. Silva, County Counsel, Lisa M. Maldonado, Chief Deputy County Counsel, and Eliza Molk, Deputy County Counsel for Plaintiff and Respondent.</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DO, J.; IRION, Acting P. J., BUCHANAN, J. concurred.</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 J.</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K.D. (Mother) appeals from the juvenile court's order denying her petition to modify the court's prior no-contact order to allow her supervised visitation with her infant son, J.M. (</w:t>
      </w:r>
      <w:r>
        <w:rPr>
          <w:rFonts w:ascii="arial" w:eastAsia="arial" w:hAnsi="arial" w:cs="arial"/>
          <w:b w:val="0"/>
          <w:i/>
          <w:strike w:val="0"/>
          <w:noProof w:val="0"/>
          <w:color w:val="000000"/>
          <w:position w:val="0"/>
          <w:sz w:val="20"/>
          <w:u w:val="none"/>
          <w:vertAlign w:val="baseline"/>
        </w:rPr>
        <w:t>Welf. &amp; Inst. Code,</w:t>
      </w:r>
      <w:r>
        <w:rPr>
          <w:rFonts w:ascii="arial" w:eastAsia="arial" w:hAnsi="arial" w:cs="arial"/>
          <w:vertAlign w:val="superscript"/>
        </w:rPr>
        <w:footnoteReference w:customMarkFollows="1" w:id="2"/>
        <w:t xml:space="preserve">1</w:t>
      </w:r>
      <w:r>
        <w:rPr>
          <w:rFonts w:ascii="arial" w:eastAsia="arial" w:hAnsi="arial" w:cs="arial"/>
          <w:b w:val="0"/>
          <w:i/>
          <w:strike w:val="0"/>
          <w:noProof w:val="0"/>
          <w:color w:val="000000"/>
          <w:position w:val="0"/>
          <w:sz w:val="20"/>
          <w:u w:val="none"/>
          <w:vertAlign w:val="baseline"/>
        </w:rPr>
        <w:t xml:space="preserve"> § 388</w:t>
      </w:r>
      <w:r>
        <w:rPr>
          <w:rFonts w:ascii="arial" w:eastAsia="arial" w:hAnsi="arial" w:cs="arial"/>
          <w:b w:val="0"/>
          <w:i w:val="0"/>
          <w:strike w:val="0"/>
          <w:noProof w:val="0"/>
          <w:color w:val="000000"/>
          <w:position w:val="0"/>
          <w:sz w:val="20"/>
          <w:u w:val="none"/>
          <w:vertAlign w:val="baseline"/>
        </w:rPr>
        <w:t xml:space="preserve">.) She contends the juvenile court abused its discretion in failing to find that she established the requisite changed circumstances due to her new sobriety and that supervised, </w:t>
      </w:r>
      <w:r>
        <w:rPr>
          <w:rFonts w:ascii="arial" w:eastAsia="arial" w:hAnsi="arial" w:cs="arial"/>
          <w:b w:val="0"/>
          <w:i/>
          <w:strike w:val="0"/>
          <w:noProof w:val="0"/>
          <w:color w:val="000000"/>
          <w:position w:val="0"/>
          <w:sz w:val="20"/>
          <w:u w:val="none"/>
          <w:vertAlign w:val="baseline"/>
        </w:rPr>
        <w:t>virtual</w:t>
      </w:r>
      <w:r>
        <w:rPr>
          <w:rFonts w:ascii="arial" w:eastAsia="arial" w:hAnsi="arial" w:cs="arial"/>
          <w:b w:val="0"/>
          <w:i w:val="0"/>
          <w:strike w:val="0"/>
          <w:noProof w:val="0"/>
          <w:color w:val="000000"/>
          <w:position w:val="0"/>
          <w:sz w:val="20"/>
          <w:u w:val="none"/>
          <w:vertAlign w:val="baseline"/>
        </w:rPr>
        <w:t xml:space="preserve"> visitation was in J.M.'s best interests. We conclude Mother forfeited this asserted error by failing to request virtual, rather than in-person, visitation. But even considering the merits of her claim, we see no abuse of discretion. The juvenile court acknowledged Mother's progress in addressing her substance abuse but found that when considering her more than 17-year substance abuse history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pattern of relapses, among other factors, Mother failed to establish changed circumstances and regardless, she did not show visitation with J.M. was in his best interests. We affirm on this ground.</w:t>
      </w:r>
    </w:p>
    <w:p>
      <w:pPr>
        <w:keepNext w:val="0"/>
        <w:spacing w:before="24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Mother also claims ICWA error. She contends the San Diego County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Agency (the Agency) and juvenile court failed to satisfy their initial inquiry duties under the </w:t>
      </w:r>
      <w:hyperlink r:id="rId11" w:history="1">
        <w:r>
          <w:rPr>
            <w:rFonts w:ascii="arial" w:eastAsia="arial" w:hAnsi="arial" w:cs="arial"/>
            <w:b w:val="0"/>
            <w:i/>
            <w:strike w:val="0"/>
            <w:noProof w:val="0"/>
            <w:color w:val="0077CC"/>
            <w:position w:val="0"/>
            <w:sz w:val="20"/>
            <w:u w:val="single"/>
            <w:vertAlign w:val="baseline"/>
          </w:rPr>
          <w:t>Indian Child Welfare Act (25 U.S.C. § 1901 et seq.) (ICWA)</w:t>
        </w:r>
      </w:hyperlink>
      <w:r>
        <w:rPr>
          <w:rFonts w:ascii="arial" w:eastAsia="arial" w:hAnsi="arial" w:cs="arial"/>
          <w:b w:val="0"/>
          <w:i w:val="0"/>
          <w:strike w:val="0"/>
          <w:noProof w:val="0"/>
          <w:color w:val="000000"/>
          <w:position w:val="0"/>
          <w:sz w:val="20"/>
          <w:u w:val="none"/>
          <w:vertAlign w:val="baseline"/>
        </w:rPr>
        <w:t xml:space="preserve"> and section 224.2, subdivisions (b) and (c), and thus there is not substantial evidence to support the court's finding that ICWA did not apply. The Agency concedes the error and that a conditional reversal with limited remand is appropriate. We agree and accept the concession, conditionally reverse the order denying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and remand for the limited purpose of requiring the Agency and juvenile court to comply with ICWA and section 224.2.</w:t>
      </w:r>
      <w:r>
        <w:rPr>
          <w:rFonts w:ascii="arial" w:eastAsia="arial" w:hAnsi="arial" w:cs="arial"/>
          <w:vertAlign w:val="superscript"/>
        </w:rPr>
        <w:footnoteReference w:customMarkFollows="1" w:id="3"/>
        <w:t xml:space="preserve">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FACTUAL AND PROCEDURAL BACKGROUND</w:t>
      </w:r>
      <w:r>
        <w:rPr>
          <w:rFonts w:ascii="arial" w:eastAsia="arial" w:hAnsi="arial" w:cs="arial"/>
          <w:vertAlign w:val="superscript"/>
        </w:rPr>
        <w:footnoteReference w:customMarkFollows="1" w:id="4"/>
        <w:t xml:space="preserve">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Initial Dependency Proceedings</w:t>
      </w:r>
    </w:p>
    <w:p>
      <w:pPr>
        <w:keepNext w:val="0"/>
        <w:spacing w:before="200" w:after="0" w:line="260" w:lineRule="atLeast"/>
        <w:ind w:left="0" w:right="0" w:firstLine="0"/>
        <w:jc w:val="both"/>
      </w:pPr>
      <w:bookmarkStart w:id="23" w:name="Bookmark_para_5"/>
      <w:bookmarkEnd w:id="23"/>
      <w:r>
        <w:rPr>
          <w:rFonts w:ascii="arial" w:eastAsia="arial" w:hAnsi="arial" w:cs="arial"/>
          <w:b w:val="0"/>
          <w:i w:val="0"/>
          <w:strike w:val="0"/>
          <w:noProof w:val="0"/>
          <w:color w:val="000000"/>
          <w:position w:val="0"/>
          <w:sz w:val="20"/>
          <w:u w:val="none"/>
          <w:vertAlign w:val="baseline"/>
        </w:rPr>
        <w:t>In June 2019, Mother gave birth to J.M., who tested positive for opiates and needed morphine to treat his withdrawal symptoms. The Agency interviewed Mother on several occasions. She told the Agency that she began using heroin in 2015, used for six months, completed a drug program, and then was clean for three years before relapsing in 2018.</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She was arrested shortly after her relapse in 2018, got sober, and was released. She and Father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discovered she was pregnant with J.M. in September 2018. Mother stated she was sober for most of her pregnancy. She was attending Narcotics Anonymous (NA) meetings once a week but was not otherwise participating in a substance abuse program. In mid-May 2019, she ran out of her bipolar medication and began using heroin every day for the two weeks before J.M.'s birth, which she described as a lapse in judgment.</w:t>
      </w:r>
    </w:p>
    <w:p>
      <w:pPr>
        <w:keepNext w:val="0"/>
        <w:spacing w:before="200" w:after="0" w:line="260" w:lineRule="atLeast"/>
        <w:ind w:left="0" w:right="0" w:firstLine="0"/>
        <w:jc w:val="both"/>
      </w:pPr>
      <w:bookmarkStart w:id="25" w:name="Bookmark_para_6"/>
      <w:bookmarkEnd w:id="25"/>
      <w:r>
        <w:rPr>
          <w:rFonts w:ascii="arial" w:eastAsia="arial" w:hAnsi="arial" w:cs="arial"/>
          <w:b w:val="0"/>
          <w:i w:val="0"/>
          <w:strike w:val="0"/>
          <w:noProof w:val="0"/>
          <w:color w:val="000000"/>
          <w:position w:val="0"/>
          <w:sz w:val="20"/>
          <w:u w:val="none"/>
          <w:vertAlign w:val="baseline"/>
        </w:rPr>
        <w:t>Mother's May 31, 2019 drug test was positive for opiates, and her June 6, 2019 test was positive for amphetamine, methamphetamine, codeine, morphine, and a heroin metabolite. Mother told the Agency she was not addicted to heroin and could stop using as she had done in the past.</w:t>
      </w:r>
    </w:p>
    <w:p>
      <w:pPr>
        <w:keepNext w:val="0"/>
        <w:spacing w:before="200" w:after="0" w:line="260" w:lineRule="atLeast"/>
        <w:ind w:left="0" w:right="0" w:firstLine="0"/>
        <w:jc w:val="both"/>
      </w:pPr>
      <w:bookmarkStart w:id="26" w:name="Bookmark_para_7"/>
      <w:bookmarkEnd w:id="26"/>
      <w:r>
        <w:rPr>
          <w:rFonts w:ascii="arial" w:eastAsia="arial" w:hAnsi="arial" w:cs="arial"/>
          <w:b w:val="0"/>
          <w:i w:val="0"/>
          <w:strike w:val="0"/>
          <w:noProof w:val="0"/>
          <w:color w:val="000000"/>
          <w:position w:val="0"/>
          <w:sz w:val="20"/>
          <w:u w:val="none"/>
          <w:vertAlign w:val="baseline"/>
        </w:rPr>
        <w:t>The Agency interviewed maternal grandmother, who claimed Mother did "not have a problem with drugs" but merely had a relapse, and that J.M. was perfectly healthy. Maternal grandmother knew about Mother's drug use but said Mother had participated in drug treatment programs, and maternal grandmother had not known Mother was using in the two weeks before J.M.'s birth. She reprimanded the Agency for asking Mother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drug test and causing her stress after giving birth. She agreed to supervise Mother around J.M. and ensure that Mother would not care for J.M. while under the influence of any substance.</w:t>
      </w:r>
    </w:p>
    <w:p>
      <w:pPr>
        <w:keepNext w:val="0"/>
        <w:spacing w:before="200" w:after="0" w:line="260" w:lineRule="atLeast"/>
        <w:ind w:left="0" w:right="0" w:firstLine="0"/>
        <w:jc w:val="both"/>
      </w:pPr>
      <w:bookmarkStart w:id="27" w:name="Bookmark_para_8"/>
      <w:bookmarkEnd w:id="27"/>
      <w:r>
        <w:rPr>
          <w:rFonts w:ascii="arial" w:eastAsia="arial" w:hAnsi="arial" w:cs="arial"/>
          <w:b w:val="0"/>
          <w:i w:val="0"/>
          <w:strike w:val="0"/>
          <w:noProof w:val="0"/>
          <w:color w:val="000000"/>
          <w:position w:val="0"/>
          <w:sz w:val="20"/>
          <w:u w:val="none"/>
          <w:vertAlign w:val="baseline"/>
        </w:rPr>
        <w:t>On June 11, 2019, the Agency filed a dependency petition on J.M.'s behalf, pursuant to section 300, subdivision (b). At the detention hearing, the juvenile court found the Agency made a prima facie showing on the petition, detained J.M. in out-of-home care, and ordered voluntary services and supervised visits for the parents.</w:t>
      </w:r>
    </w:p>
    <w:p>
      <w:pPr>
        <w:keepNext w:val="0"/>
        <w:spacing w:before="200" w:after="0" w:line="260" w:lineRule="atLeast"/>
        <w:ind w:left="0" w:right="0" w:firstLine="0"/>
        <w:jc w:val="both"/>
      </w:pPr>
      <w:bookmarkStart w:id="28" w:name="Bookmark_para_9"/>
      <w:bookmarkEnd w:id="28"/>
      <w:r>
        <w:rPr>
          <w:rFonts w:ascii="arial" w:eastAsia="arial" w:hAnsi="arial" w:cs="arial"/>
          <w:b w:val="0"/>
          <w:i w:val="0"/>
          <w:strike w:val="0"/>
          <w:noProof w:val="0"/>
          <w:color w:val="000000"/>
          <w:position w:val="0"/>
          <w:sz w:val="20"/>
          <w:u w:val="none"/>
          <w:vertAlign w:val="baseline"/>
        </w:rPr>
        <w:t>A few days later, Mother again tested positive for methamphetamines, amphetamines, opiates, and heroin metabolite. The Agency interviewed maternal grandmother and explained its concerns about her protectiveness of Mother to the detriment of J.M. The Agency further explained that if Mother were allowed unsupervised contact with J.M., he could potentially ingest drugs or harm himself with drug paraphernalia that Mother might leave in his reach. Maternal grandmother said she would follow the rules because she wanted to protect J.M. and keep him safe.</w:t>
      </w:r>
    </w:p>
    <w:p>
      <w:pPr>
        <w:keepNext w:val="0"/>
        <w:spacing w:before="200" w:after="0" w:line="260" w:lineRule="atLeast"/>
        <w:ind w:left="0" w:right="0" w:firstLine="0"/>
        <w:jc w:val="both"/>
      </w:pPr>
      <w:bookmarkStart w:id="29" w:name="Bookmark_para_10"/>
      <w:bookmarkEnd w:id="29"/>
      <w:r>
        <w:rPr>
          <w:rFonts w:ascii="arial" w:eastAsia="arial" w:hAnsi="arial" w:cs="arial"/>
          <w:b w:val="0"/>
          <w:i w:val="0"/>
          <w:strike w:val="0"/>
          <w:noProof w:val="0"/>
          <w:color w:val="000000"/>
          <w:position w:val="0"/>
          <w:sz w:val="20"/>
          <w:u w:val="none"/>
          <w:vertAlign w:val="baseline"/>
        </w:rPr>
        <w:t>In mid-June 2019, Mother began a twice-weekly visitation schedule with J.M., supervised by J.M.'s foster parent. The Agency reported Mother was able to soothe, feed,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diaper J.M. during visits.</w:t>
      </w:r>
    </w:p>
    <w:p>
      <w:pPr>
        <w:keepNext w:val="0"/>
        <w:spacing w:before="200" w:after="0" w:line="260" w:lineRule="atLeast"/>
        <w:ind w:left="0" w:right="0" w:firstLine="0"/>
        <w:jc w:val="both"/>
      </w:pPr>
      <w:bookmarkStart w:id="30" w:name="Bookmark_para_11"/>
      <w:bookmarkEnd w:id="30"/>
      <w:r>
        <w:rPr>
          <w:rFonts w:ascii="arial" w:eastAsia="arial" w:hAnsi="arial" w:cs="arial"/>
          <w:b w:val="0"/>
          <w:i w:val="0"/>
          <w:strike w:val="0"/>
          <w:noProof w:val="0"/>
          <w:color w:val="000000"/>
          <w:position w:val="0"/>
          <w:sz w:val="20"/>
          <w:u w:val="none"/>
          <w:vertAlign w:val="baseline"/>
        </w:rPr>
        <w:t>At the July 2019 contested jurisdiction and disposition hearing, Mother set the matter for trial on the issue of removal and submitted an attendance sheet showing her NA meeting attendance from June 22, 2019 through July 6, 2019. The Agency's addendum report indicated that Mother enrolled in an outpatient drug treatment program around July 1, 2019, when she had tested positive for drugs, and she was scheduled for six group meetings per week with the program. As of August 16, 2019, she had attended only three group meetings and had missed Agency-requested drug tests on both August 8 and August 16, 2019.</w:t>
      </w:r>
    </w:p>
    <w:p>
      <w:pPr>
        <w:keepNext w:val="0"/>
        <w:spacing w:before="200" w:after="0" w:line="260" w:lineRule="atLeast"/>
        <w:ind w:left="0" w:right="0" w:firstLine="0"/>
        <w:jc w:val="both"/>
      </w:pPr>
      <w:bookmarkStart w:id="31" w:name="Bookmark_para_12"/>
      <w:bookmarkEnd w:id="31"/>
      <w:r>
        <w:rPr>
          <w:rFonts w:ascii="arial" w:eastAsia="arial" w:hAnsi="arial" w:cs="arial"/>
          <w:b w:val="0"/>
          <w:i w:val="0"/>
          <w:strike w:val="0"/>
          <w:noProof w:val="0"/>
          <w:color w:val="000000"/>
          <w:position w:val="0"/>
          <w:sz w:val="20"/>
          <w:u w:val="none"/>
          <w:vertAlign w:val="baseline"/>
        </w:rPr>
        <w:t>In August 2019, J.M. was detained with maternal grandmother and maternal step-grandfather (maternal grandparents).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Mother initially visited with J.M. twice per week, but after J.M.'s detention with maternal grandparents, Mother was able to visit two additional days per week. She behaved appropriately during her visits, including feeding, playing with, and changing J.M. Mother filed another NA attendance sheet showing her continued attendance through August 23, 2019.</w:t>
      </w:r>
    </w:p>
    <w:p>
      <w:pPr>
        <w:keepNext w:val="0"/>
        <w:spacing w:before="200" w:after="0" w:line="260" w:lineRule="atLeast"/>
        <w:ind w:left="0" w:right="0" w:firstLine="0"/>
        <w:jc w:val="both"/>
      </w:pPr>
      <w:bookmarkStart w:id="33" w:name="Bookmark_para_13"/>
      <w:bookmarkEnd w:id="33"/>
      <w:r>
        <w:rPr>
          <w:rFonts w:ascii="arial" w:eastAsia="arial" w:hAnsi="arial" w:cs="arial"/>
          <w:b w:val="0"/>
          <w:i w:val="0"/>
          <w:strike w:val="0"/>
          <w:noProof w:val="0"/>
          <w:color w:val="000000"/>
          <w:position w:val="0"/>
          <w:sz w:val="20"/>
          <w:u w:val="none"/>
          <w:vertAlign w:val="baseline"/>
        </w:rPr>
        <w:t>At the September 2019 continued jurisdiction and disposition hearing, the juvenile court found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J.M.'s petition true, removed him from parental care and placed him in maternal grandmother's care, and ordered reunification services and supervised visits for Mother and Father.</w:t>
      </w:r>
    </w:p>
    <w:p>
      <w:pPr>
        <w:keepNext w:val="0"/>
        <w:spacing w:before="200" w:after="0" w:line="260" w:lineRule="atLeast"/>
        <w:ind w:left="0" w:right="0" w:firstLine="0"/>
        <w:jc w:val="both"/>
      </w:pPr>
      <w:bookmarkStart w:id="34" w:name="Bookmark_para_14"/>
      <w:bookmarkEnd w:id="34"/>
      <w:r>
        <w:rPr>
          <w:rFonts w:ascii="arial" w:eastAsia="arial" w:hAnsi="arial" w:cs="arial"/>
          <w:b w:val="0"/>
          <w:i w:val="0"/>
          <w:strike w:val="0"/>
          <w:noProof w:val="0"/>
          <w:color w:val="000000"/>
          <w:position w:val="0"/>
          <w:sz w:val="20"/>
          <w:u w:val="none"/>
          <w:vertAlign w:val="baseline"/>
        </w:rPr>
        <w:t>At the March 2020 six-month review hearing, the Agency recommended the juvenile court terminate reunification services for both parents, continue their supervised visitation, and permit J.M. to remain in maternal grandmother's home. Mother had been difficult to reach and had met with the Agency only twice during the reporting period. She had also missed drug tests in October, November, and December 2019 and February 2020. She tested positive for methamphetamine on January 31, 2020, but denied using substances and claimed her urine sample had been altered. Her substance abuse services were also terminated because of her numerous unexcused absences. Despite Mother's claim that she began the substance abuse program again in February 2020 and provided the name of her counselor, the Agency was unable to verify her participation and was told by the program that no one by the purported counselor's name worked there. Mother's therapy services were also discontinued due to her poor attendance; she attended only four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sessions and missed 12. In terms of progress, Mother completed a parenting class in February 2020 and was attentive and committed, and she also attended several visitation coaching sessions.</w:t>
      </w:r>
    </w:p>
    <w:p>
      <w:pPr>
        <w:keepNext w:val="0"/>
        <w:spacing w:before="200" w:after="0" w:line="260" w:lineRule="atLeast"/>
        <w:ind w:left="0" w:right="0" w:firstLine="0"/>
        <w:jc w:val="both"/>
      </w:pPr>
      <w:bookmarkStart w:id="35" w:name="Bookmark_para_15"/>
      <w:bookmarkEnd w:id="35"/>
      <w:r>
        <w:rPr>
          <w:rFonts w:ascii="arial" w:eastAsia="arial" w:hAnsi="arial" w:cs="arial"/>
          <w:b w:val="0"/>
          <w:i w:val="0"/>
          <w:strike w:val="0"/>
          <w:noProof w:val="0"/>
          <w:color w:val="000000"/>
          <w:position w:val="0"/>
          <w:sz w:val="20"/>
          <w:u w:val="none"/>
          <w:vertAlign w:val="baseline"/>
        </w:rPr>
        <w:t>By April 2020, the Agency changed its recommendation of terminating Mother's services to extending them to the 12-month hearing. Mother had been visiting J.M. almost daily in maternal grandmother's home, and the visits were going well. Mother had also made "some progress" with services, but her participation was impacted by the COVID-19 pandemic. The Agency had clarified with Mother that she needed to participate in virtual NA meetings and work on identifying a sponsor.</w:t>
      </w:r>
    </w:p>
    <w:p>
      <w:pPr>
        <w:keepNext w:val="0"/>
        <w:spacing w:before="200" w:after="0" w:line="260" w:lineRule="atLeast"/>
        <w:ind w:left="0" w:right="0" w:firstLine="0"/>
        <w:jc w:val="both"/>
      </w:pPr>
      <w:bookmarkStart w:id="36" w:name="Bookmark_para_16"/>
      <w:bookmarkEnd w:id="36"/>
      <w:r>
        <w:rPr>
          <w:rFonts w:ascii="arial" w:eastAsia="arial" w:hAnsi="arial" w:cs="arial"/>
          <w:b w:val="0"/>
          <w:i w:val="0"/>
          <w:strike w:val="0"/>
          <w:noProof w:val="0"/>
          <w:color w:val="000000"/>
          <w:position w:val="0"/>
          <w:sz w:val="20"/>
          <w:u w:val="none"/>
          <w:vertAlign w:val="baseline"/>
        </w:rPr>
        <w:t>By August 2020, the Agency no longer recommended extending Mother's services. Instead it recommended that services be terminated and that a section 366.26 hearing be set. Mother had not reentered a drug treatment program and had missed her two Agency-requested drug tests in July 2020. Mother said she was seeing a psychiatrist and taking prescribed medication, but the Agency was unable to verify her compliance. In addition, Mother had been discharged from therapy for failing to return her therapist's calls.</w:t>
      </w:r>
    </w:p>
    <w:p>
      <w:pPr>
        <w:keepNext w:val="0"/>
        <w:spacing w:before="200" w:after="0" w:line="260" w:lineRule="atLeast"/>
        <w:ind w:left="0" w:right="0" w:firstLine="0"/>
        <w:jc w:val="both"/>
      </w:pPr>
      <w:bookmarkStart w:id="37" w:name="Bookmark_para_17"/>
      <w:bookmarkEnd w:id="37"/>
      <w:r>
        <w:rPr>
          <w:rFonts w:ascii="arial" w:eastAsia="arial" w:hAnsi="arial" w:cs="arial"/>
          <w:b w:val="0"/>
          <w:i w:val="0"/>
          <w:strike w:val="0"/>
          <w:noProof w:val="0"/>
          <w:color w:val="000000"/>
          <w:position w:val="0"/>
          <w:sz w:val="20"/>
          <w:u w:val="none"/>
          <w:vertAlign w:val="baseline"/>
        </w:rPr>
        <w:t>Mother did not appear at the October 2020</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combined six- and 12-month review hearing. The juvenile court attempted to contact Mother but was unable to reach her. The court terminated the parents' reunification services, continued J.M. in maternal grandmother's care, and set a section 366.26 hearing.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Section 387 Petition Proceedings</w:t>
      </w:r>
    </w:p>
    <w:p>
      <w:pPr>
        <w:keepNext w:val="0"/>
        <w:spacing w:before="200" w:after="0" w:line="260" w:lineRule="atLeast"/>
        <w:ind w:left="0" w:right="0" w:firstLine="0"/>
        <w:jc w:val="both"/>
      </w:pPr>
      <w:bookmarkStart w:id="38" w:name="Bookmark_para_18"/>
      <w:bookmarkEnd w:id="38"/>
      <w:r>
        <w:rPr>
          <w:rFonts w:ascii="arial" w:eastAsia="arial" w:hAnsi="arial" w:cs="arial"/>
          <w:b w:val="0"/>
          <w:i w:val="0"/>
          <w:strike w:val="0"/>
          <w:noProof w:val="0"/>
          <w:color w:val="000000"/>
          <w:position w:val="0"/>
          <w:sz w:val="20"/>
          <w:u w:val="none"/>
          <w:vertAlign w:val="baseline"/>
        </w:rPr>
        <w:t>On December 5, 2020, Mother was at maternal grandparents' home for a supervised visit with J.M., who was 18 months old. Mother went upstairs to dress J.M. and was unsupervised with him for about 10 minutes before she came downstairs saying that J.M.'s lips were blue. Maternal grandmother realized J.M. was not breathing and began performing CPR while maternal step-grandfather called 911. Paramedics took J.M. to the hospital by ambulance. Shortly after, officers searched the upstairs bedroom where Mother often stayed and found a plastic baggy with fentanyl residue on the floor near the bed, three grams of fentanyl in Mother's purse, and drug paraphernalia. Mother admitted to having one gram of fentanyl in her possession.</w:t>
      </w:r>
    </w:p>
    <w:p>
      <w:pPr>
        <w:keepNext w:val="0"/>
        <w:spacing w:before="200" w:after="0" w:line="260" w:lineRule="atLeast"/>
        <w:ind w:left="0" w:right="0" w:firstLine="0"/>
        <w:jc w:val="both"/>
      </w:pPr>
      <w:bookmarkStart w:id="39" w:name="Bookmark_para_19"/>
      <w:bookmarkEnd w:id="39"/>
      <w:r>
        <w:rPr>
          <w:rFonts w:ascii="arial" w:eastAsia="arial" w:hAnsi="arial" w:cs="arial"/>
          <w:b w:val="0"/>
          <w:i w:val="0"/>
          <w:strike w:val="0"/>
          <w:noProof w:val="0"/>
          <w:color w:val="000000"/>
          <w:position w:val="0"/>
          <w:sz w:val="20"/>
          <w:u w:val="none"/>
          <w:vertAlign w:val="baseline"/>
        </w:rPr>
        <w:t>Officers immediately contacted the paramedics, who were on their way to the hospital with J.M., to inform them that J.M. may have ingested drugs. Paramedics administered Narcan,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and J.M.'s condition immediately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began to improve. One officer opined that had Mother not waited to disclose the potential drug exposure, J.M. could have been revived sooner, and had he not received Narcan from the paramedics, he likely would have died.</w:t>
      </w:r>
    </w:p>
    <w:p>
      <w:pPr>
        <w:keepNext w:val="0"/>
        <w:spacing w:before="200" w:after="0" w:line="260" w:lineRule="atLeast"/>
        <w:ind w:left="0" w:right="0" w:firstLine="0"/>
        <w:jc w:val="both"/>
      </w:pPr>
      <w:bookmarkStart w:id="41" w:name="Bookmark_para_20"/>
      <w:bookmarkEnd w:id="41"/>
      <w:r>
        <w:rPr>
          <w:rFonts w:ascii="arial" w:eastAsia="arial" w:hAnsi="arial" w:cs="arial"/>
          <w:b w:val="0"/>
          <w:i w:val="0"/>
          <w:strike w:val="0"/>
          <w:noProof w:val="0"/>
          <w:color w:val="000000"/>
          <w:position w:val="0"/>
          <w:sz w:val="20"/>
          <w:u w:val="none"/>
          <w:vertAlign w:val="baseline"/>
        </w:rPr>
        <w:t>At the hospital, J.M. tested positive for fentanyl. He was released the following day to his prior foster parents, rather than to maternal grandmother, and J.M.'s physicians recommended that he have a follow-up electrocardiogram (EKG) within three months. Mother was arrested for felony child endangerment.</w:t>
      </w:r>
    </w:p>
    <w:p>
      <w:pPr>
        <w:keepNext w:val="0"/>
        <w:spacing w:before="200" w:after="0" w:line="260" w:lineRule="atLeast"/>
        <w:ind w:left="0" w:right="0" w:firstLine="0"/>
        <w:jc w:val="both"/>
      </w:pPr>
      <w:bookmarkStart w:id="42" w:name="Bookmark_para_21"/>
      <w:bookmarkEnd w:id="42"/>
      <w:r>
        <w:rPr>
          <w:rFonts w:ascii="arial" w:eastAsia="arial" w:hAnsi="arial" w:cs="arial"/>
          <w:b w:val="0"/>
          <w:i w:val="0"/>
          <w:strike w:val="0"/>
          <w:noProof w:val="0"/>
          <w:color w:val="000000"/>
          <w:position w:val="0"/>
          <w:sz w:val="20"/>
          <w:u w:val="none"/>
          <w:vertAlign w:val="baseline"/>
        </w:rPr>
        <w:t>The Agency filed a section 387 petition alleging that maternal grandparents failed to provide adequate care and supervision for J.M. At the December 2020 detention hearing on the section 387 petition, the Agency expressed concern that there had been additional unsupervised visits between Mother and J.M.—which it was investigating—and stated that maternal grandmother's home was no longer approved for placement. The court ordered J.M. to remain with maternal grandparents on an extended visit under the condition that Mother not visit their home.</w:t>
      </w:r>
    </w:p>
    <w:p>
      <w:pPr>
        <w:keepNext w:val="0"/>
        <w:spacing w:before="200" w:after="0" w:line="260" w:lineRule="atLeast"/>
        <w:ind w:left="0" w:right="0" w:firstLine="0"/>
        <w:jc w:val="both"/>
      </w:pPr>
      <w:bookmarkStart w:id="43" w:name="Bookmark_para_22"/>
      <w:bookmarkEnd w:id="43"/>
      <w:r>
        <w:rPr>
          <w:rFonts w:ascii="arial" w:eastAsia="arial" w:hAnsi="arial" w:cs="arial"/>
          <w:b w:val="0"/>
          <w:i w:val="0"/>
          <w:strike w:val="0"/>
          <w:noProof w:val="0"/>
          <w:color w:val="000000"/>
          <w:position w:val="0"/>
          <w:sz w:val="20"/>
          <w:u w:val="none"/>
          <w:vertAlign w:val="baseline"/>
        </w:rPr>
        <w:t>The Agency later filed an addendum report indicating that its investigation revealed maternal grandparents had allowed numerous unsupervised visits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between Mother and J.M., that Mother was often left in charge of caring for J.M., and that Mother frequently spent the night at maternal grandparents' home. At the January 2021 jurisdiction and disposition hearing for the section 387 petition, the court made a prima facie finding that the section 387 petition allegations were true and continued J.M.'s extended visit with maternal grandparents.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The Agency's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strike w:val="0"/>
          <w:noProof w:val="0"/>
          <w:color w:val="000000"/>
          <w:position w:val="0"/>
          <w:sz w:val="20"/>
          <w:u w:val="none"/>
          <w:vertAlign w:val="baseline"/>
        </w:rPr>
        <w:t xml:space="preserve"> Petition and the No-Contact Order</w:t>
      </w:r>
    </w:p>
    <w:p>
      <w:pPr>
        <w:keepNext w:val="0"/>
        <w:spacing w:before="200" w:after="0" w:line="260" w:lineRule="atLeast"/>
        <w:ind w:left="0" w:right="0" w:firstLine="0"/>
        <w:jc w:val="both"/>
      </w:pPr>
      <w:bookmarkStart w:id="44" w:name="Bookmark_para_23"/>
      <w:bookmarkEnd w:id="44"/>
      <w:r>
        <w:rPr>
          <w:rFonts w:ascii="arial" w:eastAsia="arial" w:hAnsi="arial" w:cs="arial"/>
          <w:b w:val="0"/>
          <w:i w:val="0"/>
          <w:strike w:val="0"/>
          <w:noProof w:val="0"/>
          <w:color w:val="000000"/>
          <w:position w:val="0"/>
          <w:sz w:val="20"/>
          <w:u w:val="none"/>
          <w:vertAlign w:val="baseline"/>
        </w:rPr>
        <w:t>As of April 2021, Mother had visited J.M. by video conference once since December 2020 and had not had any in-person contact with J.M. since J.M. ingested fentanyl. On February 25, 2021, Mother texted the social worker asking for video visits with J.M., but she was arrested the same day, for the same felony child endangerment charge.</w:t>
      </w:r>
    </w:p>
    <w:p>
      <w:pPr>
        <w:keepNext w:val="0"/>
        <w:spacing w:before="200" w:after="0" w:line="260" w:lineRule="atLeast"/>
        <w:ind w:left="0" w:right="0" w:firstLine="0"/>
        <w:jc w:val="both"/>
      </w:pPr>
      <w:bookmarkStart w:id="45" w:name="Bookmark_para_24"/>
      <w:bookmarkEnd w:id="45"/>
      <w:r>
        <w:rPr>
          <w:rFonts w:ascii="arial" w:eastAsia="arial" w:hAnsi="arial" w:cs="arial"/>
          <w:b w:val="0"/>
          <w:i w:val="0"/>
          <w:strike w:val="0"/>
          <w:noProof w:val="0"/>
          <w:color w:val="000000"/>
          <w:position w:val="0"/>
          <w:sz w:val="20"/>
          <w:u w:val="none"/>
          <w:vertAlign w:val="baseline"/>
        </w:rPr>
        <w:t>In March 2021, J.M. had a follow-up EKG and was diagnosed with cardiac arrest stemming from his fentanyl exposure in December 2020. During this time, J.M. remained at maternal grandparents' home and had regular video visits with relatives who were being considered for placement, including maternal uncle and aunt-in-law, paternal grandmother, and J.M.'s foster parents. Maternal grandmother reported joining a support group for individuals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whose family members abused drugs and that she also read books on the topic. Although she reported having filed a restraining order against Mother, which was denied, the Agency found this action disingenuous when considering maternal grandmother's ongoing contact with Mother.(2 CT 476)! The Agency remained concerned about maternal grandmother's ability to maintain boundaries with Mother necessary to protect J.M.</w:t>
      </w:r>
    </w:p>
    <w:p>
      <w:pPr>
        <w:keepNext w:val="0"/>
        <w:spacing w:before="200" w:after="0" w:line="260" w:lineRule="atLeast"/>
        <w:ind w:left="0" w:right="0" w:firstLine="0"/>
        <w:jc w:val="both"/>
      </w:pPr>
      <w:bookmarkStart w:id="46" w:name="Bookmark_para_25"/>
      <w:bookmarkEnd w:id="46"/>
      <w:r>
        <w:rPr>
          <w:rFonts w:ascii="arial" w:eastAsia="arial" w:hAnsi="arial" w:cs="arial"/>
          <w:b w:val="0"/>
          <w:i w:val="0"/>
          <w:strike w:val="0"/>
          <w:noProof w:val="0"/>
          <w:color w:val="000000"/>
          <w:position w:val="0"/>
          <w:sz w:val="20"/>
          <w:u w:val="none"/>
          <w:vertAlign w:val="baseline"/>
        </w:rPr>
        <w:t>In June and July 2021, the Agency reported it had visited J.M. at maternal grandparents' home over the last few months and did not have any concerns about their care of J.M. Mother was still in jail and had not been in contact with the Agency, but she regularly called maternal grandmother and asked about J.M. Maternal grandmother reported that Mother was calling once a week for about thirty minutes and would talk to J.M. On these calls, J.M. would behave "neutral[ly] and ha[d] no emotions." Mother also called J.M. on his birthday to wish him a happy birthday and mailed him a birthday card. Maternal uncle, the foster father, and maternal grandfather expressed concerns about maternal grandmother maintaining boundaries with Mother upon her release from custody and opined that she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did not seem to have learned from the fentanyl incident because she characterized it as an "accident."</w:t>
      </w:r>
    </w:p>
    <w:p>
      <w:pPr>
        <w:keepNext w:val="0"/>
        <w:spacing w:before="200" w:after="0" w:line="260" w:lineRule="atLeast"/>
        <w:ind w:left="0" w:right="0" w:firstLine="0"/>
        <w:jc w:val="both"/>
      </w:pPr>
      <w:bookmarkStart w:id="47" w:name="Bookmark_para_26"/>
      <w:bookmarkEnd w:id="47"/>
      <w:r>
        <w:rPr>
          <w:rFonts w:ascii="arial" w:eastAsia="arial" w:hAnsi="arial" w:cs="arial"/>
          <w:b w:val="0"/>
          <w:i w:val="0"/>
          <w:strike w:val="0"/>
          <w:noProof w:val="0"/>
          <w:color w:val="000000"/>
          <w:position w:val="0"/>
          <w:sz w:val="20"/>
          <w:u w:val="none"/>
          <w:vertAlign w:val="baseline"/>
        </w:rPr>
        <w:t xml:space="preserve">The following month, the Agency filed a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requesting that J.M. be placed with maternal uncle in Florida, citing as changed circumstances that J.M. was exposed to fentanyl while under maternal grandparents' care and that maternal aunt and uncle had recently received approval for placement. The juvenile court found the Agency met its prima facie burden and set the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for trial.</w:t>
      </w:r>
    </w:p>
    <w:p>
      <w:pPr>
        <w:keepNext w:val="0"/>
        <w:spacing w:before="200" w:after="0" w:line="260" w:lineRule="atLeast"/>
        <w:ind w:left="0" w:right="0" w:firstLine="0"/>
        <w:jc w:val="both"/>
      </w:pPr>
      <w:bookmarkStart w:id="48" w:name="Bookmark_para_27"/>
      <w:bookmarkEnd w:id="48"/>
      <w:r>
        <w:rPr>
          <w:rFonts w:ascii="arial" w:eastAsia="arial" w:hAnsi="arial" w:cs="arial"/>
          <w:b w:val="0"/>
          <w:i w:val="0"/>
          <w:strike w:val="0"/>
          <w:noProof w:val="0"/>
          <w:color w:val="000000"/>
          <w:position w:val="0"/>
          <w:sz w:val="20"/>
          <w:u w:val="none"/>
          <w:vertAlign w:val="baseline"/>
        </w:rPr>
        <w:t>In late October 2021, the jail began allowing Mother to video chat for about thirty minutes, which she used to talk to J.M. Maternal grandmother continued attending her own support groups, and maternal step-grandfather had begun joining her.</w:t>
      </w:r>
    </w:p>
    <w:p>
      <w:pPr>
        <w:keepNext w:val="0"/>
        <w:spacing w:before="200" w:after="0" w:line="260" w:lineRule="atLeast"/>
        <w:ind w:left="0" w:right="0" w:firstLine="0"/>
        <w:jc w:val="both"/>
      </w:pPr>
      <w:bookmarkStart w:id="49" w:name="Bookmark_para_28"/>
      <w:bookmarkEnd w:id="49"/>
      <w:r>
        <w:rPr>
          <w:rFonts w:ascii="arial" w:eastAsia="arial" w:hAnsi="arial" w:cs="arial"/>
          <w:b w:val="0"/>
          <w:i w:val="0"/>
          <w:strike w:val="0"/>
          <w:noProof w:val="0"/>
          <w:color w:val="000000"/>
          <w:position w:val="0"/>
          <w:sz w:val="20"/>
          <w:u w:val="none"/>
          <w:vertAlign w:val="baseline"/>
        </w:rPr>
        <w:t xml:space="preserve">The next month, the Agency learned that a criminal protective order (CPO) had been issued back in March 2021 prohibiting Mother from having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contact with J.M. While in custody, Mother had been caught with 7.9 grams of fentanyl and gave it to two other inmates, one of whom overdosed and was hospitalized. Mother was placed on four years of formal probation with a suspended sentence of four years in prison if she violated probation. She would be released to an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inpatient drug treatment program on December 7, 2021.</w:t>
      </w:r>
    </w:p>
    <w:p>
      <w:pPr>
        <w:keepNext w:val="0"/>
        <w:spacing w:before="200" w:after="0" w:line="260" w:lineRule="atLeast"/>
        <w:ind w:left="0" w:right="0" w:firstLine="0"/>
        <w:jc w:val="both"/>
      </w:pPr>
      <w:bookmarkStart w:id="50" w:name="Bookmark_para_29"/>
      <w:bookmarkEnd w:id="50"/>
      <w:r>
        <w:rPr>
          <w:rFonts w:ascii="arial" w:eastAsia="arial" w:hAnsi="arial" w:cs="arial"/>
          <w:b w:val="0"/>
          <w:i w:val="0"/>
          <w:strike w:val="0"/>
          <w:noProof w:val="0"/>
          <w:color w:val="000000"/>
          <w:position w:val="0"/>
          <w:sz w:val="20"/>
          <w:u w:val="none"/>
          <w:vertAlign w:val="baseline"/>
        </w:rPr>
        <w:t xml:space="preserve">At the December 21, 2021 hearing on the Agency's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the court heard testimony from several witnesses, including expert testimony that J.M.'s primary attachment was with maternal grandparents and that disruption to his placement would likely lead to future emotional and relationship difficulties for J.M. The juvenile court ultimately denied the Agency's petition, finding the Agency had not shown moving J.M. to live with his relatives in Florida and away from maternal grandparents would be in his best interests. However, the court ordered "a no-contact order," in that "there should be no contact, direct or indirect, in-person or via video or phone" between Mother and J.M. because Mother's recent sobriety was "far too early for contact with [him]."</w:t>
      </w:r>
    </w:p>
    <w:p>
      <w:pPr>
        <w:keepNext w:val="0"/>
        <w:spacing w:before="200" w:after="0" w:line="260" w:lineRule="atLeast"/>
        <w:ind w:left="0" w:right="0" w:firstLine="0"/>
        <w:jc w:val="both"/>
      </w:pPr>
      <w:bookmarkStart w:id="51" w:name="Bookmark_para_30"/>
      <w:bookmarkEnd w:id="51"/>
      <w:r>
        <w:rPr>
          <w:rFonts w:ascii="arial" w:eastAsia="arial" w:hAnsi="arial" w:cs="arial"/>
          <w:b w:val="0"/>
          <w:i w:val="0"/>
          <w:strike w:val="0"/>
          <w:noProof w:val="0"/>
          <w:color w:val="000000"/>
          <w:position w:val="0"/>
          <w:sz w:val="20"/>
          <w:u w:val="none"/>
          <w:vertAlign w:val="baseline"/>
        </w:rPr>
        <w:t>As of February 2022, Mother had made improvements with her substance abuse recovery. Her counselor reported Mother was "doing amazing" and was advocating for Mother to be allowed supervised visits with J.M. Mother reported being "very dedicated to recovery" and that she planned to graduate her program in April 2022 and enter an outpatient program. Although she told the Agency she was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celebrating one year of sobriety on February 25, 2022, the Agency noted she used fentanyl while in custody on March 13, 2021. Maternal grandmother wanted to adopt J.M., but the Agency remained concerned about her ability to protect J.M. once Mother had completed her substance abuse program.</w:t>
      </w:r>
    </w:p>
    <w:p>
      <w:pPr>
        <w:keepNext w:val="0"/>
        <w:spacing w:before="200" w:after="0" w:line="260" w:lineRule="atLeast"/>
        <w:ind w:left="0" w:right="0" w:firstLine="0"/>
        <w:jc w:val="both"/>
      </w:pPr>
      <w:bookmarkStart w:id="52" w:name="Bookmark_para_31"/>
      <w:bookmarkEnd w:id="52"/>
      <w:r>
        <w:rPr>
          <w:rFonts w:ascii="arial" w:eastAsia="arial" w:hAnsi="arial" w:cs="arial"/>
          <w:b w:val="0"/>
          <w:i w:val="0"/>
          <w:strike w:val="0"/>
          <w:noProof w:val="0"/>
          <w:color w:val="000000"/>
          <w:position w:val="0"/>
          <w:sz w:val="20"/>
          <w:u w:val="none"/>
          <w:vertAlign w:val="baseline"/>
        </w:rPr>
        <w:t>Mother completed her inpatient program on April 5, 2022 and began an outpatient program, where she attended group meetings and had random drug tests twice a month. Mother also reported attending NA meetings and having a sponsor, whom she spoke with daily.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strike w:val="0"/>
          <w:noProof w:val="0"/>
          <w:color w:val="000000"/>
          <w:position w:val="0"/>
          <w:sz w:val="20"/>
          <w:u w:val="none"/>
          <w:vertAlign w:val="baseline"/>
        </w:rPr>
        <w:t xml:space="preserve"> Petition</w:t>
      </w:r>
    </w:p>
    <w:p>
      <w:pPr>
        <w:keepNext w:val="0"/>
        <w:spacing w:before="200" w:after="0" w:line="260" w:lineRule="atLeast"/>
        <w:ind w:left="0" w:right="0" w:firstLine="0"/>
        <w:jc w:val="both"/>
      </w:pPr>
      <w:bookmarkStart w:id="53" w:name="Bookmark_para_32"/>
      <w:bookmarkEnd w:id="53"/>
      <w:r>
        <w:rPr>
          <w:rFonts w:ascii="arial" w:eastAsia="arial" w:hAnsi="arial" w:cs="arial"/>
          <w:b w:val="0"/>
          <w:i w:val="0"/>
          <w:strike w:val="0"/>
          <w:noProof w:val="0"/>
          <w:color w:val="000000"/>
          <w:position w:val="0"/>
          <w:sz w:val="20"/>
          <w:u w:val="none"/>
          <w:vertAlign w:val="baseline"/>
        </w:rPr>
        <w:t xml:space="preserve">In July 2022, Mother filed a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asking the juvenile court to change its prior December 21, 2021 no-contact order to allow her supervised visits with J.M., with discretion to expand to unsupervised visitation. As changed circumstances justifying her petition, she claimed the March 2021 CPO had been amended to allow visitation with J.M. if permitted by a juvenile court order, and she had completed drug treatment programs and maintained her sobriety for a substantial period of time. Mother asserted visitation would be in J.M.'s best interests because he would benefit from healthy, supportive familial relationships. She attached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documents to her petition, including a letter from her NA sponsor, NA meeting attendance sheets, and documentation reflecting her completion of drug treatment programs.</w:t>
      </w:r>
    </w:p>
    <w:p>
      <w:pPr>
        <w:keepNext w:val="0"/>
        <w:spacing w:before="200" w:after="0" w:line="260" w:lineRule="atLeast"/>
        <w:ind w:left="0" w:right="0" w:firstLine="0"/>
        <w:jc w:val="both"/>
      </w:pPr>
      <w:bookmarkStart w:id="54" w:name="Bookmark_para_33"/>
      <w:bookmarkEnd w:id="54"/>
      <w:r>
        <w:rPr>
          <w:rFonts w:ascii="arial" w:eastAsia="arial" w:hAnsi="arial" w:cs="arial"/>
          <w:b w:val="0"/>
          <w:i w:val="0"/>
          <w:strike w:val="0"/>
          <w:noProof w:val="0"/>
          <w:color w:val="000000"/>
          <w:position w:val="0"/>
          <w:sz w:val="20"/>
          <w:u w:val="none"/>
          <w:vertAlign w:val="baseline"/>
        </w:rPr>
        <w:t xml:space="preserve">At the initial hearing on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in August 2022, Mother's counsel expressed that Mother would be agreeable to "any and all parameters that might be applied" to her visitation and that additional restrictions "could be put in place, such as having the visitations begin off as virtual, telephonic or video visits only." The Agency opposed granting Mother any visitation with J.M. because it was concerned about Mother's potential inability to maintain her sobriety outside of probation and the supervision she currently had. The Agency was also worried about maternal grandmother's ability to protect J.M. during supervised visitation in light of her past difficulty setting appropriate boundaries with Mother. After hearing argument, the court found Mother carried her "low" prima facie burden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to warrant an evidentiary hearing on the petition.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The Combined Section 366.26 and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strike w:val="0"/>
          <w:noProof w:val="0"/>
          <w:color w:val="000000"/>
          <w:position w:val="0"/>
          <w:sz w:val="20"/>
          <w:u w:val="none"/>
          <w:vertAlign w:val="baseline"/>
        </w:rPr>
        <w:t xml:space="preserve"> Hearing</w:t>
      </w:r>
    </w:p>
    <w:p>
      <w:pPr>
        <w:keepNext w:val="0"/>
        <w:spacing w:before="200" w:after="0" w:line="260" w:lineRule="atLeast"/>
        <w:ind w:left="0" w:right="0" w:firstLine="0"/>
        <w:jc w:val="both"/>
      </w:pPr>
      <w:bookmarkStart w:id="61" w:name="Bookmark_para_34"/>
      <w:bookmarkEnd w:id="61"/>
      <w:r>
        <w:rPr>
          <w:rFonts w:ascii="arial" w:eastAsia="arial" w:hAnsi="arial" w:cs="arial"/>
          <w:b w:val="0"/>
          <w:i w:val="0"/>
          <w:strike w:val="0"/>
          <w:noProof w:val="0"/>
          <w:color w:val="000000"/>
          <w:position w:val="0"/>
          <w:sz w:val="20"/>
          <w:u w:val="none"/>
          <w:vertAlign w:val="baseline"/>
        </w:rPr>
        <w:t xml:space="preserve">On October 5, 2022, the juvenile court held a contested hearing under section 366.26 and to consider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The court first considered the section 366.26 issues.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Agency requested termination of parental rights, in part because it did not believe maternal grandparents could keep J.M. safe when considering the December 2020 fentanyl exposure that almost killed him. Mother's attorney made an offer of proof "that if the court were to order a lesser permanent plan, other than adoption, that [Mother] would submit on any court orders or a request for a court order that the maternal grandparents not be the supervisors of . . . Mother's visitation if visitation is ordered."</w:t>
      </w:r>
    </w:p>
    <w:p>
      <w:pPr>
        <w:keepNext w:val="0"/>
        <w:spacing w:before="200" w:after="0" w:line="260" w:lineRule="atLeast"/>
        <w:ind w:left="0" w:right="0" w:firstLine="0"/>
        <w:jc w:val="both"/>
      </w:pPr>
      <w:bookmarkStart w:id="63" w:name="Bookmark_para_35"/>
      <w:bookmarkEnd w:id="63"/>
      <w:r>
        <w:rPr>
          <w:rFonts w:ascii="arial" w:eastAsia="arial" w:hAnsi="arial" w:cs="arial"/>
          <w:b w:val="0"/>
          <w:i w:val="0"/>
          <w:strike w:val="0"/>
          <w:noProof w:val="0"/>
          <w:color w:val="000000"/>
          <w:position w:val="0"/>
          <w:sz w:val="20"/>
          <w:u w:val="none"/>
          <w:vertAlign w:val="baseline"/>
        </w:rPr>
        <w:t>After hearing counsel's argument and considering the evidence, the juvenile court found J.M. adoptable but that the relative caregiver exception to adoption under section 366.26, subdivision (c)(1)(A), applied.</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court ordered J.M. into a plan of legal guardianship with maternal grandparents and found exceptional circumstances existed to maintain jurisdiction under section 366.4.</w:t>
      </w:r>
    </w:p>
    <w:p>
      <w:pPr>
        <w:keepNext w:val="0"/>
        <w:spacing w:before="200" w:after="0" w:line="260" w:lineRule="atLeast"/>
        <w:ind w:left="0" w:right="0" w:firstLine="0"/>
        <w:jc w:val="both"/>
      </w:pPr>
      <w:bookmarkStart w:id="65" w:name="Bookmark_para_36"/>
      <w:bookmarkEnd w:id="65"/>
      <w:r>
        <w:rPr>
          <w:rFonts w:ascii="arial" w:eastAsia="arial" w:hAnsi="arial" w:cs="arial"/>
          <w:b w:val="0"/>
          <w:i w:val="0"/>
          <w:strike w:val="0"/>
          <w:noProof w:val="0"/>
          <w:color w:val="000000"/>
          <w:position w:val="0"/>
          <w:sz w:val="20"/>
          <w:u w:val="none"/>
          <w:vertAlign w:val="baseline"/>
        </w:rPr>
        <w:t xml:space="preserve">The juvenile court next considered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The court received into evidence Mother's petition; a September 28, 2022 letter from her substance abuse program stating she had participated in services since April 5, 2022 and continued in recovery services; and a July 6, 2022 certificate of completion for her substance abuse outpatient program. Mother's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counsel told the court that Mother would agree to not have maternal grandparents supervise any visitation ordered.</w:t>
      </w:r>
    </w:p>
    <w:p>
      <w:pPr>
        <w:keepNext w:val="0"/>
        <w:spacing w:before="200" w:after="0" w:line="260" w:lineRule="atLeast"/>
        <w:ind w:left="0" w:right="0" w:firstLine="0"/>
        <w:jc w:val="both"/>
      </w:pPr>
      <w:bookmarkStart w:id="66" w:name="Bookmark_para_37"/>
      <w:bookmarkEnd w:id="66"/>
      <w:r>
        <w:rPr>
          <w:rFonts w:ascii="arial" w:eastAsia="arial" w:hAnsi="arial" w:cs="arial"/>
          <w:b w:val="0"/>
          <w:i w:val="0"/>
          <w:strike w:val="0"/>
          <w:noProof w:val="0"/>
          <w:color w:val="000000"/>
          <w:position w:val="0"/>
          <w:sz w:val="20"/>
          <w:u w:val="none"/>
          <w:vertAlign w:val="baseline"/>
        </w:rPr>
        <w:t>Mother testified she began using narcotics "off and on" from ages 17 to 22 and used regularly in 2013. Although she was sober for four months in 2014, she relapsed a month later. She had not been attending any type of aftercare, NA meetings, or 12-step program. From 2014 or 2015 to 2018, she used again and then, while incarcerated for 45 days, became sober and remained sober for a total of approximately nine months in 2018 and 2019 for most of her pregnancy with J.M. That nine-month period was her longest period of sobriety.</w:t>
      </w:r>
    </w:p>
    <w:p>
      <w:pPr>
        <w:keepNext w:val="0"/>
        <w:spacing w:before="200" w:after="0" w:line="260" w:lineRule="atLeast"/>
        <w:ind w:left="0" w:right="0" w:firstLine="0"/>
        <w:jc w:val="both"/>
      </w:pPr>
      <w:bookmarkStart w:id="67" w:name="Bookmark_para_38"/>
      <w:bookmarkEnd w:id="67"/>
      <w:r>
        <w:rPr>
          <w:rFonts w:ascii="arial" w:eastAsia="arial" w:hAnsi="arial" w:cs="arial"/>
          <w:b w:val="0"/>
          <w:i w:val="0"/>
          <w:strike w:val="0"/>
          <w:noProof w:val="0"/>
          <w:color w:val="000000"/>
          <w:position w:val="0"/>
          <w:sz w:val="20"/>
          <w:u w:val="none"/>
          <w:vertAlign w:val="baseline"/>
        </w:rPr>
        <w:t>Mother's "clean date" was in early March 2021, while she was incarcerated. After her release, she began an inpatient program in an unlocked facility. She was on probation through approximately 2025, which required her to check in with her probation officer every two months and drug test. Her probation terms also included completion of an inpatient treatment program and an outpatient treatment program, both of which she had completed. She was continuing to attend the outpatient program and attending daily Alcohol Anonymous meetings and weekly NA meetings,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even though they were not required by probation.</w:t>
      </w:r>
    </w:p>
    <w:p>
      <w:pPr>
        <w:keepNext w:val="0"/>
        <w:spacing w:before="200" w:after="0" w:line="260" w:lineRule="atLeast"/>
        <w:ind w:left="0" w:right="0" w:firstLine="0"/>
        <w:jc w:val="both"/>
      </w:pPr>
      <w:bookmarkStart w:id="68" w:name="Bookmark_para_39"/>
      <w:bookmarkEnd w:id="68"/>
      <w:r>
        <w:rPr>
          <w:rFonts w:ascii="arial" w:eastAsia="arial" w:hAnsi="arial" w:cs="arial"/>
          <w:b w:val="0"/>
          <w:i w:val="0"/>
          <w:strike w:val="0"/>
          <w:noProof w:val="0"/>
          <w:color w:val="000000"/>
          <w:position w:val="0"/>
          <w:sz w:val="20"/>
          <w:u w:val="none"/>
          <w:vertAlign w:val="baseline"/>
        </w:rPr>
        <w:t>Mother testified the most important lesson she learned during her outpatient program was how to recognize her triggers, relapse prevention, and coping skills. She believed her biggest triggers were people, including Father, and places where she had previously used drugs—all of which she said she avoided.</w:t>
      </w:r>
    </w:p>
    <w:p>
      <w:pPr>
        <w:keepNext w:val="0"/>
        <w:spacing w:before="200" w:after="0" w:line="260" w:lineRule="atLeast"/>
        <w:ind w:left="0" w:right="0" w:firstLine="0"/>
        <w:jc w:val="both"/>
      </w:pPr>
      <w:bookmarkStart w:id="69" w:name="Bookmark_para_40"/>
      <w:bookmarkEnd w:id="69"/>
      <w:r>
        <w:rPr>
          <w:rFonts w:ascii="arial" w:eastAsia="arial" w:hAnsi="arial" w:cs="arial"/>
          <w:b w:val="0"/>
          <w:i w:val="0"/>
          <w:strike w:val="0"/>
          <w:noProof w:val="0"/>
          <w:color w:val="000000"/>
          <w:position w:val="0"/>
          <w:sz w:val="20"/>
          <w:u w:val="none"/>
          <w:vertAlign w:val="baseline"/>
        </w:rPr>
        <w:t>On cross-examination, Mother admitted she had failed to inform maternal grandmother or the paramedics that she saw J.M. put a bag of fentanyl in his mouth on December 5, 2020. She testified that she did not believe she would be a negative influence on J.M. because "the problem, which was drugs, has been eliminated," and she did not see an issue arising in the future because she no longer used drugs. She believed the benefit to J.M. of knowing his mother outweighed the risk she could pose to J.M. should she use drugs again. On redirect, she clarified the parameters she had agreed to "such as the visits being supervised by a third party" and not maternal grandmother, significantly reduced the risk of a potential future relapse impacting J.M. She further testified she would not try to violate any parameters put in place by the court,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Agency, or her parents.</w:t>
      </w:r>
    </w:p>
    <w:p>
      <w:pPr>
        <w:keepNext w:val="0"/>
        <w:spacing w:before="200" w:after="0" w:line="260" w:lineRule="atLeast"/>
        <w:ind w:left="0" w:right="0" w:firstLine="0"/>
        <w:jc w:val="both"/>
      </w:pPr>
      <w:bookmarkStart w:id="70" w:name="Bookmark_para_41"/>
      <w:bookmarkEnd w:id="70"/>
      <w:r>
        <w:rPr>
          <w:rFonts w:ascii="arial" w:eastAsia="arial" w:hAnsi="arial" w:cs="arial"/>
          <w:b w:val="0"/>
          <w:i w:val="0"/>
          <w:strike w:val="0"/>
          <w:noProof w:val="0"/>
          <w:color w:val="000000"/>
          <w:position w:val="0"/>
          <w:sz w:val="20"/>
          <w:u w:val="none"/>
          <w:vertAlign w:val="baseline"/>
        </w:rPr>
        <w:t>In closing, Mother's counsel argued that having a neutral third party supervise Mother's visitation would reduce the risk of harm to J.M. The Agency disagreed, asserting that any visitation would be detrimental to J.M. and, considering Mother's history of poor decision-making when abusing fentanyl and the serious danger of even a small amount of fentanyl killing J.M., there were no "safety measures that c[ould] be put in place for [J.M.] to have safe face-to-face contact with [Mother]." Mother's counsel provided a rebuttal highlighting Mother's progress and insight into her recovery. At no point during the hearing did Mother's counsel state that Mother was seeking anything less than in-person visitation with J.M.</w:t>
      </w:r>
    </w:p>
    <w:p>
      <w:pPr>
        <w:keepNext w:val="0"/>
        <w:spacing w:before="200" w:after="0" w:line="260" w:lineRule="atLeast"/>
        <w:ind w:left="0" w:right="0" w:firstLine="0"/>
        <w:jc w:val="both"/>
      </w:pPr>
      <w:bookmarkStart w:id="71" w:name="Bookmark_para_42"/>
      <w:bookmarkEnd w:id="71"/>
      <w:r>
        <w:rPr>
          <w:rFonts w:ascii="arial" w:eastAsia="arial" w:hAnsi="arial" w:cs="arial"/>
          <w:b w:val="0"/>
          <w:i w:val="0"/>
          <w:strike w:val="0"/>
          <w:noProof w:val="0"/>
          <w:color w:val="000000"/>
          <w:position w:val="0"/>
          <w:sz w:val="20"/>
          <w:u w:val="none"/>
          <w:vertAlign w:val="baseline"/>
        </w:rPr>
        <w:t xml:space="preserve">The juvenile court denied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It acknowledged that Mother had completed her treatment programs since the no-contact order was issued, that she had been sober for approximately 17 months, and that there were positive reports about Mother's progress. But the court had concerns about Mother's lengthy substance abuse history since the age of 17, that Mother had previously completed an inpatient program but relapsed, and that she had relapsed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in 2019 while pregnant with J.M. The court noted the inconsistencies between Mother's testimony and her previous statements given to the Agency about her sobriety and treatment history. The court also questioned Mother's ability to maintain her sobriety without the supervision and scrutiny of probation and the court. It found the evidence demonstrated "only changing circumstances."</w:t>
      </w:r>
    </w:p>
    <w:p>
      <w:pPr>
        <w:keepNext w:val="0"/>
        <w:spacing w:before="200" w:after="0" w:line="260" w:lineRule="atLeast"/>
        <w:ind w:left="0" w:right="0" w:firstLine="0"/>
        <w:jc w:val="both"/>
      </w:pPr>
      <w:bookmarkStart w:id="72" w:name="Bookmark_para_43"/>
      <w:bookmarkEnd w:id="72"/>
      <w:bookmarkStart w:id="73" w:name="Bookmark_I67Y16T32N1PNP0020000400"/>
      <w:bookmarkEnd w:id="73"/>
      <w:r>
        <w:rPr>
          <w:rFonts w:ascii="arial" w:eastAsia="arial" w:hAnsi="arial" w:cs="arial"/>
          <w:b w:val="0"/>
          <w:i w:val="0"/>
          <w:strike w:val="0"/>
          <w:noProof w:val="0"/>
          <w:color w:val="000000"/>
          <w:position w:val="0"/>
          <w:sz w:val="20"/>
          <w:u w:val="none"/>
          <w:vertAlign w:val="baseline"/>
        </w:rPr>
        <w:t xml:space="preserve">As to the best interests prong of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the juvenile court found the factors from </w:t>
      </w:r>
      <w:bookmarkStart w:id="74" w:name="Bookmark_I67Y16T32N1PNP0010000400"/>
      <w:bookmarkEnd w:id="74"/>
      <w:hyperlink r:id="rId12" w:history="1">
        <w:r>
          <w:rPr>
            <w:rFonts w:ascii="arial" w:eastAsia="arial" w:hAnsi="arial" w:cs="arial"/>
            <w:b w:val="0"/>
            <w:i/>
            <w:strike w:val="0"/>
            <w:noProof w:val="0"/>
            <w:color w:val="0077CC"/>
            <w:position w:val="0"/>
            <w:sz w:val="20"/>
            <w:u w:val="single"/>
            <w:vertAlign w:val="baseline"/>
          </w:rPr>
          <w:t>In re Kimberly F.</w:t>
        </w:r>
      </w:hyperlink>
      <w:hyperlink r:id="rId12" w:history="1">
        <w:r>
          <w:rPr>
            <w:rFonts w:ascii="arial" w:eastAsia="arial" w:hAnsi="arial" w:cs="arial"/>
            <w:b w:val="0"/>
            <w:i/>
            <w:strike w:val="0"/>
            <w:noProof w:val="0"/>
            <w:color w:val="0077CC"/>
            <w:position w:val="0"/>
            <w:sz w:val="20"/>
            <w:u w:val="single"/>
            <w:vertAlign w:val="baseline"/>
          </w:rPr>
          <w:t xml:space="preserve"> (1997) 56 Cal.App.4th 519, 65 Cal. Rptr. 2d 495 (</w:t>
        </w:r>
      </w:hyperlink>
      <w:hyperlink r:id="rId12" w:history="1">
        <w:r>
          <w:rPr>
            <w:rFonts w:ascii="arial" w:eastAsia="arial" w:hAnsi="arial" w:cs="arial"/>
            <w:b w:val="0"/>
            <w:i/>
            <w:strike w:val="0"/>
            <w:noProof w:val="0"/>
            <w:color w:val="0077CC"/>
            <w:position w:val="0"/>
            <w:sz w:val="20"/>
            <w:u w:val="single"/>
            <w:vertAlign w:val="baseline"/>
          </w:rPr>
          <w:t>Kimberly F.</w:t>
        </w:r>
      </w:hyperlink>
      <w:hyperlink r:id="rId1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weighed against Mother. Specifically, the seriousness of the problem was significant, as indicated by Mother's substance abuse history, her failure to disclose J.M.'s ingestion of fentanyl while he was unconscious, and her sneaking fentanyl into jail that led to another inmate's overdose. There was no indication that J.M. had ever asked for Mother or evidenced any emotion when speaking with Mother, and there had not been contact between Mother and J.M. for over 20 months. Finally, the problem could not be ameliorated even with safety measures due to the concern that Mother could relapse and the fact that even a small amount of fentanyl could lead to J.M.'s overdose. The court also found Mother's testimony that J.M. would one day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ask about his parents did not establish why allowing supervised visitation would be in his best interests.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Mother Fails to Establish The Juvenile Court Abused Its Discretion in Denying Her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strike w:val="0"/>
          <w:noProof w:val="0"/>
          <w:color w:val="000000"/>
          <w:position w:val="0"/>
          <w:sz w:val="20"/>
          <w:u w:val="none"/>
          <w:vertAlign w:val="baseline"/>
        </w:rPr>
        <w:t xml:space="preserve"> Petition</w:t>
      </w:r>
    </w:p>
    <w:p>
      <w:pPr>
        <w:keepNext w:val="0"/>
        <w:spacing w:before="240" w:after="0" w:line="260" w:lineRule="atLeast"/>
        <w:ind w:left="0" w:right="0" w:firstLine="0"/>
        <w:jc w:val="both"/>
      </w:pPr>
      <w:bookmarkStart w:id="75" w:name="Bookmark_para_44"/>
      <w:bookmarkEnd w:id="75"/>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a parent may, upon "grounds of change of circumstance or new evidence," petition to change, modify, or set aside a prior order of the court. </w:t>
      </w:r>
      <w:bookmarkStart w:id="76" w:name="Bookmark_I67Y16T32N1PNP0040000400"/>
      <w:bookmarkEnd w:id="76"/>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388, subd. (a)(1)</w:t>
      </w:r>
      <w:r>
        <w:rPr>
          <w:rFonts w:ascii="arial" w:eastAsia="arial" w:hAnsi="arial" w:cs="arial"/>
          <w:b w:val="0"/>
          <w:i w:val="0"/>
          <w:strike w:val="0"/>
          <w:noProof w:val="0"/>
          <w:color w:val="000000"/>
          <w:position w:val="0"/>
          <w:sz w:val="20"/>
          <w:u w:val="none"/>
          <w:vertAlign w:val="baseline"/>
        </w:rPr>
        <w:t>.) The petitioning parent bears the burden of showing by a preponderance of the evidence that: (1) there has been a change of circumstance or new evidence since the challenged court ruling and (2) the proposed modification is in the child's best interests. (</w:t>
      </w:r>
      <w:bookmarkStart w:id="77" w:name="Bookmark_I67Y16T32N1PNP0030000400"/>
      <w:bookmarkEnd w:id="77"/>
      <w:hyperlink r:id="rId13" w:history="1">
        <w:r>
          <w:rPr>
            <w:rFonts w:ascii="arial" w:eastAsia="arial" w:hAnsi="arial" w:cs="arial"/>
            <w:b w:val="0"/>
            <w:i/>
            <w:strike w:val="0"/>
            <w:noProof w:val="0"/>
            <w:color w:val="0077CC"/>
            <w:position w:val="0"/>
            <w:sz w:val="20"/>
            <w:u w:val="single"/>
            <w:vertAlign w:val="baseline"/>
          </w:rPr>
          <w:t>In re Stephanie M.</w:t>
        </w:r>
      </w:hyperlink>
      <w:hyperlink r:id="rId13" w:history="1">
        <w:r>
          <w:rPr>
            <w:rFonts w:ascii="arial" w:eastAsia="arial" w:hAnsi="arial" w:cs="arial"/>
            <w:b w:val="0"/>
            <w:i/>
            <w:strike w:val="0"/>
            <w:noProof w:val="0"/>
            <w:color w:val="0077CC"/>
            <w:position w:val="0"/>
            <w:sz w:val="20"/>
            <w:u w:val="single"/>
            <w:vertAlign w:val="baseline"/>
          </w:rPr>
          <w:t xml:space="preserve"> (1994) 7 Cal.4th 295, 317, 27 Cal. Rptr. 2d 595, 867 P.2d 706 (</w:t>
        </w:r>
      </w:hyperlink>
      <w:hyperlink r:id="rId13" w:history="1">
        <w:r>
          <w:rPr>
            <w:rFonts w:ascii="arial" w:eastAsia="arial" w:hAnsi="arial" w:cs="arial"/>
            <w:b w:val="0"/>
            <w:i/>
            <w:strike w:val="0"/>
            <w:noProof w:val="0"/>
            <w:color w:val="0077CC"/>
            <w:position w:val="0"/>
            <w:sz w:val="20"/>
            <w:u w:val="single"/>
            <w:vertAlign w:val="baseline"/>
          </w:rPr>
          <w:t>Stephanie M.</w:t>
        </w:r>
      </w:hyperlink>
      <w:hyperlink r:id="rId1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78" w:name="Bookmark_I67Y16T32N1PNP0050000400"/>
      <w:bookmarkEnd w:id="78"/>
      <w:hyperlink r:id="rId14" w:history="1">
        <w:r>
          <w:rPr>
            <w:rFonts w:ascii="arial" w:eastAsia="arial" w:hAnsi="arial" w:cs="arial"/>
            <w:b w:val="0"/>
            <w:i/>
            <w:strike w:val="0"/>
            <w:noProof w:val="0"/>
            <w:color w:val="0077CC"/>
            <w:position w:val="0"/>
            <w:sz w:val="20"/>
            <w:u w:val="single"/>
            <w:vertAlign w:val="baseline"/>
          </w:rPr>
          <w:t>In re J.M.</w:t>
        </w:r>
      </w:hyperlink>
      <w:hyperlink r:id="rId14" w:history="1">
        <w:r>
          <w:rPr>
            <w:rFonts w:ascii="arial" w:eastAsia="arial" w:hAnsi="arial" w:cs="arial"/>
            <w:b w:val="0"/>
            <w:i/>
            <w:strike w:val="0"/>
            <w:noProof w:val="0"/>
            <w:color w:val="0077CC"/>
            <w:position w:val="0"/>
            <w:sz w:val="20"/>
            <w:u w:val="single"/>
            <w:vertAlign w:val="baseline"/>
          </w:rPr>
          <w:t xml:space="preserve"> (2020) 50 Cal.App.5th 833, 845, 263 Cal. Rptr. 3d 687</w:t>
        </w:r>
      </w:hyperlink>
      <w:r>
        <w:rPr>
          <w:rFonts w:ascii="arial" w:eastAsia="arial" w:hAnsi="arial" w:cs="arial"/>
          <w:b w:val="0"/>
          <w:i w:val="0"/>
          <w:strike w:val="0"/>
          <w:noProof w:val="0"/>
          <w:color w:val="000000"/>
          <w:position w:val="0"/>
          <w:sz w:val="20"/>
          <w:u w:val="none"/>
          <w:vertAlign w:val="baseline"/>
        </w:rPr>
        <w:t xml:space="preserve">; see </w:t>
      </w:r>
      <w:r>
        <w:rPr>
          <w:rFonts w:ascii="arial" w:eastAsia="arial" w:hAnsi="arial" w:cs="arial"/>
          <w:b w:val="0"/>
          <w:i/>
          <w:strike w:val="0"/>
          <w:noProof w:val="0"/>
          <w:color w:val="000000"/>
          <w:position w:val="0"/>
          <w:sz w:val="20"/>
          <w:u w:val="none"/>
          <w:vertAlign w:val="baseline"/>
        </w:rPr>
        <w:t>§ 388, subds. (a)(1)</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45"/>
      <w:bookmarkEnd w:id="79"/>
      <w:bookmarkStart w:id="80" w:name="Bookmark_I67Y16T32SF8TG0030000400"/>
      <w:bookmarkEnd w:id="80"/>
      <w:bookmarkStart w:id="81" w:name="Bookmark_I67Y16T42HM5TV0020000400"/>
      <w:bookmarkEnd w:id="81"/>
      <w:r>
        <w:rPr>
          <w:rFonts w:ascii="arial" w:eastAsia="arial" w:hAnsi="arial" w:cs="arial"/>
          <w:b w:val="0"/>
          <w:i w:val="0"/>
          <w:strike w:val="0"/>
          <w:noProof w:val="0"/>
          <w:color w:val="000000"/>
          <w:position w:val="0"/>
          <w:sz w:val="20"/>
          <w:u w:val="none"/>
          <w:vertAlign w:val="baseline"/>
        </w:rPr>
        <w:t xml:space="preserve">In evaluating a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the juvenile court may consider the evidence in the record as a whole. (See </w:t>
      </w:r>
      <w:bookmarkStart w:id="82" w:name="Bookmark_I67Y16T32SF8TG0020000400"/>
      <w:bookmarkEnd w:id="82"/>
      <w:hyperlink r:id="rId14" w:history="1">
        <w:r>
          <w:rPr>
            <w:rFonts w:ascii="arial" w:eastAsia="arial" w:hAnsi="arial" w:cs="arial"/>
            <w:b w:val="0"/>
            <w:i/>
            <w:strike w:val="0"/>
            <w:noProof w:val="0"/>
            <w:color w:val="0077CC"/>
            <w:position w:val="0"/>
            <w:sz w:val="20"/>
            <w:u w:val="single"/>
            <w:vertAlign w:val="baseline"/>
          </w:rPr>
          <w:t>In re J.M., supra</w:t>
        </w:r>
      </w:hyperlink>
      <w:hyperlink r:id="rId14" w:history="1">
        <w:r>
          <w:rPr>
            <w:rFonts w:ascii="arial" w:eastAsia="arial" w:hAnsi="arial" w:cs="arial"/>
            <w:b w:val="0"/>
            <w:i/>
            <w:strike w:val="0"/>
            <w:noProof w:val="0"/>
            <w:color w:val="0077CC"/>
            <w:position w:val="0"/>
            <w:sz w:val="20"/>
            <w:u w:val="single"/>
            <w:vertAlign w:val="baseline"/>
          </w:rPr>
          <w:t>, 50 Cal.App.5th at p. 847</w:t>
        </w:r>
      </w:hyperlink>
      <w:r>
        <w:rPr>
          <w:rFonts w:ascii="arial" w:eastAsia="arial" w:hAnsi="arial" w:cs="arial"/>
          <w:b w:val="0"/>
          <w:i w:val="0"/>
          <w:strike w:val="0"/>
          <w:noProof w:val="0"/>
          <w:color w:val="000000"/>
          <w:position w:val="0"/>
          <w:sz w:val="20"/>
          <w:u w:val="none"/>
          <w:vertAlign w:val="baseline"/>
        </w:rPr>
        <w:t xml:space="preserve"> [citing </w:t>
      </w:r>
      <w:bookmarkStart w:id="83" w:name="Bookmark_I67Y16T32SF8TG0040000400"/>
      <w:bookmarkEnd w:id="83"/>
      <w:hyperlink r:id="rId15" w:history="1">
        <w:r>
          <w:rPr>
            <w:rFonts w:ascii="arial" w:eastAsia="arial" w:hAnsi="arial" w:cs="arial"/>
            <w:b w:val="0"/>
            <w:i/>
            <w:strike w:val="0"/>
            <w:noProof w:val="0"/>
            <w:color w:val="0077CC"/>
            <w:position w:val="0"/>
            <w:sz w:val="20"/>
            <w:u w:val="single"/>
            <w:vertAlign w:val="baseline"/>
          </w:rPr>
          <w:t>In re Jamika W.</w:t>
        </w:r>
      </w:hyperlink>
      <w:hyperlink r:id="rId15" w:history="1">
        <w:r>
          <w:rPr>
            <w:rFonts w:ascii="arial" w:eastAsia="arial" w:hAnsi="arial" w:cs="arial"/>
            <w:b w:val="0"/>
            <w:i/>
            <w:strike w:val="0"/>
            <w:noProof w:val="0"/>
            <w:color w:val="0077CC"/>
            <w:position w:val="0"/>
            <w:sz w:val="20"/>
            <w:u w:val="single"/>
            <w:vertAlign w:val="baseline"/>
          </w:rPr>
          <w:t xml:space="preserve"> (1997) 54 Cal.App.4th 1446, 1450-1451, 63 Cal. Rptr. 2d 513]</w:t>
        </w:r>
      </w:hyperlink>
      <w:r>
        <w:rPr>
          <w:rFonts w:ascii="arial" w:eastAsia="arial" w:hAnsi="arial" w:cs="arial"/>
          <w:b w:val="0"/>
          <w:i w:val="0"/>
          <w:strike w:val="0"/>
          <w:noProof w:val="0"/>
          <w:color w:val="000000"/>
          <w:position w:val="0"/>
          <w:sz w:val="20"/>
          <w:u w:val="none"/>
          <w:vertAlign w:val="baseline"/>
        </w:rPr>
        <w:t xml:space="preserve">.) </w:t>
      </w:r>
      <w:bookmarkStart w:id="84" w:name="Bookmark_I67Y16T42HM5TV0040000400"/>
      <w:bookmarkEnd w:id="84"/>
      <w:r>
        <w:rPr>
          <w:rFonts w:ascii="arial" w:eastAsia="arial" w:hAnsi="arial" w:cs="arial"/>
          <w:b w:val="0"/>
          <w:i w:val="0"/>
          <w:strike w:val="0"/>
          <w:noProof w:val="0"/>
          <w:color w:val="000000"/>
          <w:position w:val="0"/>
          <w:sz w:val="20"/>
          <w:u w:val="none"/>
          <w:vertAlign w:val="baseline"/>
        </w:rPr>
        <w:t xml:space="preserve">The decision to grant or deny a petition under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is "committed to the sound discretion of the juvenile court, and [its] ruling should not be disturbed on appeal unless an abuse of discretion is clearly established." (</w:t>
      </w:r>
      <w:bookmarkStart w:id="85" w:name="Bookmark_I67Y16T42HM5TV0010000400"/>
      <w:bookmarkEnd w:id="85"/>
      <w:hyperlink r:id="rId13" w:history="1">
        <w:r>
          <w:rPr>
            <w:rFonts w:ascii="arial" w:eastAsia="arial" w:hAnsi="arial" w:cs="arial"/>
            <w:b w:val="0"/>
            <w:i/>
            <w:strike w:val="0"/>
            <w:noProof w:val="0"/>
            <w:color w:val="0077CC"/>
            <w:position w:val="0"/>
            <w:sz w:val="20"/>
            <w:u w:val="single"/>
            <w:vertAlign w:val="baseline"/>
          </w:rPr>
          <w:t>Stephanie M., supra</w:t>
        </w:r>
      </w:hyperlink>
      <w:hyperlink r:id="rId13" w:history="1">
        <w:r>
          <w:rPr>
            <w:rFonts w:ascii="arial" w:eastAsia="arial" w:hAnsi="arial" w:cs="arial"/>
            <w:b w:val="0"/>
            <w:i/>
            <w:strike w:val="0"/>
            <w:noProof w:val="0"/>
            <w:color w:val="0077CC"/>
            <w:position w:val="0"/>
            <w:sz w:val="20"/>
            <w:u w:val="single"/>
            <w:vertAlign w:val="baseline"/>
          </w:rPr>
          <w:t>, 7 Cal.4th at p. 318</w:t>
        </w:r>
      </w:hyperlink>
      <w:r>
        <w:rPr>
          <w:rFonts w:ascii="arial" w:eastAsia="arial" w:hAnsi="arial" w:cs="arial"/>
          <w:b w:val="0"/>
          <w:i w:val="0"/>
          <w:strike w:val="0"/>
          <w:noProof w:val="0"/>
          <w:color w:val="000000"/>
          <w:position w:val="0"/>
          <w:sz w:val="20"/>
          <w:u w:val="none"/>
          <w:vertAlign w:val="baseline"/>
        </w:rPr>
        <w:t xml:space="preserve">.) </w:t>
      </w:r>
      <w:bookmarkStart w:id="86" w:name="Bookmark_I67Y16T42HM5TV0040000400_2"/>
      <w:bookmarkEnd w:id="86"/>
      <w:bookmarkStart w:id="87" w:name="Bookmark_I67Y16T42D6MVG0010000400"/>
      <w:bookmarkEnd w:id="87"/>
      <w:r>
        <w:rPr>
          <w:rFonts w:ascii="arial" w:eastAsia="arial" w:hAnsi="arial" w:cs="arial"/>
          <w:b w:val="0"/>
          <w:i w:val="0"/>
          <w:strike w:val="0"/>
          <w:noProof w:val="0"/>
          <w:color w:val="000000"/>
          <w:position w:val="0"/>
          <w:sz w:val="20"/>
          <w:u w:val="none"/>
          <w:vertAlign w:val="baseline"/>
        </w:rPr>
        <w:t>The order will not be reversed unless the juvenile court "has exceeded the limits of legal discretion by making an arbitrary, capricious, or patently absurd determination."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When two or more inferences reasonably can be deduced from</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facts, we have no authority to reweigh the evidence or substitute our decision for that of the juvenile court. (</w:t>
      </w:r>
      <w:bookmarkStart w:id="88" w:name="Bookmark_I67Y16T42HM5TV0030000400"/>
      <w:bookmarkEnd w:id="88"/>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pp. 318-319</w:t>
        </w:r>
      </w:hyperlink>
      <w:r>
        <w:rPr>
          <w:rFonts w:ascii="arial" w:eastAsia="arial" w:hAnsi="arial" w:cs="arial"/>
          <w:b w:val="0"/>
          <w:i w:val="0"/>
          <w:strike w:val="0"/>
          <w:noProof w:val="0"/>
          <w:color w:val="000000"/>
          <w:position w:val="0"/>
          <w:sz w:val="20"/>
          <w:u w:val="none"/>
          <w:vertAlign w:val="baseline"/>
        </w:rPr>
        <w:t xml:space="preserve">.) </w:t>
      </w:r>
      <w:bookmarkStart w:id="89" w:name="Bookmark_I67Y16T42D6MVG0010000400_2"/>
      <w:bookmarkEnd w:id="89"/>
      <w:r>
        <w:rPr>
          <w:rFonts w:ascii="arial" w:eastAsia="arial" w:hAnsi="arial" w:cs="arial"/>
          <w:b w:val="0"/>
          <w:i w:val="0"/>
          <w:strike w:val="0"/>
          <w:noProof w:val="0"/>
          <w:color w:val="000000"/>
          <w:position w:val="0"/>
          <w:sz w:val="20"/>
          <w:u w:val="none"/>
          <w:vertAlign w:val="baseline"/>
        </w:rPr>
        <w:t>In other words, we shall "interfere only '"if we find that under all the evidence, viewed most favorably in support of the [juvenile] court's action, no judge could reasonably have made the order that he did." '" (</w:t>
      </w:r>
      <w:bookmarkStart w:id="90" w:name="Bookmark_I67Y16T42HM5TV0050000400"/>
      <w:bookmarkEnd w:id="90"/>
      <w:hyperlink r:id="rId16" w:history="1">
        <w:r>
          <w:rPr>
            <w:rFonts w:ascii="arial" w:eastAsia="arial" w:hAnsi="arial" w:cs="arial"/>
            <w:b w:val="0"/>
            <w:i/>
            <w:strike w:val="0"/>
            <w:noProof w:val="0"/>
            <w:color w:val="0077CC"/>
            <w:position w:val="0"/>
            <w:sz w:val="20"/>
            <w:u w:val="single"/>
            <w:vertAlign w:val="baseline"/>
          </w:rPr>
          <w:t>In re Robert L.</w:t>
        </w:r>
      </w:hyperlink>
      <w:hyperlink r:id="rId16" w:history="1">
        <w:r>
          <w:rPr>
            <w:rFonts w:ascii="arial" w:eastAsia="arial" w:hAnsi="arial" w:cs="arial"/>
            <w:b w:val="0"/>
            <w:i/>
            <w:strike w:val="0"/>
            <w:noProof w:val="0"/>
            <w:color w:val="0077CC"/>
            <w:position w:val="0"/>
            <w:sz w:val="20"/>
            <w:u w:val="single"/>
            <w:vertAlign w:val="baseline"/>
          </w:rPr>
          <w:t xml:space="preserve"> (1993) 21 Cal.App.4th 1057, 1067, 24 Cal. Rptr. 2d 654</w:t>
        </w:r>
      </w:hyperlink>
      <w:r>
        <w:rPr>
          <w:rFonts w:ascii="arial" w:eastAsia="arial" w:hAnsi="arial" w:cs="arial"/>
          <w:b w:val="0"/>
          <w:i w:val="0"/>
          <w:strike w:val="0"/>
          <w:noProof w:val="0"/>
          <w:color w:val="000000"/>
          <w:position w:val="0"/>
          <w:sz w:val="20"/>
          <w:u w:val="none"/>
          <w:vertAlign w:val="baseline"/>
        </w:rPr>
        <w:t xml:space="preserve">.) On the record before us, we conclude the juvenile court did not abuse its discretion in denying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w:t>
      </w:r>
    </w:p>
    <w:p>
      <w:pPr>
        <w:keepNext w:val="0"/>
        <w:spacing w:before="200" w:after="0" w:line="260" w:lineRule="atLeast"/>
        <w:ind w:left="0" w:right="0" w:firstLine="0"/>
        <w:jc w:val="both"/>
      </w:pPr>
      <w:bookmarkStart w:id="91" w:name="Bookmark_para_46"/>
      <w:bookmarkEnd w:id="91"/>
      <w:bookmarkStart w:id="92" w:name="Bookmark_I67Y16T42D6MVG0030000400"/>
      <w:bookmarkEnd w:id="92"/>
      <w:bookmarkStart w:id="93" w:name="Bookmark_I67Y16T42D6MVG0050000400"/>
      <w:bookmarkEnd w:id="93"/>
      <w:r>
        <w:rPr>
          <w:rFonts w:ascii="arial" w:eastAsia="arial" w:hAnsi="arial" w:cs="arial"/>
          <w:b w:val="0"/>
          <w:i w:val="0"/>
          <w:strike w:val="0"/>
          <w:noProof w:val="0"/>
          <w:color w:val="000000"/>
          <w:position w:val="0"/>
          <w:sz w:val="20"/>
          <w:u w:val="none"/>
          <w:vertAlign w:val="baseline"/>
        </w:rPr>
        <w:t xml:space="preserve">To prevail on her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Mother must establish a "substantial" change of circumstances. </w:t>
      </w:r>
      <w:bookmarkStart w:id="94" w:name="Bookmark_I67Y16T42HM5V10040000400"/>
      <w:bookmarkEnd w:id="94"/>
      <w:r>
        <w:rPr>
          <w:rFonts w:ascii="arial" w:eastAsia="arial" w:hAnsi="arial" w:cs="arial"/>
          <w:b w:val="0"/>
          <w:i w:val="0"/>
          <w:strike w:val="0"/>
          <w:noProof w:val="0"/>
          <w:color w:val="000000"/>
          <w:position w:val="0"/>
          <w:sz w:val="20"/>
          <w:u w:val="none"/>
          <w:vertAlign w:val="baseline"/>
        </w:rPr>
        <w:t>(</w:t>
      </w:r>
      <w:bookmarkStart w:id="95" w:name="Bookmark_I67Y16T42D6MVG0020000400"/>
      <w:bookmarkEnd w:id="95"/>
      <w:hyperlink r:id="rId17" w:history="1">
        <w:r>
          <w:rPr>
            <w:rFonts w:ascii="arial" w:eastAsia="arial" w:hAnsi="arial" w:cs="arial"/>
            <w:b w:val="0"/>
            <w:i/>
            <w:strike w:val="0"/>
            <w:noProof w:val="0"/>
            <w:color w:val="0077CC"/>
            <w:position w:val="0"/>
            <w:sz w:val="20"/>
            <w:u w:val="single"/>
            <w:vertAlign w:val="baseline"/>
          </w:rPr>
          <w:t>In re Ernesto R.</w:t>
        </w:r>
      </w:hyperlink>
      <w:hyperlink r:id="rId17" w:history="1">
        <w:r>
          <w:rPr>
            <w:rFonts w:ascii="arial" w:eastAsia="arial" w:hAnsi="arial" w:cs="arial"/>
            <w:b w:val="0"/>
            <w:i/>
            <w:strike w:val="0"/>
            <w:noProof w:val="0"/>
            <w:color w:val="0077CC"/>
            <w:position w:val="0"/>
            <w:sz w:val="20"/>
            <w:u w:val="single"/>
            <w:vertAlign w:val="baseline"/>
          </w:rPr>
          <w:t xml:space="preserve"> (2014) 230 Cal.App.4th 219, 223, 178 Cal. Rptr. 3d 451 (</w:t>
        </w:r>
      </w:hyperlink>
      <w:hyperlink r:id="rId17" w:history="1">
        <w:r>
          <w:rPr>
            <w:rFonts w:ascii="arial" w:eastAsia="arial" w:hAnsi="arial" w:cs="arial"/>
            <w:b w:val="0"/>
            <w:i/>
            <w:strike w:val="0"/>
            <w:noProof w:val="0"/>
            <w:color w:val="0077CC"/>
            <w:position w:val="0"/>
            <w:sz w:val="20"/>
            <w:u w:val="single"/>
            <w:vertAlign w:val="baseline"/>
          </w:rPr>
          <w:t>Ernesto R.</w:t>
        </w:r>
      </w:hyperlink>
      <w:hyperlink r:id="rId1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96" w:name="Bookmark_I67Y16T42SF8TS0010000400"/>
      <w:bookmarkEnd w:id="96"/>
      <w:r>
        <w:rPr>
          <w:rFonts w:ascii="arial" w:eastAsia="arial" w:hAnsi="arial" w:cs="arial"/>
          <w:b w:val="0"/>
          <w:i w:val="0"/>
          <w:strike w:val="0"/>
          <w:noProof w:val="0"/>
          <w:color w:val="000000"/>
          <w:position w:val="0"/>
          <w:sz w:val="20"/>
          <w:u w:val="none"/>
          <w:vertAlign w:val="baseline"/>
        </w:rPr>
        <w:t>The change must be genuine and " 'of such significant nature that it requires a setting aside or modification of the challenged prior order.'" (</w:t>
      </w:r>
      <w:bookmarkStart w:id="97" w:name="Bookmark_I67Y16T42D6MVG0040000400"/>
      <w:bookmarkEnd w:id="97"/>
      <w:hyperlink r:id="rId18" w:history="1">
        <w:r>
          <w:rPr>
            <w:rFonts w:ascii="arial" w:eastAsia="arial" w:hAnsi="arial" w:cs="arial"/>
            <w:b w:val="0"/>
            <w:i/>
            <w:strike w:val="0"/>
            <w:noProof w:val="0"/>
            <w:color w:val="0077CC"/>
            <w:position w:val="0"/>
            <w:sz w:val="20"/>
            <w:u w:val="single"/>
            <w:vertAlign w:val="baseline"/>
          </w:rPr>
          <w:t>In re Mickel O.</w:t>
        </w:r>
      </w:hyperlink>
      <w:hyperlink r:id="rId18" w:history="1">
        <w:r>
          <w:rPr>
            <w:rFonts w:ascii="arial" w:eastAsia="arial" w:hAnsi="arial" w:cs="arial"/>
            <w:b w:val="0"/>
            <w:i/>
            <w:strike w:val="0"/>
            <w:noProof w:val="0"/>
            <w:color w:val="0077CC"/>
            <w:position w:val="0"/>
            <w:sz w:val="20"/>
            <w:u w:val="single"/>
            <w:vertAlign w:val="baseline"/>
          </w:rPr>
          <w:t xml:space="preserve"> (2011) 197 Cal.App.4th 586, 615, 130 Cal. Rptr. 3d 46</w:t>
        </w:r>
      </w:hyperlink>
      <w:r>
        <w:rPr>
          <w:rFonts w:ascii="arial" w:eastAsia="arial" w:hAnsi="arial" w:cs="arial"/>
          <w:b w:val="0"/>
          <w:i w:val="0"/>
          <w:strike w:val="0"/>
          <w:noProof w:val="0"/>
          <w:color w:val="000000"/>
          <w:position w:val="0"/>
          <w:sz w:val="20"/>
          <w:u w:val="none"/>
          <w:vertAlign w:val="baseline"/>
        </w:rPr>
        <w:t xml:space="preserve">; accord </w:t>
      </w:r>
      <w:bookmarkStart w:id="98" w:name="Bookmark_I67Y16T42HM5V10010000400"/>
      <w:bookmarkEnd w:id="98"/>
      <w:hyperlink r:id="rId19" w:history="1">
        <w:r>
          <w:rPr>
            <w:rFonts w:ascii="arial" w:eastAsia="arial" w:hAnsi="arial" w:cs="arial"/>
            <w:b w:val="0"/>
            <w:i/>
            <w:strike w:val="0"/>
            <w:noProof w:val="0"/>
            <w:color w:val="0077CC"/>
            <w:position w:val="0"/>
            <w:sz w:val="20"/>
            <w:u w:val="single"/>
            <w:vertAlign w:val="baseline"/>
          </w:rPr>
          <w:t>In re A.A.</w:t>
        </w:r>
      </w:hyperlink>
      <w:hyperlink r:id="rId19" w:history="1">
        <w:r>
          <w:rPr>
            <w:rFonts w:ascii="arial" w:eastAsia="arial" w:hAnsi="arial" w:cs="arial"/>
            <w:b w:val="0"/>
            <w:i/>
            <w:strike w:val="0"/>
            <w:noProof w:val="0"/>
            <w:color w:val="0077CC"/>
            <w:position w:val="0"/>
            <w:sz w:val="20"/>
            <w:u w:val="single"/>
            <w:vertAlign w:val="baseline"/>
          </w:rPr>
          <w:t xml:space="preserve"> (2012) 203 Cal.App.4th 597, 611-612, 136 Cal. Rptr. 3d 912</w:t>
        </w:r>
      </w:hyperlink>
      <w:r>
        <w:rPr>
          <w:rFonts w:ascii="arial" w:eastAsia="arial" w:hAnsi="arial" w:cs="arial"/>
          <w:b w:val="0"/>
          <w:i w:val="0"/>
          <w:strike w:val="0"/>
          <w:noProof w:val="0"/>
          <w:color w:val="000000"/>
          <w:position w:val="0"/>
          <w:sz w:val="20"/>
          <w:u w:val="none"/>
          <w:vertAlign w:val="baseline"/>
        </w:rPr>
        <w:t xml:space="preserve">.) </w:t>
      </w:r>
      <w:bookmarkStart w:id="99" w:name="Bookmark_I67Y16T42SF8TS0010000400_2"/>
      <w:bookmarkEnd w:id="99"/>
      <w:bookmarkStart w:id="100" w:name="Bookmark_I67Y16T42HM5V10040000400_2"/>
      <w:bookmarkEnd w:id="100"/>
      <w:bookmarkStart w:id="101" w:name="Bookmark_I67Y16T42SF8TS0030000400"/>
      <w:bookmarkEnd w:id="101"/>
      <w:r>
        <w:rPr>
          <w:rFonts w:ascii="arial" w:eastAsia="arial" w:hAnsi="arial" w:cs="arial"/>
          <w:b w:val="0"/>
          <w:i w:val="0"/>
          <w:strike w:val="0"/>
          <w:noProof w:val="0"/>
          <w:color w:val="000000"/>
          <w:position w:val="0"/>
          <w:sz w:val="20"/>
          <w:u w:val="none"/>
          <w:vertAlign w:val="baseline"/>
        </w:rPr>
        <w:t>Not "every change in circumstance can justify modification of a prior order." (</w:t>
      </w:r>
      <w:bookmarkStart w:id="102" w:name="Bookmark_I67Y16T42HM5V10030000400"/>
      <w:bookmarkEnd w:id="102"/>
      <w:hyperlink r:id="rId19" w:history="1">
        <w:r>
          <w:rPr>
            <w:rFonts w:ascii="arial" w:eastAsia="arial" w:hAnsi="arial" w:cs="arial"/>
            <w:b w:val="0"/>
            <w:i/>
            <w:strike w:val="0"/>
            <w:noProof w:val="0"/>
            <w:color w:val="0077CC"/>
            <w:position w:val="0"/>
            <w:sz w:val="20"/>
            <w:u w:val="single"/>
            <w:vertAlign w:val="baseline"/>
          </w:rPr>
          <w:t>In re A.A.</w:t>
        </w:r>
      </w:hyperlink>
      <w:hyperlink r:id="rId19" w:history="1">
        <w:r>
          <w:rPr>
            <w:rFonts w:ascii="arial" w:eastAsia="arial" w:hAnsi="arial" w:cs="arial"/>
            <w:b w:val="0"/>
            <w:i/>
            <w:strike w:val="0"/>
            <w:noProof w:val="0"/>
            <w:color w:val="0077CC"/>
            <w:position w:val="0"/>
            <w:sz w:val="20"/>
            <w:u w:val="single"/>
            <w:vertAlign w:val="baseline"/>
          </w:rPr>
          <w:t>, at p. 612</w:t>
        </w:r>
      </w:hyperlink>
      <w:r>
        <w:rPr>
          <w:rFonts w:ascii="arial" w:eastAsia="arial" w:hAnsi="arial" w:cs="arial"/>
          <w:b w:val="0"/>
          <w:i w:val="0"/>
          <w:strike w:val="0"/>
          <w:noProof w:val="0"/>
          <w:color w:val="000000"/>
          <w:position w:val="0"/>
          <w:sz w:val="20"/>
          <w:u w:val="none"/>
          <w:vertAlign w:val="baseline"/>
        </w:rPr>
        <w:t xml:space="preserve">.) </w:t>
      </w:r>
      <w:bookmarkStart w:id="103" w:name="Bookmark_I67Y16T42SF8TS0030000400_2"/>
      <w:bookmarkEnd w:id="103"/>
      <w:r>
        <w:rPr>
          <w:rFonts w:ascii="arial" w:eastAsia="arial" w:hAnsi="arial" w:cs="arial"/>
          <w:b w:val="0"/>
          <w:i w:val="0"/>
          <w:strike w:val="0"/>
          <w:noProof w:val="0"/>
          <w:color w:val="000000"/>
          <w:position w:val="0"/>
          <w:sz w:val="20"/>
          <w:u w:val="none"/>
          <w:vertAlign w:val="baseline"/>
        </w:rPr>
        <w:t>Rather, "the problem that initially brought the child within the dependency system must be removed or ameliorated." (</w:t>
      </w:r>
      <w:bookmarkStart w:id="104" w:name="Bookmark_I67Y16T42HM5V10050000400"/>
      <w:bookmarkEnd w:id="104"/>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pp. 611-612</w:t>
        </w:r>
      </w:hyperlink>
      <w:r>
        <w:rPr>
          <w:rFonts w:ascii="arial" w:eastAsia="arial" w:hAnsi="arial" w:cs="arial"/>
          <w:b w:val="0"/>
          <w:i w:val="0"/>
          <w:strike w:val="0"/>
          <w:noProof w:val="0"/>
          <w:color w:val="000000"/>
          <w:position w:val="0"/>
          <w:sz w:val="20"/>
          <w:u w:val="none"/>
          <w:vertAlign w:val="baseline"/>
        </w:rPr>
        <w:t xml:space="preserve">.) </w:t>
      </w:r>
      <w:bookmarkStart w:id="105" w:name="Bookmark_I67Y16T42SF8TS0030000400_3"/>
      <w:bookmarkEnd w:id="105"/>
      <w:r>
        <w:rPr>
          <w:rFonts w:ascii="arial" w:eastAsia="arial" w:hAnsi="arial" w:cs="arial"/>
          <w:b w:val="0"/>
          <w:i w:val="0"/>
          <w:strike w:val="0"/>
          <w:noProof w:val="0"/>
          <w:color w:val="000000"/>
          <w:position w:val="0"/>
          <w:sz w:val="20"/>
          <w:u w:val="none"/>
          <w:vertAlign w:val="baseline"/>
        </w:rPr>
        <w:t>As some courts have put it, the circumstances must be "changed," not merely "changing." (</w:t>
      </w:r>
      <w:bookmarkStart w:id="106" w:name="Bookmark_I67Y16T42SF8TS0020000400"/>
      <w:bookmarkEnd w:id="106"/>
      <w:hyperlink r:id="rId20" w:history="1">
        <w:r>
          <w:rPr>
            <w:rFonts w:ascii="arial" w:eastAsia="arial" w:hAnsi="arial" w:cs="arial"/>
            <w:b w:val="0"/>
            <w:i/>
            <w:strike w:val="0"/>
            <w:noProof w:val="0"/>
            <w:color w:val="0077CC"/>
            <w:position w:val="0"/>
            <w:sz w:val="20"/>
            <w:u w:val="single"/>
            <w:vertAlign w:val="baseline"/>
          </w:rPr>
          <w:t>In re N.F.</w:t>
        </w:r>
      </w:hyperlink>
      <w:hyperlink r:id="rId20" w:history="1">
        <w:r>
          <w:rPr>
            <w:rFonts w:ascii="arial" w:eastAsia="arial" w:hAnsi="arial" w:cs="arial"/>
            <w:b w:val="0"/>
            <w:i/>
            <w:strike w:val="0"/>
            <w:noProof w:val="0"/>
            <w:color w:val="0077CC"/>
            <w:position w:val="0"/>
            <w:sz w:val="20"/>
            <w:u w:val="single"/>
            <w:vertAlign w:val="baseline"/>
          </w:rPr>
          <w:t xml:space="preserve"> (2021) 68 Cal.App.5th 112, 121, fn. 3, 282 Cal. Rptr. 3d 883</w:t>
        </w:r>
      </w:hyperlink>
      <w:r>
        <w:rPr>
          <w:rFonts w:ascii="arial" w:eastAsia="arial" w:hAnsi="arial" w:cs="arial"/>
          <w:b w:val="0"/>
          <w:i w:val="0"/>
          <w:strike w:val="0"/>
          <w:noProof w:val="0"/>
          <w:color w:val="000000"/>
          <w:position w:val="0"/>
          <w:sz w:val="20"/>
          <w:u w:val="none"/>
          <w:vertAlign w:val="baseline"/>
        </w:rPr>
        <w:t>.) Although "[t]he case law's references to 'changed' and merely 'changing' circumstances are another way of describing the distinction . . . between changes that are material and those that are not," however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it is expressed, "the point is that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requires a change that is relevant and substantial (rather than irrelevant or de minimis) when considered in light of all of the circumstances of the case."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2" w:name="Bookmark_para_47"/>
      <w:bookmarkEnd w:id="112"/>
      <w:r>
        <w:rPr>
          <w:rFonts w:ascii="arial" w:eastAsia="arial" w:hAnsi="arial" w:cs="arial"/>
          <w:b w:val="0"/>
          <w:i w:val="0"/>
          <w:strike w:val="0"/>
          <w:noProof w:val="0"/>
          <w:color w:val="000000"/>
          <w:position w:val="0"/>
          <w:sz w:val="20"/>
          <w:u w:val="none"/>
          <w:vertAlign w:val="baseline"/>
        </w:rPr>
        <w:t xml:space="preserve">Here, Mother takes no issue on appeal with the juvenile court's denial of her request for supervised, </w:t>
      </w:r>
      <w:r>
        <w:rPr>
          <w:rFonts w:ascii="arial" w:eastAsia="arial" w:hAnsi="arial" w:cs="arial"/>
          <w:b w:val="0"/>
          <w:i/>
          <w:strike w:val="0"/>
          <w:noProof w:val="0"/>
          <w:color w:val="000000"/>
          <w:position w:val="0"/>
          <w:sz w:val="20"/>
          <w:u w:val="none"/>
          <w:vertAlign w:val="baseline"/>
        </w:rPr>
        <w:t>in-person</w:t>
      </w:r>
      <w:r>
        <w:rPr>
          <w:rFonts w:ascii="arial" w:eastAsia="arial" w:hAnsi="arial" w:cs="arial"/>
          <w:b w:val="0"/>
          <w:i w:val="0"/>
          <w:strike w:val="0"/>
          <w:noProof w:val="0"/>
          <w:color w:val="000000"/>
          <w:position w:val="0"/>
          <w:sz w:val="20"/>
          <w:u w:val="none"/>
          <w:vertAlign w:val="baseline"/>
        </w:rPr>
        <w:t xml:space="preserve"> visitation with J.M. Rather, she complains the court should have granted her supervised, </w:t>
      </w:r>
      <w:r>
        <w:rPr>
          <w:rFonts w:ascii="arial" w:eastAsia="arial" w:hAnsi="arial" w:cs="arial"/>
          <w:b w:val="0"/>
          <w:i/>
          <w:strike w:val="0"/>
          <w:noProof w:val="0"/>
          <w:color w:val="000000"/>
          <w:position w:val="0"/>
          <w:sz w:val="20"/>
          <w:u w:val="none"/>
          <w:vertAlign w:val="baseline"/>
        </w:rPr>
        <w:t>virtual</w:t>
      </w:r>
      <w:r>
        <w:rPr>
          <w:rFonts w:ascii="arial" w:eastAsia="arial" w:hAnsi="arial" w:cs="arial"/>
          <w:b w:val="0"/>
          <w:i w:val="0"/>
          <w:strike w:val="0"/>
          <w:noProof w:val="0"/>
          <w:color w:val="000000"/>
          <w:position w:val="0"/>
          <w:sz w:val="20"/>
          <w:u w:val="none"/>
          <w:vertAlign w:val="baseline"/>
        </w:rPr>
        <w:t xml:space="preserve"> visitation. But nowhere in her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or at any point during the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evidentiary hearing did Mother request virtual visitation, despite her counsel suggesting other specific visitation limitations including supervision by a neutral third party. On the contrary, the parties' oral argument and testimony at the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evidentiary hearing focused on the risks and benefits of J.M. having supervised "face-to-face contact" with Mother, and Mother's own testimony often focused on the benefit to J.M. of "in person" contact with her.</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114" w:name="Bookmark_para_48"/>
      <w:bookmarkEnd w:id="114"/>
      <w:bookmarkStart w:id="115" w:name="Bookmark_I67Y16T428T4060040000400"/>
      <w:bookmarkEnd w:id="115"/>
      <w:bookmarkStart w:id="116" w:name="Bookmark_I67Y16T52HM5V70010000400"/>
      <w:bookmarkEnd w:id="116"/>
      <w:r>
        <w:rPr>
          <w:rFonts w:ascii="arial" w:eastAsia="arial" w:hAnsi="arial" w:cs="arial"/>
          <w:b w:val="0"/>
          <w:i w:val="0"/>
          <w:strike w:val="0"/>
          <w:noProof w:val="0"/>
          <w:color w:val="000000"/>
          <w:position w:val="0"/>
          <w:sz w:val="20"/>
          <w:u w:val="none"/>
          <w:vertAlign w:val="baseline"/>
        </w:rPr>
        <w:t>We agree with the Agency that Mother's failure to request virtual visitation with J.M. at the hearing, a request that she raises for the first time on appeal, forfeited any asserted error. (</w:t>
      </w:r>
      <w:bookmarkStart w:id="117" w:name="Bookmark_I67Y16T428T4060030000400"/>
      <w:bookmarkEnd w:id="117"/>
      <w:hyperlink r:id="rId21" w:history="1">
        <w:r>
          <w:rPr>
            <w:rFonts w:ascii="arial" w:eastAsia="arial" w:hAnsi="arial" w:cs="arial"/>
            <w:b w:val="0"/>
            <w:i/>
            <w:strike w:val="0"/>
            <w:noProof w:val="0"/>
            <w:color w:val="0077CC"/>
            <w:position w:val="0"/>
            <w:sz w:val="20"/>
            <w:u w:val="single"/>
            <w:vertAlign w:val="baseline"/>
          </w:rPr>
          <w:t>In re S.B.</w:t>
        </w:r>
      </w:hyperlink>
      <w:hyperlink r:id="rId21" w:history="1">
        <w:r>
          <w:rPr>
            <w:rFonts w:ascii="arial" w:eastAsia="arial" w:hAnsi="arial" w:cs="arial"/>
            <w:b w:val="0"/>
            <w:i/>
            <w:strike w:val="0"/>
            <w:noProof w:val="0"/>
            <w:color w:val="0077CC"/>
            <w:position w:val="0"/>
            <w:sz w:val="20"/>
            <w:u w:val="single"/>
            <w:vertAlign w:val="baseline"/>
          </w:rPr>
          <w:t xml:space="preserve"> (2004) 32 Cal.4th 1287, 1293, 13 Cal. Rptr. 3d 786, 90 P.3d 746</w:t>
        </w:r>
      </w:hyperlink>
      <w:r>
        <w:rPr>
          <w:rFonts w:ascii="arial" w:eastAsia="arial" w:hAnsi="arial" w:cs="arial"/>
          <w:b w:val="0"/>
          <w:i w:val="0"/>
          <w:strike w:val="0"/>
          <w:noProof w:val="0"/>
          <w:color w:val="000000"/>
          <w:position w:val="0"/>
          <w:sz w:val="20"/>
          <w:u w:val="none"/>
          <w:vertAlign w:val="baseline"/>
        </w:rPr>
        <w:t xml:space="preserve"> [A "reviewing court ordinarily will not consider a challenge to a ruling if</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 objection could have been but was not made in the trial court. . . . The purpose of this rule is to encourage parties to bring errors to the attention of the trial court, so that they may be corrected."]; </w:t>
      </w:r>
      <w:bookmarkStart w:id="118" w:name="Bookmark_I67Y16T428T4060050000400"/>
      <w:bookmarkEnd w:id="118"/>
      <w:hyperlink r:id="rId22" w:history="1">
        <w:r>
          <w:rPr>
            <w:rFonts w:ascii="arial" w:eastAsia="arial" w:hAnsi="arial" w:cs="arial"/>
            <w:b w:val="0"/>
            <w:i/>
            <w:strike w:val="0"/>
            <w:noProof w:val="0"/>
            <w:color w:val="0077CC"/>
            <w:position w:val="0"/>
            <w:sz w:val="20"/>
            <w:u w:val="single"/>
            <w:vertAlign w:val="baseline"/>
          </w:rPr>
          <w:t>In re Anthony P.</w:t>
        </w:r>
      </w:hyperlink>
      <w:hyperlink r:id="rId22" w:history="1">
        <w:r>
          <w:rPr>
            <w:rFonts w:ascii="arial" w:eastAsia="arial" w:hAnsi="arial" w:cs="arial"/>
            <w:b w:val="0"/>
            <w:i/>
            <w:strike w:val="0"/>
            <w:noProof w:val="0"/>
            <w:color w:val="0077CC"/>
            <w:position w:val="0"/>
            <w:sz w:val="20"/>
            <w:u w:val="single"/>
            <w:vertAlign w:val="baseline"/>
          </w:rPr>
          <w:t xml:space="preserve"> (1995) 39 Cal.App.4th 635, 640-642, 46 Cal. Rptr. 2d 107</w:t>
        </w:r>
      </w:hyperlink>
      <w:r>
        <w:rPr>
          <w:rFonts w:ascii="arial" w:eastAsia="arial" w:hAnsi="arial" w:cs="arial"/>
          <w:b w:val="0"/>
          <w:i w:val="0"/>
          <w:strike w:val="0"/>
          <w:noProof w:val="0"/>
          <w:color w:val="000000"/>
          <w:position w:val="0"/>
          <w:sz w:val="20"/>
          <w:u w:val="none"/>
          <w:vertAlign w:val="baseline"/>
        </w:rPr>
        <w:t xml:space="preserve"> [appellant's failure to raise sibling visitation claim in trial court forfeited it on appeal]; </w:t>
      </w:r>
      <w:bookmarkStart w:id="119" w:name="Bookmark_I67Y16T52HM5V70020000400"/>
      <w:bookmarkEnd w:id="119"/>
      <w:hyperlink r:id="rId23" w:history="1">
        <w:r>
          <w:rPr>
            <w:rFonts w:ascii="arial" w:eastAsia="arial" w:hAnsi="arial" w:cs="arial"/>
            <w:b w:val="0"/>
            <w:i/>
            <w:strike w:val="0"/>
            <w:noProof w:val="0"/>
            <w:color w:val="0077CC"/>
            <w:position w:val="0"/>
            <w:sz w:val="20"/>
            <w:u w:val="single"/>
            <w:vertAlign w:val="baseline"/>
          </w:rPr>
          <w:t>In re Daniel D.</w:t>
        </w:r>
      </w:hyperlink>
      <w:hyperlink r:id="rId23" w:history="1">
        <w:r>
          <w:rPr>
            <w:rFonts w:ascii="arial" w:eastAsia="arial" w:hAnsi="arial" w:cs="arial"/>
            <w:b w:val="0"/>
            <w:i/>
            <w:strike w:val="0"/>
            <w:noProof w:val="0"/>
            <w:color w:val="0077CC"/>
            <w:position w:val="0"/>
            <w:sz w:val="20"/>
            <w:u w:val="single"/>
            <w:vertAlign w:val="baseline"/>
          </w:rPr>
          <w:t xml:space="preserve"> (1994) 24 Cal.App.4th 1823, 1831, 30 Cal. Rptr. 2d 245</w:t>
        </w:r>
      </w:hyperlink>
      <w:r>
        <w:rPr>
          <w:rFonts w:ascii="arial" w:eastAsia="arial" w:hAnsi="arial" w:cs="arial"/>
          <w:b w:val="0"/>
          <w:i w:val="0"/>
          <w:strike w:val="0"/>
          <w:noProof w:val="0"/>
          <w:color w:val="000000"/>
          <w:position w:val="0"/>
          <w:sz w:val="20"/>
          <w:u w:val="none"/>
          <w:vertAlign w:val="baseline"/>
        </w:rPr>
        <w:t xml:space="preserve"> [by only seeking placement of child with herself, mother waived right on appeal to contend child should instead be placed with grandmother].)</w:t>
      </w:r>
    </w:p>
    <w:p>
      <w:pPr>
        <w:keepNext w:val="0"/>
        <w:spacing w:before="200" w:after="0" w:line="260" w:lineRule="atLeast"/>
        <w:ind w:left="0" w:right="0" w:firstLine="0"/>
        <w:jc w:val="both"/>
      </w:pPr>
      <w:bookmarkStart w:id="120" w:name="Bookmark_para_49"/>
      <w:bookmarkEnd w:id="120"/>
      <w:r>
        <w:rPr>
          <w:rFonts w:ascii="arial" w:eastAsia="arial" w:hAnsi="arial" w:cs="arial"/>
          <w:b w:val="0"/>
          <w:i w:val="0"/>
          <w:strike w:val="0"/>
          <w:noProof w:val="0"/>
          <w:color w:val="000000"/>
          <w:position w:val="0"/>
          <w:sz w:val="20"/>
          <w:u w:val="none"/>
          <w:vertAlign w:val="baseline"/>
        </w:rPr>
        <w:t xml:space="preserve">Even if we excused the forfeiture and considered the merits of Mother's claim, we would conclude the juvenile court did not abuse its discretion in denying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As changed circumstances, Mother emphasized her 17 months of sobriety, completion of drug treatment programs, sponsor, and attendance at 12-step meetings. She asserted her structured substance abuse treatment and aftercare made her continued sobriety more likely compared to her past treatment, which lacked an aftercare component. The juvenile court acknowledged the length of Mother's sobriety and the positive reports about her progress. But it questioned Mother's ability to maintain that sobriety outside of probation and without the court's monitoring, particularly when considering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Mother's extensive substance abuse history, her past relapse after completing an inpatient program, her relapse while pregnant with J.M., and her most recent relapse while incarcerated.</w:t>
      </w:r>
    </w:p>
    <w:p>
      <w:pPr>
        <w:keepNext w:val="0"/>
        <w:spacing w:before="200" w:after="0" w:line="260" w:lineRule="atLeast"/>
        <w:ind w:left="0" w:right="0" w:firstLine="0"/>
        <w:jc w:val="both"/>
      </w:pPr>
      <w:bookmarkStart w:id="121" w:name="Bookmark_para_50"/>
      <w:bookmarkEnd w:id="121"/>
      <w:bookmarkStart w:id="122" w:name="Bookmark_I67Y16T52HM5V70050000400"/>
      <w:bookmarkEnd w:id="122"/>
      <w:r>
        <w:rPr>
          <w:rFonts w:ascii="arial" w:eastAsia="arial" w:hAnsi="arial" w:cs="arial"/>
          <w:b w:val="0"/>
          <w:i w:val="0"/>
          <w:strike w:val="0"/>
          <w:noProof w:val="0"/>
          <w:color w:val="000000"/>
          <w:position w:val="0"/>
          <w:sz w:val="20"/>
          <w:u w:val="none"/>
          <w:vertAlign w:val="baseline"/>
        </w:rPr>
        <w:t xml:space="preserve">Although Mother's efforts are laudable, the juvenile court reasonably concluded that within the context of her repeated relapses and lengthy substance abuse history, her relatively recent sobriety while on probation did not establish that the protective issue that led to dependency had been "removed," or "ameliorated" to such a degree as to constitute changed circumstances necessary to modify the no-contact order. (See </w:t>
      </w:r>
      <w:bookmarkStart w:id="123" w:name="Bookmark_I67Y16T52HM5V70040000400"/>
      <w:bookmarkEnd w:id="123"/>
      <w:hyperlink r:id="rId19" w:history="1">
        <w:r>
          <w:rPr>
            <w:rFonts w:ascii="arial" w:eastAsia="arial" w:hAnsi="arial" w:cs="arial"/>
            <w:b w:val="0"/>
            <w:i/>
            <w:strike w:val="0"/>
            <w:noProof w:val="0"/>
            <w:color w:val="0077CC"/>
            <w:position w:val="0"/>
            <w:sz w:val="20"/>
            <w:u w:val="single"/>
            <w:vertAlign w:val="baseline"/>
          </w:rPr>
          <w:t>In re A.A., supra</w:t>
        </w:r>
      </w:hyperlink>
      <w:hyperlink r:id="rId19" w:history="1">
        <w:r>
          <w:rPr>
            <w:rFonts w:ascii="arial" w:eastAsia="arial" w:hAnsi="arial" w:cs="arial"/>
            <w:b w:val="0"/>
            <w:i/>
            <w:strike w:val="0"/>
            <w:noProof w:val="0"/>
            <w:color w:val="0077CC"/>
            <w:position w:val="0"/>
            <w:sz w:val="20"/>
            <w:u w:val="single"/>
            <w:vertAlign w:val="baseline"/>
          </w:rPr>
          <w:t>, 203 Cal.App.4th at pp. 611-612</w:t>
        </w:r>
      </w:hyperlink>
      <w:r>
        <w:rPr>
          <w:rFonts w:ascii="arial" w:eastAsia="arial" w:hAnsi="arial" w:cs="arial"/>
          <w:b w:val="0"/>
          <w:i w:val="0"/>
          <w:strike w:val="0"/>
          <w:noProof w:val="0"/>
          <w:color w:val="000000"/>
          <w:position w:val="0"/>
          <w:sz w:val="20"/>
          <w:u w:val="none"/>
          <w:vertAlign w:val="baseline"/>
        </w:rPr>
        <w:t xml:space="preserve">.) Mother, who was 34 years old at the time of the hearing, admitted she had struggled with drug addiction since she was 17 and that even after treatment and longer periods of sobriety of up to nine months, she had relapsed, including in the last two weeks of her pregnancy with J.M. Moreover, Mother had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and used fentanyl even while under the controlled setting of incarceration in March 2021, and the juvenile court noted the inconsistencies between her prior statements to the Agency and her testimony at the hearing about her sobriety and treatment history.</w:t>
      </w:r>
    </w:p>
    <w:p>
      <w:pPr>
        <w:keepNext w:val="0"/>
        <w:spacing w:before="240" w:after="0" w:line="260" w:lineRule="atLeast"/>
        <w:ind w:left="0" w:right="0" w:firstLine="0"/>
        <w:jc w:val="both"/>
      </w:pPr>
      <w:bookmarkStart w:id="124" w:name="Bookmark_para_51"/>
      <w:bookmarkEnd w:id="124"/>
      <w:r>
        <w:rPr>
          <w:rFonts w:ascii="arial" w:eastAsia="arial" w:hAnsi="arial" w:cs="arial"/>
          <w:b w:val="0"/>
          <w:i w:val="0"/>
          <w:strike w:val="0"/>
          <w:noProof w:val="0"/>
          <w:color w:val="000000"/>
          <w:position w:val="0"/>
          <w:sz w:val="20"/>
          <w:u w:val="none"/>
          <w:vertAlign w:val="baseline"/>
        </w:rPr>
        <w:t>Mother contends 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appeal that she is "committed" to and "proactive" about her sobriety this time, as evidenced by her testimony and the positive reports about her progress. She suggests she will not relapse, in contrast to previous periods of sobriety, because she is using a 12-step program and has aftercare following her inpatient care, none of which she had before. </w:t>
      </w:r>
      <w:bookmarkStart w:id="125" w:name="Bookmark_I67Y16T52D6MVX0020000400"/>
      <w:bookmarkEnd w:id="125"/>
      <w:r>
        <w:rPr>
          <w:rFonts w:ascii="arial" w:eastAsia="arial" w:hAnsi="arial" w:cs="arial"/>
          <w:b w:val="0"/>
          <w:i w:val="0"/>
          <w:strike w:val="0"/>
          <w:noProof w:val="0"/>
          <w:color w:val="000000"/>
          <w:position w:val="0"/>
          <w:sz w:val="20"/>
          <w:u w:val="none"/>
          <w:vertAlign w:val="baseline"/>
        </w:rPr>
        <w:t xml:space="preserve">These arguments, however, overlook the governing standard of review on appeal. We lack authority to reweigh the evidence or substitute our judgment for that of the juvenile court. </w:t>
      </w:r>
      <w:bookmarkStart w:id="126" w:name="Bookmark_I67Y16T52D6MVX0040000400"/>
      <w:bookmarkEnd w:id="126"/>
      <w:r>
        <w:rPr>
          <w:rFonts w:ascii="arial" w:eastAsia="arial" w:hAnsi="arial" w:cs="arial"/>
          <w:b w:val="0"/>
          <w:i w:val="0"/>
          <w:strike w:val="0"/>
          <w:noProof w:val="0"/>
          <w:color w:val="000000"/>
          <w:position w:val="0"/>
          <w:sz w:val="20"/>
          <w:u w:val="none"/>
          <w:vertAlign w:val="baseline"/>
        </w:rPr>
        <w:t>(</w:t>
      </w:r>
      <w:bookmarkStart w:id="127" w:name="Bookmark_I67Y16T52D6MVX0010000400"/>
      <w:bookmarkEnd w:id="127"/>
      <w:hyperlink r:id="rId13" w:history="1">
        <w:r>
          <w:rPr>
            <w:rFonts w:ascii="arial" w:eastAsia="arial" w:hAnsi="arial" w:cs="arial"/>
            <w:b w:val="0"/>
            <w:i/>
            <w:strike w:val="0"/>
            <w:noProof w:val="0"/>
            <w:color w:val="0077CC"/>
            <w:position w:val="0"/>
            <w:sz w:val="20"/>
            <w:u w:val="single"/>
            <w:vertAlign w:val="baseline"/>
          </w:rPr>
          <w:t>Stephanie M., supra</w:t>
        </w:r>
      </w:hyperlink>
      <w:hyperlink r:id="rId13" w:history="1">
        <w:r>
          <w:rPr>
            <w:rFonts w:ascii="arial" w:eastAsia="arial" w:hAnsi="arial" w:cs="arial"/>
            <w:b w:val="0"/>
            <w:i/>
            <w:strike w:val="0"/>
            <w:noProof w:val="0"/>
            <w:color w:val="0077CC"/>
            <w:position w:val="0"/>
            <w:sz w:val="20"/>
            <w:u w:val="single"/>
            <w:vertAlign w:val="baseline"/>
          </w:rPr>
          <w:t>, 7 Cal.4th at pp. 318-319</w:t>
        </w:r>
      </w:hyperlink>
      <w:r>
        <w:rPr>
          <w:rFonts w:ascii="arial" w:eastAsia="arial" w:hAnsi="arial" w:cs="arial"/>
          <w:b w:val="0"/>
          <w:i w:val="0"/>
          <w:strike w:val="0"/>
          <w:noProof w:val="0"/>
          <w:color w:val="000000"/>
          <w:position w:val="0"/>
          <w:sz w:val="20"/>
          <w:u w:val="none"/>
          <w:vertAlign w:val="baseline"/>
        </w:rPr>
        <w:t xml:space="preserve">.) </w:t>
      </w:r>
      <w:bookmarkStart w:id="128" w:name="Bookmark_I67Y16T52D6MVX0040000400_2"/>
      <w:bookmarkEnd w:id="128"/>
      <w:bookmarkStart w:id="129" w:name="Bookmark_I67Y16T52SF8V20010000400"/>
      <w:bookmarkEnd w:id="129"/>
      <w:r>
        <w:rPr>
          <w:rFonts w:ascii="arial" w:eastAsia="arial" w:hAnsi="arial" w:cs="arial"/>
          <w:b w:val="0"/>
          <w:i w:val="0"/>
          <w:strike w:val="0"/>
          <w:noProof w:val="0"/>
          <w:color w:val="000000"/>
          <w:position w:val="0"/>
          <w:sz w:val="20"/>
          <w:u w:val="none"/>
          <w:vertAlign w:val="baseline"/>
        </w:rPr>
        <w:t xml:space="preserve">And as discussed above, there is sufficient evidence in the record supporting the juvenile court's finding that circumstances were changing, not changed. (See </w:t>
      </w:r>
      <w:bookmarkStart w:id="130" w:name="Bookmark_I67Y16T52D6MVX0030000400"/>
      <w:bookmarkEnd w:id="130"/>
      <w:hyperlink r:id="rId24" w:history="1">
        <w:r>
          <w:rPr>
            <w:rFonts w:ascii="arial" w:eastAsia="arial" w:hAnsi="arial" w:cs="arial"/>
            <w:b w:val="0"/>
            <w:i/>
            <w:strike w:val="0"/>
            <w:noProof w:val="0"/>
            <w:color w:val="0077CC"/>
            <w:position w:val="0"/>
            <w:sz w:val="20"/>
            <w:u w:val="single"/>
            <w:vertAlign w:val="baseline"/>
          </w:rPr>
          <w:t>In re J.C.</w:t>
        </w:r>
      </w:hyperlink>
      <w:hyperlink r:id="rId24" w:history="1">
        <w:r>
          <w:rPr>
            <w:rFonts w:ascii="arial" w:eastAsia="arial" w:hAnsi="arial" w:cs="arial"/>
            <w:b w:val="0"/>
            <w:i/>
            <w:strike w:val="0"/>
            <w:noProof w:val="0"/>
            <w:color w:val="0077CC"/>
            <w:position w:val="0"/>
            <w:sz w:val="20"/>
            <w:u w:val="single"/>
            <w:vertAlign w:val="baseline"/>
          </w:rPr>
          <w:t xml:space="preserve"> (2014) 226 Cal.App.4th 503, 530, 171 Cal. Rptr. 3d 690</w:t>
        </w:r>
      </w:hyperlink>
      <w:r>
        <w:rPr>
          <w:rFonts w:ascii="arial" w:eastAsia="arial" w:hAnsi="arial" w:cs="arial"/>
          <w:b w:val="0"/>
          <w:i w:val="0"/>
          <w:strike w:val="0"/>
          <w:noProof w:val="0"/>
          <w:color w:val="000000"/>
          <w:position w:val="0"/>
          <w:sz w:val="20"/>
          <w:u w:val="none"/>
          <w:vertAlign w:val="baseline"/>
        </w:rPr>
        <w:t xml:space="preserve"> [substantial evidence standard of review is applicable to the factual components of a juvenile court's determination].) </w:t>
      </w:r>
      <w:bookmarkStart w:id="131" w:name="Bookmark_I67Y16T52SF8V20010000400_2"/>
      <w:bookmarkEnd w:id="131"/>
      <w:r>
        <w:rPr>
          <w:rFonts w:ascii="arial" w:eastAsia="arial" w:hAnsi="arial" w:cs="arial"/>
          <w:b w:val="0"/>
          <w:i w:val="0"/>
          <w:strike w:val="0"/>
          <w:noProof w:val="0"/>
          <w:color w:val="000000"/>
          <w:position w:val="0"/>
          <w:sz w:val="20"/>
          <w:u w:val="none"/>
          <w:vertAlign w:val="baseline"/>
        </w:rPr>
        <w:t xml:space="preserve">Or stated another way, Mother's evidence failed to demonstrate the recent changes were "substantial . . . when considered in light of </w:t>
      </w:r>
      <w:r>
        <w:rPr>
          <w:rFonts w:ascii="arial" w:eastAsia="arial" w:hAnsi="arial" w:cs="arial"/>
          <w:b w:val="0"/>
          <w:i/>
          <w:strike w:val="0"/>
          <w:noProof w:val="0"/>
          <w:color w:val="000000"/>
          <w:position w:val="0"/>
          <w:sz w:val="20"/>
          <w:u w:val="none"/>
          <w:vertAlign w:val="baseline"/>
        </w:rPr>
        <w:t>all of the circumstances</w:t>
      </w:r>
      <w:r>
        <w:rPr>
          <w:rFonts w:ascii="arial" w:eastAsia="arial" w:hAnsi="arial" w:cs="arial"/>
          <w:b w:val="0"/>
          <w:i w:val="0"/>
          <w:strike w:val="0"/>
          <w:noProof w:val="0"/>
          <w:color w:val="000000"/>
          <w:position w:val="0"/>
          <w:sz w:val="20"/>
          <w:u w:val="none"/>
          <w:vertAlign w:val="baseline"/>
        </w:rPr>
        <w:t xml:space="preserve"> of the case." (</w:t>
      </w:r>
      <w:bookmarkStart w:id="132" w:name="Bookmark_I67Y16T52D6MVX0050000400"/>
      <w:bookmarkEnd w:id="132"/>
      <w:hyperlink r:id="rId20" w:history="1">
        <w:r>
          <w:rPr>
            <w:rFonts w:ascii="arial" w:eastAsia="arial" w:hAnsi="arial" w:cs="arial"/>
            <w:b w:val="0"/>
            <w:i/>
            <w:strike w:val="0"/>
            <w:noProof w:val="0"/>
            <w:color w:val="0077CC"/>
            <w:position w:val="0"/>
            <w:sz w:val="20"/>
            <w:u w:val="single"/>
            <w:vertAlign w:val="baseline"/>
          </w:rPr>
          <w:t>In re N.F., supra</w:t>
        </w:r>
      </w:hyperlink>
      <w:hyperlink r:id="rId20" w:history="1">
        <w:r>
          <w:rPr>
            <w:rFonts w:ascii="arial" w:eastAsia="arial" w:hAnsi="arial" w:cs="arial"/>
            <w:b w:val="0"/>
            <w:i/>
            <w:strike w:val="0"/>
            <w:noProof w:val="0"/>
            <w:color w:val="0077CC"/>
            <w:position w:val="0"/>
            <w:sz w:val="20"/>
            <w:u w:val="single"/>
            <w:vertAlign w:val="baseline"/>
          </w:rPr>
          <w:t>, 68 Cal.App.5th at 121, fn. 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52"/>
      <w:bookmarkEnd w:id="133"/>
      <w:bookmarkStart w:id="134" w:name="Bookmark_I67Y16T52SF8V20030000400"/>
      <w:bookmarkEnd w:id="134"/>
      <w:bookmarkStart w:id="135" w:name="Bookmark_I67Y16T52HM5VD0020000400"/>
      <w:bookmarkEnd w:id="135"/>
      <w:r>
        <w:rPr>
          <w:rFonts w:ascii="arial" w:eastAsia="arial" w:hAnsi="arial" w:cs="arial"/>
          <w:b w:val="0"/>
          <w:i w:val="0"/>
          <w:strike w:val="0"/>
          <w:noProof w:val="0"/>
          <w:color w:val="000000"/>
          <w:position w:val="0"/>
          <w:sz w:val="20"/>
          <w:u w:val="none"/>
          <w:vertAlign w:val="baseline"/>
        </w:rPr>
        <w:t xml:space="preserve">Mother further contends her 17 months of sobriety shows "real reform" when compared to several cases in which the parents' far shorter periods of sobriety were found inadequate. (See, e.g., </w:t>
      </w:r>
      <w:bookmarkStart w:id="136" w:name="Bookmark_I67Y16T52SF8V20020000400"/>
      <w:bookmarkEnd w:id="136"/>
      <w:hyperlink r:id="rId17" w:history="1">
        <w:r>
          <w:rPr>
            <w:rFonts w:ascii="arial" w:eastAsia="arial" w:hAnsi="arial" w:cs="arial"/>
            <w:b w:val="0"/>
            <w:i/>
            <w:strike w:val="0"/>
            <w:noProof w:val="0"/>
            <w:color w:val="0077CC"/>
            <w:position w:val="0"/>
            <w:sz w:val="20"/>
            <w:u w:val="single"/>
            <w:vertAlign w:val="baseline"/>
          </w:rPr>
          <w:t>Ernesto R., supra</w:t>
        </w:r>
      </w:hyperlink>
      <w:hyperlink r:id="rId17" w:history="1">
        <w:r>
          <w:rPr>
            <w:rFonts w:ascii="arial" w:eastAsia="arial" w:hAnsi="arial" w:cs="arial"/>
            <w:b w:val="0"/>
            <w:i/>
            <w:strike w:val="0"/>
            <w:noProof w:val="0"/>
            <w:color w:val="0077CC"/>
            <w:position w:val="0"/>
            <w:sz w:val="20"/>
            <w:u w:val="single"/>
            <w:vertAlign w:val="baseline"/>
          </w:rPr>
          <w:t>, 230 Cal.App.4th 219, 222</w:t>
        </w:r>
      </w:hyperlink>
      <w:r>
        <w:rPr>
          <w:rFonts w:ascii="arial" w:eastAsia="arial" w:hAnsi="arial" w:cs="arial"/>
          <w:b w:val="0"/>
          <w:i w:val="0"/>
          <w:strike w:val="0"/>
          <w:noProof w:val="0"/>
          <w:color w:val="000000"/>
          <w:position w:val="0"/>
          <w:sz w:val="20"/>
          <w:u w:val="none"/>
          <w:vertAlign w:val="baseline"/>
        </w:rPr>
        <w:t xml:space="preserve"> [completion of drug</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treatment program was not substantial change of circumstances]; </w:t>
      </w:r>
      <w:bookmarkStart w:id="137" w:name="Bookmark_I67Y16T52SF8V20040000400"/>
      <w:bookmarkEnd w:id="137"/>
      <w:hyperlink r:id="rId25" w:history="1">
        <w:r>
          <w:rPr>
            <w:rFonts w:ascii="arial" w:eastAsia="arial" w:hAnsi="arial" w:cs="arial"/>
            <w:b w:val="0"/>
            <w:i/>
            <w:strike w:val="0"/>
            <w:noProof w:val="0"/>
            <w:color w:val="0077CC"/>
            <w:position w:val="0"/>
            <w:sz w:val="20"/>
            <w:u w:val="single"/>
            <w:vertAlign w:val="baseline"/>
          </w:rPr>
          <w:t>In re C.J.W.</w:t>
        </w:r>
      </w:hyperlink>
      <w:hyperlink r:id="rId25" w:history="1">
        <w:r>
          <w:rPr>
            <w:rFonts w:ascii="arial" w:eastAsia="arial" w:hAnsi="arial" w:cs="arial"/>
            <w:b w:val="0"/>
            <w:i/>
            <w:strike w:val="0"/>
            <w:noProof w:val="0"/>
            <w:color w:val="0077CC"/>
            <w:position w:val="0"/>
            <w:sz w:val="20"/>
            <w:u w:val="single"/>
            <w:vertAlign w:val="baseline"/>
          </w:rPr>
          <w:t xml:space="preserve"> (2007) 157 Cal.App.4th 1075, 1081, 69 Cal. Rptr. 3d 197</w:t>
        </w:r>
      </w:hyperlink>
      <w:r>
        <w:rPr>
          <w:rFonts w:ascii="arial" w:eastAsia="arial" w:hAnsi="arial" w:cs="arial"/>
          <w:b w:val="0"/>
          <w:i w:val="0"/>
          <w:strike w:val="0"/>
          <w:noProof w:val="0"/>
          <w:color w:val="000000"/>
          <w:position w:val="0"/>
          <w:sz w:val="20"/>
          <w:u w:val="none"/>
          <w:vertAlign w:val="baseline"/>
        </w:rPr>
        <w:t xml:space="preserve"> [three months of sobriety not changed circumstances given lengthy substance abuse history].) But Mother's argument again ignores the applicable standard of review, which requires us to consider whether substantial evidence supports the trial court's decision,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whether it could have made a contrary one. (See </w:t>
      </w:r>
      <w:bookmarkStart w:id="138" w:name="Bookmark_I67Y16T52HM5VD0010000400"/>
      <w:bookmarkEnd w:id="138"/>
      <w:hyperlink r:id="rId24" w:history="1">
        <w:r>
          <w:rPr>
            <w:rFonts w:ascii="arial" w:eastAsia="arial" w:hAnsi="arial" w:cs="arial"/>
            <w:b w:val="0"/>
            <w:i/>
            <w:strike w:val="0"/>
            <w:noProof w:val="0"/>
            <w:color w:val="0077CC"/>
            <w:position w:val="0"/>
            <w:sz w:val="20"/>
            <w:u w:val="single"/>
            <w:vertAlign w:val="baseline"/>
          </w:rPr>
          <w:t>In re J.C., supra</w:t>
        </w:r>
      </w:hyperlink>
      <w:hyperlink r:id="rId24" w:history="1">
        <w:r>
          <w:rPr>
            <w:rFonts w:ascii="arial" w:eastAsia="arial" w:hAnsi="arial" w:cs="arial"/>
            <w:b w:val="0"/>
            <w:i/>
            <w:strike w:val="0"/>
            <w:noProof w:val="0"/>
            <w:color w:val="0077CC"/>
            <w:position w:val="0"/>
            <w:sz w:val="20"/>
            <w:u w:val="single"/>
            <w:vertAlign w:val="baseline"/>
          </w:rPr>
          <w:t>, 226 Cal.App.4th at p. 530</w:t>
        </w:r>
      </w:hyperlink>
      <w:r>
        <w:rPr>
          <w:rFonts w:ascii="arial" w:eastAsia="arial" w:hAnsi="arial" w:cs="arial"/>
          <w:b w:val="0"/>
          <w:i w:val="0"/>
          <w:strike w:val="0"/>
          <w:noProof w:val="0"/>
          <w:color w:val="000000"/>
          <w:position w:val="0"/>
          <w:sz w:val="20"/>
          <w:u w:val="none"/>
          <w:vertAlign w:val="baseline"/>
        </w:rPr>
        <w:t>.) And as we have just explained, we have no difficulty concluding substantial evidence supports the trial court's decision.</w:t>
      </w:r>
    </w:p>
    <w:p>
      <w:pPr>
        <w:keepNext w:val="0"/>
        <w:spacing w:before="240" w:after="0" w:line="260" w:lineRule="atLeast"/>
        <w:ind w:left="0" w:right="0" w:firstLine="0"/>
        <w:jc w:val="both"/>
      </w:pPr>
      <w:bookmarkStart w:id="139" w:name="Bookmark_para_53"/>
      <w:bookmarkEnd w:id="139"/>
      <w:bookmarkStart w:id="140" w:name="Bookmark_I67Y16T52HM5VD0040000400"/>
      <w:bookmarkEnd w:id="140"/>
      <w:r>
        <w:rPr>
          <w:rFonts w:ascii="arial" w:eastAsia="arial" w:hAnsi="arial" w:cs="arial"/>
          <w:b w:val="0"/>
          <w:i w:val="0"/>
          <w:strike w:val="0"/>
          <w:noProof w:val="0"/>
          <w:color w:val="000000"/>
          <w:position w:val="0"/>
          <w:sz w:val="20"/>
          <w:u w:val="none"/>
          <w:vertAlign w:val="baseline"/>
        </w:rPr>
        <w:t xml:space="preserve">Regardless, even had Mother carried her burden of showing changed circumstances, reversal would not be warranted. That is because she also failed to show that modifying the prior no-contact order to allow her virtual visitation with J.M. was in his best interests, as required for relief under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w:t>
      </w:r>
      <w:bookmarkStart w:id="141" w:name="Bookmark_I67Y16T52HM5VD0030000400"/>
      <w:bookmarkEnd w:id="141"/>
      <w:hyperlink r:id="rId13" w:history="1">
        <w:r>
          <w:rPr>
            <w:rFonts w:ascii="arial" w:eastAsia="arial" w:hAnsi="arial" w:cs="arial"/>
            <w:b w:val="0"/>
            <w:i/>
            <w:strike w:val="0"/>
            <w:noProof w:val="0"/>
            <w:color w:val="0077CC"/>
            <w:position w:val="0"/>
            <w:sz w:val="20"/>
            <w:u w:val="single"/>
            <w:vertAlign w:val="baseline"/>
          </w:rPr>
          <w:t>Stephanie M., supra</w:t>
        </w:r>
      </w:hyperlink>
      <w:hyperlink r:id="rId13" w:history="1">
        <w:r>
          <w:rPr>
            <w:rFonts w:ascii="arial" w:eastAsia="arial" w:hAnsi="arial" w:cs="arial"/>
            <w:b w:val="0"/>
            <w:i/>
            <w:strike w:val="0"/>
            <w:noProof w:val="0"/>
            <w:color w:val="0077CC"/>
            <w:position w:val="0"/>
            <w:sz w:val="20"/>
            <w:u w:val="single"/>
            <w:vertAlign w:val="baseline"/>
          </w:rPr>
          <w:t>, 7 Cal.4th at p. 317</w:t>
        </w:r>
      </w:hyperlink>
      <w:r>
        <w:rPr>
          <w:rFonts w:ascii="arial" w:eastAsia="arial" w:hAnsi="arial" w:cs="arial"/>
          <w:b w:val="0"/>
          <w:i w:val="0"/>
          <w:strike w:val="0"/>
          <w:noProof w:val="0"/>
          <w:color w:val="000000"/>
          <w:position w:val="0"/>
          <w:sz w:val="20"/>
          <w:u w:val="none"/>
          <w:vertAlign w:val="baseline"/>
        </w:rPr>
        <w:t xml:space="preserve">; </w:t>
      </w:r>
      <w:bookmarkStart w:id="142" w:name="Bookmark_I67Y16T52HM5VD0050000400"/>
      <w:bookmarkEnd w:id="142"/>
      <w:hyperlink r:id="rId14" w:history="1">
        <w:r>
          <w:rPr>
            <w:rFonts w:ascii="arial" w:eastAsia="arial" w:hAnsi="arial" w:cs="arial"/>
            <w:b w:val="0"/>
            <w:i/>
            <w:strike w:val="0"/>
            <w:noProof w:val="0"/>
            <w:color w:val="0077CC"/>
            <w:position w:val="0"/>
            <w:sz w:val="20"/>
            <w:u w:val="single"/>
            <w:vertAlign w:val="baseline"/>
          </w:rPr>
          <w:t>In re J.M., supra</w:t>
        </w:r>
      </w:hyperlink>
      <w:hyperlink r:id="rId14" w:history="1">
        <w:r>
          <w:rPr>
            <w:rFonts w:ascii="arial" w:eastAsia="arial" w:hAnsi="arial" w:cs="arial"/>
            <w:b w:val="0"/>
            <w:i/>
            <w:strike w:val="0"/>
            <w:noProof w:val="0"/>
            <w:color w:val="0077CC"/>
            <w:position w:val="0"/>
            <w:sz w:val="20"/>
            <w:u w:val="single"/>
            <w:vertAlign w:val="baseline"/>
          </w:rPr>
          <w:t>, 50 Cal.App.5th at p. 845</w:t>
        </w:r>
      </w:hyperlink>
      <w:r>
        <w:rPr>
          <w:rFonts w:ascii="arial" w:eastAsia="arial" w:hAnsi="arial" w:cs="arial"/>
          <w:b w:val="0"/>
          <w:i w:val="0"/>
          <w:strike w:val="0"/>
          <w:noProof w:val="0"/>
          <w:color w:val="000000"/>
          <w:position w:val="0"/>
          <w:sz w:val="20"/>
          <w:u w:val="none"/>
          <w:vertAlign w:val="baseline"/>
        </w:rPr>
        <w:t xml:space="preserve">; see </w:t>
      </w:r>
      <w:r>
        <w:rPr>
          <w:rFonts w:ascii="arial" w:eastAsia="arial" w:hAnsi="arial" w:cs="arial"/>
          <w:b w:val="0"/>
          <w:i/>
          <w:strike w:val="0"/>
          <w:noProof w:val="0"/>
          <w:color w:val="000000"/>
          <w:position w:val="0"/>
          <w:sz w:val="20"/>
          <w:u w:val="none"/>
          <w:vertAlign w:val="baseline"/>
        </w:rPr>
        <w:t>§ 388, subds. (a)(1)</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We conclude for this additional reason that the juvenile court did not abuse its discretion in denying her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w:t>
      </w:r>
    </w:p>
    <w:p>
      <w:pPr>
        <w:keepNext w:val="0"/>
        <w:spacing w:before="240" w:after="0" w:line="260" w:lineRule="atLeast"/>
        <w:ind w:left="0" w:right="0" w:firstLine="0"/>
        <w:jc w:val="both"/>
      </w:pPr>
      <w:bookmarkStart w:id="143" w:name="Bookmark_para_54"/>
      <w:bookmarkEnd w:id="143"/>
      <w:bookmarkStart w:id="144" w:name="Bookmark_I67Y16T528T40G0030000400"/>
      <w:bookmarkEnd w:id="144"/>
      <w:bookmarkStart w:id="145" w:name="Bookmark_I67Y16T528T40G0050000400"/>
      <w:bookmarkEnd w:id="145"/>
      <w:r>
        <w:rPr>
          <w:rFonts w:ascii="arial" w:eastAsia="arial" w:hAnsi="arial" w:cs="arial"/>
          <w:b w:val="0"/>
          <w:i w:val="0"/>
          <w:strike w:val="0"/>
          <w:noProof w:val="0"/>
          <w:color w:val="000000"/>
          <w:position w:val="0"/>
          <w:sz w:val="20"/>
          <w:u w:val="none"/>
          <w:vertAlign w:val="baseline"/>
        </w:rPr>
        <w:t>As Mother acknowledges, evaluating a child's best interests is "an elusive guideline that belies rigid definition." (</w:t>
      </w:r>
      <w:bookmarkStart w:id="146" w:name="Bookmark_I67Y16T528T40G0020000400"/>
      <w:bookmarkEnd w:id="146"/>
      <w:hyperlink r:id="rId26" w:history="1">
        <w:r>
          <w:rPr>
            <w:rFonts w:ascii="arial" w:eastAsia="arial" w:hAnsi="arial" w:cs="arial"/>
            <w:b w:val="0"/>
            <w:i/>
            <w:strike w:val="0"/>
            <w:noProof w:val="0"/>
            <w:color w:val="0077CC"/>
            <w:position w:val="0"/>
            <w:sz w:val="20"/>
            <w:u w:val="single"/>
            <w:vertAlign w:val="baseline"/>
          </w:rPr>
          <w:t>In re Ethan N.</w:t>
        </w:r>
      </w:hyperlink>
      <w:hyperlink r:id="rId26" w:history="1">
        <w:r>
          <w:rPr>
            <w:rFonts w:ascii="arial" w:eastAsia="arial" w:hAnsi="arial" w:cs="arial"/>
            <w:b w:val="0"/>
            <w:i/>
            <w:strike w:val="0"/>
            <w:noProof w:val="0"/>
            <w:color w:val="0077CC"/>
            <w:position w:val="0"/>
            <w:sz w:val="20"/>
            <w:u w:val="single"/>
            <w:vertAlign w:val="baseline"/>
          </w:rPr>
          <w:t xml:space="preserve"> (2004) 122 Cal.App.4th 55, 66, 18 Cal. Rptr. 3d 504</w:t>
        </w:r>
      </w:hyperlink>
      <w:r>
        <w:rPr>
          <w:rFonts w:ascii="arial" w:eastAsia="arial" w:hAnsi="arial" w:cs="arial"/>
          <w:b w:val="0"/>
          <w:i w:val="0"/>
          <w:strike w:val="0"/>
          <w:noProof w:val="0"/>
          <w:color w:val="000000"/>
          <w:position w:val="0"/>
          <w:sz w:val="20"/>
          <w:u w:val="none"/>
          <w:vertAlign w:val="baseline"/>
        </w:rPr>
        <w:t xml:space="preserve">.) She relies on </w:t>
      </w:r>
      <w:bookmarkStart w:id="147" w:name="Bookmark_I67Y16T528T40G0040000400"/>
      <w:bookmarkEnd w:id="147"/>
      <w:hyperlink r:id="rId12" w:history="1">
        <w:r>
          <w:rPr>
            <w:rFonts w:ascii="arial" w:eastAsia="arial" w:hAnsi="arial" w:cs="arial"/>
            <w:b w:val="0"/>
            <w:i/>
            <w:strike w:val="0"/>
            <w:noProof w:val="0"/>
            <w:color w:val="0077CC"/>
            <w:position w:val="0"/>
            <w:sz w:val="20"/>
            <w:u w:val="single"/>
            <w:vertAlign w:val="baseline"/>
          </w:rPr>
          <w:t>Kimberly F.</w:t>
        </w:r>
      </w:hyperlink>
      <w:r>
        <w:rPr>
          <w:rFonts w:ascii="arial" w:eastAsia="arial" w:hAnsi="arial" w:cs="arial"/>
          <w:b w:val="0"/>
          <w:i w:val="0"/>
          <w:strike w:val="0"/>
          <w:noProof w:val="0"/>
          <w:color w:val="000000"/>
          <w:position w:val="0"/>
          <w:sz w:val="20"/>
          <w:u w:val="none"/>
          <w:vertAlign w:val="baseline"/>
        </w:rPr>
        <w:t>, which provides one framework for evaluating this standard and requires considering three factors: "(1) the seriousness of the problem that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led to the dependency and the reason for any continuation of that problem; (2) the strength of the child's bond with his or her new caretakers compared with the strength of the child's bond with the parent; and (3) the degree to which the problem leading to the dependency may be easily removed or ameliorated, and the degree to which it actually has been." (</w:t>
      </w:r>
      <w:bookmarkStart w:id="148" w:name="Bookmark_I67Y16T52N1PPG0010000400"/>
      <w:bookmarkEnd w:id="148"/>
      <w:hyperlink r:id="rId17" w:history="1">
        <w:r>
          <w:rPr>
            <w:rFonts w:ascii="arial" w:eastAsia="arial" w:hAnsi="arial" w:cs="arial"/>
            <w:b w:val="0"/>
            <w:i/>
            <w:strike w:val="0"/>
            <w:noProof w:val="0"/>
            <w:color w:val="0077CC"/>
            <w:position w:val="0"/>
            <w:sz w:val="20"/>
            <w:u w:val="single"/>
            <w:vertAlign w:val="baseline"/>
          </w:rPr>
          <w:t>In re Ernesto R., supra</w:t>
        </w:r>
      </w:hyperlink>
      <w:hyperlink r:id="rId17" w:history="1">
        <w:r>
          <w:rPr>
            <w:rFonts w:ascii="arial" w:eastAsia="arial" w:hAnsi="arial" w:cs="arial"/>
            <w:b w:val="0"/>
            <w:i/>
            <w:strike w:val="0"/>
            <w:noProof w:val="0"/>
            <w:color w:val="0077CC"/>
            <w:position w:val="0"/>
            <w:sz w:val="20"/>
            <w:u w:val="single"/>
            <w:vertAlign w:val="baseline"/>
          </w:rPr>
          <w:t>, 230 Cal.App.4th at p. 224</w:t>
        </w:r>
      </w:hyperlink>
      <w:r>
        <w:rPr>
          <w:rFonts w:ascii="arial" w:eastAsia="arial" w:hAnsi="arial" w:cs="arial"/>
          <w:b w:val="0"/>
          <w:i w:val="0"/>
          <w:strike w:val="0"/>
          <w:noProof w:val="0"/>
          <w:color w:val="000000"/>
          <w:position w:val="0"/>
          <w:sz w:val="20"/>
          <w:u w:val="none"/>
          <w:vertAlign w:val="baseline"/>
        </w:rPr>
        <w:t xml:space="preserve">, citing </w:t>
      </w:r>
      <w:bookmarkStart w:id="149" w:name="Bookmark_I67Y16T52N1PPG0030000400"/>
      <w:bookmarkEnd w:id="149"/>
      <w:hyperlink r:id="rId12" w:history="1">
        <w:r>
          <w:rPr>
            <w:rFonts w:ascii="arial" w:eastAsia="arial" w:hAnsi="arial" w:cs="arial"/>
            <w:b w:val="0"/>
            <w:i/>
            <w:strike w:val="0"/>
            <w:noProof w:val="0"/>
            <w:color w:val="0077CC"/>
            <w:position w:val="0"/>
            <w:sz w:val="20"/>
            <w:u w:val="single"/>
            <w:vertAlign w:val="baseline"/>
          </w:rPr>
          <w:t>Kimberly F., supra</w:t>
        </w:r>
      </w:hyperlink>
      <w:hyperlink r:id="rId12" w:history="1">
        <w:r>
          <w:rPr>
            <w:rFonts w:ascii="arial" w:eastAsia="arial" w:hAnsi="arial" w:cs="arial"/>
            <w:b w:val="0"/>
            <w:i/>
            <w:strike w:val="0"/>
            <w:noProof w:val="0"/>
            <w:color w:val="0077CC"/>
            <w:position w:val="0"/>
            <w:sz w:val="20"/>
            <w:u w:val="single"/>
            <w:vertAlign w:val="baseline"/>
          </w:rPr>
          <w:t>, 56 Cal.App.4th at pp. 531-532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 w:name="Bookmark_para_55"/>
      <w:bookmarkEnd w:id="150"/>
      <w:r>
        <w:rPr>
          <w:rFonts w:ascii="arial" w:eastAsia="arial" w:hAnsi="arial" w:cs="arial"/>
          <w:b w:val="0"/>
          <w:i w:val="0"/>
          <w:strike w:val="0"/>
          <w:noProof w:val="0"/>
          <w:color w:val="000000"/>
          <w:position w:val="0"/>
          <w:sz w:val="20"/>
          <w:u w:val="none"/>
          <w:vertAlign w:val="baseline"/>
        </w:rPr>
        <w:t xml:space="preserve">The evidence before the juvenile court supported its finding that these best interest factors weighed against granting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First, the problem leading to and continuing during the dependency was severe, as evidenced by Mother's lengthy substance abuse history, J.M. and Mother testing positive at the time of J.M.'s birth, J.M.'s near-death exposure to fentanyl, Mother's further risking of J.M.'s life during the fentanyl exposure incident by failing to admit to her parents or authorities that she saw him put a bag of fentanyl into his mouth, and Mother using fentanyl while in custody and providing it to another inmate, who overdosed.</w:t>
      </w:r>
    </w:p>
    <w:p>
      <w:pPr>
        <w:keepNext w:val="0"/>
        <w:spacing w:before="200" w:after="0" w:line="260" w:lineRule="atLeast"/>
        <w:ind w:left="0" w:right="0" w:firstLine="0"/>
        <w:jc w:val="both"/>
      </w:pPr>
      <w:bookmarkStart w:id="151" w:name="Bookmark_para_56"/>
      <w:bookmarkEnd w:id="151"/>
      <w:r>
        <w:rPr>
          <w:rFonts w:ascii="arial" w:eastAsia="arial" w:hAnsi="arial" w:cs="arial"/>
          <w:b w:val="0"/>
          <w:i w:val="0"/>
          <w:strike w:val="0"/>
          <w:noProof w:val="0"/>
          <w:color w:val="000000"/>
          <w:position w:val="0"/>
          <w:sz w:val="20"/>
          <w:u w:val="none"/>
          <w:vertAlign w:val="baseline"/>
        </w:rPr>
        <w:t>Second, the evidence supported the juvenile court's implicit finding that the relationship and bond factor was weak for Mother. J.M. was bonded to his maternal grandparents, with</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whom he had lived for most of the dependency period, and he was doing well in their home, despite Mother's lengthy absence from his life. Mother's last in-person visit with J.M. was in December 2020, and although she had some virtual visits weekly between February and November 2021, she had no contact with J.M. for the 20 months from December 2021 to the time of the hearing, and he had become accustomed to not seeing her on a regular basis. There was also no evidence J.M. had ever asked for Mother, and when J.M. had spoken with Mother previously, he behaved neutrally and without emotion.</w:t>
      </w:r>
    </w:p>
    <w:p>
      <w:pPr>
        <w:keepNext w:val="0"/>
        <w:spacing w:before="240" w:after="0" w:line="260" w:lineRule="atLeast"/>
        <w:ind w:left="0" w:right="0" w:firstLine="0"/>
        <w:jc w:val="both"/>
      </w:pPr>
      <w:bookmarkStart w:id="152" w:name="Bookmark_para_57"/>
      <w:bookmarkEnd w:id="152"/>
      <w:r>
        <w:rPr>
          <w:rFonts w:ascii="arial" w:eastAsia="arial" w:hAnsi="arial" w:cs="arial"/>
          <w:b w:val="0"/>
          <w:i w:val="0"/>
          <w:strike w:val="0"/>
          <w:noProof w:val="0"/>
          <w:color w:val="000000"/>
          <w:position w:val="0"/>
          <w:sz w:val="20"/>
          <w:u w:val="none"/>
          <w:vertAlign w:val="baseline"/>
        </w:rPr>
        <w:t xml:space="preserve">As to the final factor, the juvenile court observed that although Mother had made commendable progress in addressing her substance abuse issues, her risk of relapse could not be easily ameliorated even with safety measures in place because J.M.'s potential exposure to even a small amount of fentanyl could lead to a fatal overdose. Mother complains the court's analysis of this factor focused on the risk related to </w:t>
      </w:r>
      <w:r>
        <w:rPr>
          <w:rFonts w:ascii="arial" w:eastAsia="arial" w:hAnsi="arial" w:cs="arial"/>
          <w:b w:val="0"/>
          <w:i/>
          <w:strike w:val="0"/>
          <w:noProof w:val="0"/>
          <w:color w:val="000000"/>
          <w:position w:val="0"/>
          <w:sz w:val="20"/>
          <w:u w:val="none"/>
          <w:vertAlign w:val="baseline"/>
        </w:rPr>
        <w:t>in-person</w:t>
      </w:r>
      <w:r>
        <w:rPr>
          <w:rFonts w:ascii="arial" w:eastAsia="arial" w:hAnsi="arial" w:cs="arial"/>
          <w:b w:val="0"/>
          <w:i w:val="0"/>
          <w:strike w:val="0"/>
          <w:noProof w:val="0"/>
          <w:color w:val="000000"/>
          <w:position w:val="0"/>
          <w:sz w:val="20"/>
          <w:u w:val="none"/>
          <w:vertAlign w:val="baseline"/>
        </w:rPr>
        <w:t xml:space="preserve"> visitation. But again, this was the only type of visitation she requested at the evidentiary hearing. Further, even if we accepted Mother's contention that this factor weighed in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her favor because </w:t>
      </w:r>
      <w:r>
        <w:rPr>
          <w:rFonts w:ascii="arial" w:eastAsia="arial" w:hAnsi="arial" w:cs="arial"/>
          <w:b w:val="0"/>
          <w:i/>
          <w:strike w:val="0"/>
          <w:noProof w:val="0"/>
          <w:color w:val="000000"/>
          <w:position w:val="0"/>
          <w:sz w:val="20"/>
          <w:u w:val="none"/>
          <w:vertAlign w:val="baseline"/>
        </w:rPr>
        <w:t>virtual</w:t>
      </w:r>
      <w:r>
        <w:rPr>
          <w:rFonts w:ascii="arial" w:eastAsia="arial" w:hAnsi="arial" w:cs="arial"/>
          <w:b w:val="0"/>
          <w:i w:val="0"/>
          <w:strike w:val="0"/>
          <w:noProof w:val="0"/>
          <w:color w:val="000000"/>
          <w:position w:val="0"/>
          <w:sz w:val="20"/>
          <w:u w:val="none"/>
          <w:vertAlign w:val="baseline"/>
        </w:rPr>
        <w:t xml:space="preserve"> visitation eliminated the physical risk to J.M. of fentanyl exposure, this single factor alone is not enough to show such visitation was in J.M.'s best interests. </w:t>
      </w:r>
      <w:bookmarkStart w:id="153" w:name="Bookmark_I67Y16T52HM5VG0010000400"/>
      <w:bookmarkEnd w:id="153"/>
      <w:r>
        <w:rPr>
          <w:rFonts w:ascii="arial" w:eastAsia="arial" w:hAnsi="arial" w:cs="arial"/>
          <w:b w:val="0"/>
          <w:i w:val="0"/>
          <w:strike w:val="0"/>
          <w:noProof w:val="0"/>
          <w:color w:val="000000"/>
          <w:position w:val="0"/>
          <w:sz w:val="20"/>
          <w:u w:val="none"/>
          <w:vertAlign w:val="baseline"/>
        </w:rPr>
        <w:t>As the court expressly found, Mother's only argument going to J.M.'s best interests—that one day he would ask about his parents—did not establish why permitting visitation would be in his best interests. And this was Mother's burden. (</w:t>
      </w:r>
      <w:bookmarkStart w:id="154" w:name="Bookmark_I67Y16T52N1PPG0050000400"/>
      <w:bookmarkEnd w:id="154"/>
      <w:hyperlink r:id="rId13" w:history="1">
        <w:r>
          <w:rPr>
            <w:rFonts w:ascii="arial" w:eastAsia="arial" w:hAnsi="arial" w:cs="arial"/>
            <w:b w:val="0"/>
            <w:i/>
            <w:strike w:val="0"/>
            <w:noProof w:val="0"/>
            <w:color w:val="0077CC"/>
            <w:position w:val="0"/>
            <w:sz w:val="20"/>
            <w:u w:val="single"/>
            <w:vertAlign w:val="baseline"/>
          </w:rPr>
          <w:t>Stephanie M., supra</w:t>
        </w:r>
      </w:hyperlink>
      <w:hyperlink r:id="rId13" w:history="1">
        <w:r>
          <w:rPr>
            <w:rFonts w:ascii="arial" w:eastAsia="arial" w:hAnsi="arial" w:cs="arial"/>
            <w:b w:val="0"/>
            <w:i/>
            <w:strike w:val="0"/>
            <w:noProof w:val="0"/>
            <w:color w:val="0077CC"/>
            <w:position w:val="0"/>
            <w:sz w:val="20"/>
            <w:u w:val="single"/>
            <w:vertAlign w:val="baseline"/>
          </w:rPr>
          <w:t>, 7 Cal.4th at p. 317</w:t>
        </w:r>
      </w:hyperlink>
      <w:r>
        <w:rPr>
          <w:rFonts w:ascii="arial" w:eastAsia="arial" w:hAnsi="arial" w:cs="arial"/>
          <w:b w:val="0"/>
          <w:i w:val="0"/>
          <w:strike w:val="0"/>
          <w:noProof w:val="0"/>
          <w:color w:val="000000"/>
          <w:position w:val="0"/>
          <w:sz w:val="20"/>
          <w:u w:val="none"/>
          <w:vertAlign w:val="baseline"/>
        </w:rPr>
        <w:t xml:space="preserve"> [petitioner bears the burden of showing by a preponderance of the evidence that the proposed modification is in the child's best interests].)</w:t>
      </w:r>
    </w:p>
    <w:p>
      <w:pPr>
        <w:keepNext w:val="0"/>
        <w:spacing w:before="200" w:after="0" w:line="260" w:lineRule="atLeast"/>
        <w:ind w:left="0" w:right="0" w:firstLine="0"/>
        <w:jc w:val="both"/>
      </w:pPr>
      <w:bookmarkStart w:id="155" w:name="Bookmark_para_58"/>
      <w:bookmarkEnd w:id="155"/>
      <w:r>
        <w:rPr>
          <w:rFonts w:ascii="arial" w:eastAsia="arial" w:hAnsi="arial" w:cs="arial"/>
          <w:b w:val="0"/>
          <w:i w:val="0"/>
          <w:strike w:val="0"/>
          <w:noProof w:val="0"/>
          <w:color w:val="000000"/>
          <w:position w:val="0"/>
          <w:sz w:val="20"/>
          <w:u w:val="none"/>
          <w:vertAlign w:val="baseline"/>
        </w:rPr>
        <w:t>In sum, we conclude there was no abuse of discretion on this record.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Limited Remand for ICWA Compliance is Appropriate</w:t>
      </w:r>
    </w:p>
    <w:p>
      <w:pPr>
        <w:keepNext w:val="0"/>
        <w:spacing w:before="200" w:after="0" w:line="260" w:lineRule="atLeast"/>
        <w:ind w:left="0" w:right="0" w:firstLine="0"/>
        <w:jc w:val="both"/>
      </w:pPr>
      <w:bookmarkStart w:id="156" w:name="Bookmark_para_59"/>
      <w:bookmarkEnd w:id="156"/>
      <w:r>
        <w:rPr>
          <w:rFonts w:ascii="arial" w:eastAsia="arial" w:hAnsi="arial" w:cs="arial"/>
          <w:b w:val="0"/>
          <w:i w:val="0"/>
          <w:strike w:val="0"/>
          <w:noProof w:val="0"/>
          <w:color w:val="000000"/>
          <w:position w:val="0"/>
          <w:sz w:val="20"/>
          <w:u w:val="none"/>
          <w:vertAlign w:val="baseline"/>
        </w:rPr>
        <w:t>Mother appeals on the additional ground that the Agency and juvenile court failed to comply with their inquiry duties under ICWA. Specifically, she contends the Agency failed to conduct ICWA inquiries with available extended family members, including maternal grandmother, maternal grandfather, two maternal uncles, paternal grandmother, and paternal aunt, as well as other individuals who may have had an interest in J.M., including paternal great-aunt, J.M.'s foster parents, maternal aunt-in-law, and maternal step-grandparents.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She further suggests the Agency should have asked maternal grandmother for information about other relatives maternal grandmother mentioned during the hearing on the Agency's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some of whom may require ICWA inquiry.</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Finally, Mother argues the juvenile court failed to ask her, Father, and other relatives who were present at dependency hearings if they knew or had reason to know that J.M. is an "Indian child."</w:t>
      </w:r>
    </w:p>
    <w:p>
      <w:pPr>
        <w:keepNext w:val="0"/>
        <w:spacing w:before="240" w:after="0" w:line="260" w:lineRule="atLeast"/>
        <w:ind w:left="0" w:right="0" w:firstLine="0"/>
        <w:jc w:val="both"/>
      </w:pPr>
      <w:bookmarkStart w:id="158" w:name="Bookmark_para_60"/>
      <w:bookmarkEnd w:id="158"/>
      <w:r>
        <w:rPr>
          <w:rFonts w:ascii="arial" w:eastAsia="arial" w:hAnsi="arial" w:cs="arial"/>
          <w:b w:val="0"/>
          <w:i w:val="0"/>
          <w:strike w:val="0"/>
          <w:noProof w:val="0"/>
          <w:color w:val="000000"/>
          <w:position w:val="0"/>
          <w:sz w:val="20"/>
          <w:u w:val="none"/>
          <w:vertAlign w:val="baseline"/>
        </w:rPr>
        <w:t>The Agency concedes the ICWA error. The concession is proper. In California dependency proceedings, the juvenile court and Agency have an "affirmative and continuing duty to inquire" whether a child "is or may be an Indian child." (§ 224.2, subd. (a).) The Agency's initial duty of inquiry includes "asking the child, parents, legal guardian, Indian custodian, extended family members, others who have an interest in the child, and the party reporting child abuse or neglect, whether the child is, or may be, an Indian child."</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 224.2, subd. (b).) ICWA defines " 'extended family member'" by "the law or custom of the Indian child's tribe" or, absent such law or custom, as "a person who has reached the age of eighteen and who is the Indian child's grandparent, aunt or uncle, brother or sister, brother-in-law or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sister-in-law, niece or nephew, first or second cousin, or stepparent." (</w:t>
      </w:r>
      <w:hyperlink r:id="rId27" w:history="1">
        <w:r>
          <w:rPr>
            <w:rFonts w:ascii="arial" w:eastAsia="arial" w:hAnsi="arial" w:cs="arial"/>
            <w:b w:val="0"/>
            <w:i/>
            <w:strike w:val="0"/>
            <w:noProof w:val="0"/>
            <w:color w:val="0077CC"/>
            <w:position w:val="0"/>
            <w:sz w:val="20"/>
            <w:u w:val="single"/>
            <w:vertAlign w:val="baseline"/>
          </w:rPr>
          <w:t>25 U.S.C. § 1903(2)</w:t>
        </w:r>
      </w:hyperlink>
      <w:r>
        <w:rPr>
          <w:rFonts w:ascii="arial" w:eastAsia="arial" w:hAnsi="arial" w:cs="arial"/>
          <w:b w:val="0"/>
          <w:i w:val="0"/>
          <w:strike w:val="0"/>
          <w:noProof w:val="0"/>
          <w:color w:val="000000"/>
          <w:position w:val="0"/>
          <w:sz w:val="20"/>
          <w:u w:val="none"/>
          <w:vertAlign w:val="baseline"/>
        </w:rPr>
        <w:t xml:space="preserve">; § 224.1, subd. (c) [" 'extended family member' . . . defined as provided in </w:t>
      </w:r>
      <w:hyperlink r:id="rId27" w:history="1">
        <w:r>
          <w:rPr>
            <w:rFonts w:ascii="arial" w:eastAsia="arial" w:hAnsi="arial" w:cs="arial"/>
            <w:b w:val="0"/>
            <w:i/>
            <w:strike w:val="0"/>
            <w:noProof w:val="0"/>
            <w:color w:val="0077CC"/>
            <w:position w:val="0"/>
            <w:sz w:val="20"/>
            <w:u w:val="single"/>
            <w:vertAlign w:val="baseline"/>
          </w:rPr>
          <w:t>[§] 1903</w:t>
        </w:r>
      </w:hyperlink>
      <w:r>
        <w:rPr>
          <w:rFonts w:ascii="arial" w:eastAsia="arial" w:hAnsi="arial" w:cs="arial"/>
          <w:b w:val="0"/>
          <w:i w:val="0"/>
          <w:strike w:val="0"/>
          <w:noProof w:val="0"/>
          <w:color w:val="000000"/>
          <w:position w:val="0"/>
          <w:sz w:val="20"/>
          <w:u w:val="none"/>
          <w:vertAlign w:val="baseline"/>
        </w:rPr>
        <w:t>" of ICWA].) Thus, the Agency is correct that it should have contacted maternal grandmother, maternal grandfather, maternal uncles, paternal grandmother, and paternal aunt, as well as other individuals who may "have had an interest in [J.M.]," including paternal great-aunt, J.M.'s foster parents, maternal aunt-in-law, and maternal step-grandparents.</w:t>
      </w:r>
    </w:p>
    <w:p>
      <w:pPr>
        <w:keepNext w:val="0"/>
        <w:spacing w:before="200" w:after="0" w:line="260" w:lineRule="atLeast"/>
        <w:ind w:left="0" w:right="0" w:firstLine="0"/>
        <w:jc w:val="both"/>
      </w:pPr>
      <w:bookmarkStart w:id="160" w:name="Bookmark_para_61"/>
      <w:bookmarkEnd w:id="160"/>
      <w:r>
        <w:rPr>
          <w:rFonts w:ascii="arial" w:eastAsia="arial" w:hAnsi="arial" w:cs="arial"/>
          <w:b w:val="0"/>
          <w:i w:val="0"/>
          <w:strike w:val="0"/>
          <w:noProof w:val="0"/>
          <w:color w:val="000000"/>
          <w:position w:val="0"/>
          <w:sz w:val="20"/>
          <w:u w:val="none"/>
          <w:vertAlign w:val="baseline"/>
        </w:rPr>
        <w:t>Section 224.2, subdivision (c), further requires that, "[a]t the first appearance in court of each party, the court shall ask each participant present in the hearing whether the participant knows or has reason to know that the child is an Indian child" and "shall instruct the parties to inform the court if they subsequently receive information that provides reason to know the child is an Indian child." (§ 224.2, subd. (c).) Therefore, the Agency also properly concedes the juvenile court should have conducted this inquiry with Mother, Father, and the other relatives who were present at hearings during the dependency proceedings.</w:t>
      </w:r>
    </w:p>
    <w:p>
      <w:pPr>
        <w:keepNext w:val="0"/>
        <w:spacing w:before="200" w:after="0" w:line="260" w:lineRule="atLeast"/>
        <w:ind w:left="0" w:right="0" w:firstLine="0"/>
        <w:jc w:val="both"/>
      </w:pPr>
      <w:bookmarkStart w:id="161" w:name="Bookmark_para_62"/>
      <w:bookmarkEnd w:id="161"/>
      <w:r>
        <w:rPr>
          <w:rFonts w:ascii="arial" w:eastAsia="arial" w:hAnsi="arial" w:cs="arial"/>
          <w:b w:val="0"/>
          <w:i w:val="0"/>
          <w:strike w:val="0"/>
          <w:noProof w:val="0"/>
          <w:color w:val="000000"/>
          <w:position w:val="0"/>
          <w:sz w:val="20"/>
          <w:u w:val="none"/>
          <w:vertAlign w:val="baseline"/>
        </w:rPr>
        <w:t>For these reasons, we conclude substantial evidence does not support the juvenile court's finding that ICWA did not apply. The Agency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agrees a conditional reversal and limited remand is appropriate. Accordingly, we shall conditionally reverse the order denying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with a limited remand for the Agency and the juvenile court to comply with ICWA and section 224.2.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162" w:name="Bookmark_para_63"/>
      <w:bookmarkEnd w:id="162"/>
      <w:r>
        <w:rPr>
          <w:rFonts w:ascii="arial" w:eastAsia="arial" w:hAnsi="arial" w:cs="arial"/>
          <w:b w:val="0"/>
          <w:i w:val="0"/>
          <w:strike w:val="0"/>
          <w:noProof w:val="0"/>
          <w:color w:val="000000"/>
          <w:position w:val="0"/>
          <w:sz w:val="20"/>
          <w:u w:val="none"/>
          <w:vertAlign w:val="baseline"/>
        </w:rPr>
        <w:t xml:space="preserve">The juvenile court's October 5, 2022 order denying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is conditionally reversed. The matter is remanded to the juvenile court with directions to comply with the inquiry provisions of ICWA and section 224.2 (and, if applicable, the notice provisions under section 224.3). If, after completing its inquiry, neither the Agency nor the juvenile court has reason to believe or reason to know that J.M. is a Native American child, the October 5, 2022 order shall be reinstated. If the Agency or the juvenile court has reason to believe or reason to know J.M. is a Native American child, the juvenile court shall proceed accordingly. In all other respects, the October 5, 2022 order is affirmed.</w:t>
      </w:r>
    </w:p>
    <w:p>
      <w:pPr>
        <w:keepNext w:val="0"/>
        <w:spacing w:before="200" w:after="0" w:line="260" w:lineRule="atLeast"/>
        <w:ind w:left="0" w:right="0" w:firstLine="0"/>
        <w:jc w:val="both"/>
      </w:pPr>
      <w:bookmarkStart w:id="163" w:name="Bookmark_para_64"/>
      <w:bookmarkEnd w:id="163"/>
      <w:r>
        <w:rPr>
          <w:rFonts w:ascii="arial" w:eastAsia="arial" w:hAnsi="arial" w:cs="arial"/>
          <w:b w:val="0"/>
          <w:i w:val="0"/>
          <w:strike w:val="0"/>
          <w:noProof w:val="0"/>
          <w:color w:val="000000"/>
          <w:position w:val="0"/>
          <w:sz w:val="20"/>
          <w:u w:val="none"/>
          <w:vertAlign w:val="baseline"/>
        </w:rPr>
        <w:t>DO, J.</w:t>
      </w:r>
    </w:p>
    <w:p>
      <w:pPr>
        <w:keepNext w:val="0"/>
        <w:spacing w:before="200" w:after="0" w:line="260" w:lineRule="atLeast"/>
        <w:ind w:left="0" w:right="0" w:firstLine="0"/>
        <w:jc w:val="both"/>
      </w:pPr>
      <w:bookmarkStart w:id="164" w:name="Bookmark_para_65"/>
      <w:bookmarkEnd w:id="164"/>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165" w:name="Bookmark_para_66"/>
      <w:bookmarkEnd w:id="165"/>
      <w:r>
        <w:rPr>
          <w:rFonts w:ascii="arial" w:eastAsia="arial" w:hAnsi="arial" w:cs="arial"/>
          <w:b w:val="0"/>
          <w:i w:val="0"/>
          <w:strike w:val="0"/>
          <w:noProof w:val="0"/>
          <w:color w:val="000000"/>
          <w:position w:val="0"/>
          <w:sz w:val="20"/>
          <w:u w:val="none"/>
          <w:vertAlign w:val="baseline"/>
        </w:rPr>
        <w:t>IRION, Acting P. J.</w:t>
      </w:r>
    </w:p>
    <w:p>
      <w:pPr>
        <w:keepNext w:val="0"/>
        <w:spacing w:before="200" w:after="0" w:line="260" w:lineRule="atLeast"/>
        <w:ind w:left="0" w:right="0" w:firstLine="0"/>
        <w:jc w:val="both"/>
      </w:pPr>
      <w:bookmarkStart w:id="166" w:name="Bookmark_para_67"/>
      <w:bookmarkEnd w:id="166"/>
      <w:r>
        <w:rPr>
          <w:rFonts w:ascii="arial" w:eastAsia="arial" w:hAnsi="arial" w:cs="arial"/>
          <w:b w:val="0"/>
          <w:i w:val="0"/>
          <w:strike w:val="0"/>
          <w:noProof w:val="0"/>
          <w:color w:val="000000"/>
          <w:position w:val="0"/>
          <w:sz w:val="20"/>
          <w:u w:val="none"/>
          <w:vertAlign w:val="baseline"/>
        </w:rPr>
        <w:t>BUCHANAN,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All further statutory references are to the Welfare and Institutions Code unless otherwise indicated.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bookmarkStart w:id="17" w:name="Bookmark_I67Y16T22D6MV00020000400"/>
      <w:bookmarkEnd w:id="17"/>
      <w:r>
        <w:rPr>
          <w:rFonts w:ascii="arial" w:eastAsia="arial" w:hAnsi="arial" w:cs="arial"/>
          <w:b w:val="0"/>
          <w:i w:val="0"/>
          <w:strike w:val="0"/>
          <w:noProof w:val="0"/>
          <w:color w:val="000000"/>
          <w:position w:val="0"/>
          <w:sz w:val="18"/>
          <w:u w:val="none"/>
          <w:vertAlign w:val="baseline"/>
        </w:rPr>
        <w:t xml:space="preserve">In addition to the order denying her </w:t>
      </w:r>
      <w:r>
        <w:rPr>
          <w:rFonts w:ascii="arial" w:eastAsia="arial" w:hAnsi="arial" w:cs="arial"/>
          <w:b/>
          <w:i/>
          <w:strike w:val="0"/>
          <w:noProof w:val="0"/>
          <w:color w:val="000000"/>
          <w:position w:val="0"/>
          <w:sz w:val="18"/>
          <w:u w:val="none"/>
          <w:vertAlign w:val="baseline"/>
        </w:rPr>
        <w:t>section 388</w:t>
      </w:r>
      <w:r>
        <w:rPr>
          <w:rFonts w:ascii="arial" w:eastAsia="arial" w:hAnsi="arial" w:cs="arial"/>
          <w:b w:val="0"/>
          <w:i w:val="0"/>
          <w:strike w:val="0"/>
          <w:noProof w:val="0"/>
          <w:color w:val="000000"/>
          <w:position w:val="0"/>
          <w:sz w:val="18"/>
          <w:u w:val="none"/>
          <w:vertAlign w:val="baseline"/>
        </w:rPr>
        <w:t xml:space="preserve"> petition, Mother states in her Notice of Appeal that she also challenges orders made on August 30, 2022 and September 28, 2022. But she does not state the grounds upon which she appeals these other orders and does not challenge them in her briefing on appeal. To the extent Mother intended to raise additional issues by way of her notice of appeal, we deem them forfeited and do not address them. (</w:t>
      </w:r>
      <w:bookmarkStart w:id="18" w:name="Bookmark_I67Y16T22D6MV00010000400"/>
      <w:bookmarkEnd w:id="18"/>
      <w:hyperlink r:id="rId1" w:history="1">
        <w:r>
          <w:rPr>
            <w:rFonts w:ascii="arial" w:eastAsia="arial" w:hAnsi="arial" w:cs="arial"/>
            <w:b w:val="0"/>
            <w:i/>
            <w:strike w:val="0"/>
            <w:noProof w:val="0"/>
            <w:color w:val="0077CC"/>
            <w:position w:val="0"/>
            <w:sz w:val="18"/>
            <w:u w:val="single"/>
            <w:vertAlign w:val="baseline"/>
          </w:rPr>
          <w:t>People v. Roscoe</w:t>
        </w:r>
      </w:hyperlink>
      <w:hyperlink r:id="rId1" w:history="1">
        <w:r>
          <w:rPr>
            <w:rFonts w:ascii="arial" w:eastAsia="arial" w:hAnsi="arial" w:cs="arial"/>
            <w:b w:val="0"/>
            <w:i/>
            <w:strike w:val="0"/>
            <w:noProof w:val="0"/>
            <w:color w:val="0077CC"/>
            <w:position w:val="0"/>
            <w:sz w:val="18"/>
            <w:u w:val="single"/>
            <w:vertAlign w:val="baseline"/>
          </w:rPr>
          <w:t xml:space="preserve"> (2008) 169 Cal.App.4th 829, 840, 87 Cal. Rptr. 3d 187</w:t>
        </w:r>
      </w:hyperlink>
      <w:r>
        <w:rPr>
          <w:rFonts w:ascii="arial" w:eastAsia="arial" w:hAnsi="arial" w:cs="arial"/>
          <w:b w:val="0"/>
          <w:i w:val="0"/>
          <w:strike w:val="0"/>
          <w:noProof w:val="0"/>
          <w:color w:val="000000"/>
          <w:position w:val="0"/>
          <w:sz w:val="18"/>
          <w:u w:val="none"/>
          <w:vertAlign w:val="baseline"/>
        </w:rPr>
        <w:t xml:space="preserve"> [issues not raised in the opening brief are forfeited]; see also </w:t>
      </w:r>
      <w:bookmarkStart w:id="19" w:name="Bookmark_I67Y16T22D6MV00030000400"/>
      <w:bookmarkEnd w:id="19"/>
      <w:hyperlink r:id="rId2" w:history="1">
        <w:r>
          <w:rPr>
            <w:rFonts w:ascii="arial" w:eastAsia="arial" w:hAnsi="arial" w:cs="arial"/>
            <w:b w:val="0"/>
            <w:i/>
            <w:strike w:val="0"/>
            <w:noProof w:val="0"/>
            <w:color w:val="0077CC"/>
            <w:position w:val="0"/>
            <w:sz w:val="18"/>
            <w:u w:val="single"/>
            <w:vertAlign w:val="baseline"/>
          </w:rPr>
          <w:t>Berger v. Godden</w:t>
        </w:r>
      </w:hyperlink>
      <w:hyperlink r:id="rId2" w:history="1">
        <w:r>
          <w:rPr>
            <w:rFonts w:ascii="arial" w:eastAsia="arial" w:hAnsi="arial" w:cs="arial"/>
            <w:b w:val="0"/>
            <w:i/>
            <w:strike w:val="0"/>
            <w:noProof w:val="0"/>
            <w:color w:val="0077CC"/>
            <w:position w:val="0"/>
            <w:sz w:val="18"/>
            <w:u w:val="single"/>
            <w:vertAlign w:val="baseline"/>
          </w:rPr>
          <w:t xml:space="preserve"> (1985) 163 Cal.App.3d 1113, 1119-20, 210 Cal. Rptr. 109</w:t>
        </w:r>
      </w:hyperlink>
      <w:r>
        <w:rPr>
          <w:rFonts w:ascii="arial" w:eastAsia="arial" w:hAnsi="arial" w:cs="arial"/>
          <w:b w:val="0"/>
          <w:i w:val="0"/>
          <w:strike w:val="0"/>
          <w:noProof w:val="0"/>
          <w:color w:val="000000"/>
          <w:position w:val="0"/>
          <w:sz w:val="18"/>
          <w:u w:val="none"/>
          <w:vertAlign w:val="baseline"/>
        </w:rPr>
        <w:t xml:space="preserve"> [an appellate court is not required to "consider alleged error where the appellant merely complains of it without pertinent argument"].)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bookmarkStart w:id="21" w:name="Bookmark_I67Y16T22N1PNK0010000400"/>
      <w:bookmarkEnd w:id="21"/>
      <w:r>
        <w:rPr>
          <w:rFonts w:ascii="arial" w:eastAsia="arial" w:hAnsi="arial" w:cs="arial"/>
          <w:b w:val="0"/>
          <w:i w:val="0"/>
          <w:strike w:val="0"/>
          <w:noProof w:val="0"/>
          <w:color w:val="000000"/>
          <w:position w:val="0"/>
          <w:sz w:val="18"/>
          <w:u w:val="none"/>
          <w:vertAlign w:val="baseline"/>
        </w:rPr>
        <w:t>"In accord with the usual rules on appeal, we state the facts in the manner most favorable to the dependency court's order." (</w:t>
      </w:r>
      <w:bookmarkStart w:id="22" w:name="Bookmark_I67Y16T22D6MV00050000400"/>
      <w:bookmarkEnd w:id="22"/>
      <w:hyperlink r:id="rId3" w:history="1">
        <w:r>
          <w:rPr>
            <w:rFonts w:ascii="arial" w:eastAsia="arial" w:hAnsi="arial" w:cs="arial"/>
            <w:b w:val="0"/>
            <w:i/>
            <w:strike w:val="0"/>
            <w:noProof w:val="0"/>
            <w:color w:val="0077CC"/>
            <w:position w:val="0"/>
            <w:sz w:val="18"/>
            <w:u w:val="single"/>
            <w:vertAlign w:val="baseline"/>
          </w:rPr>
          <w:t>In re Janee W.</w:t>
        </w:r>
      </w:hyperlink>
      <w:hyperlink r:id="rId3" w:history="1">
        <w:r>
          <w:rPr>
            <w:rFonts w:ascii="arial" w:eastAsia="arial" w:hAnsi="arial" w:cs="arial"/>
            <w:b w:val="0"/>
            <w:i/>
            <w:strike w:val="0"/>
            <w:noProof w:val="0"/>
            <w:color w:val="0077CC"/>
            <w:position w:val="0"/>
            <w:sz w:val="18"/>
            <w:u w:val="single"/>
            <w:vertAlign w:val="baseline"/>
          </w:rPr>
          <w:t xml:space="preserve"> (2006) 140 Cal.App.4th 1444, 1448, fn. 1, 45 Cal. Rptr. 3d 445</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4" w:name="Bookmark_fnpara_4"/>
      <w:bookmarkEnd w:id="24"/>
      <w:r>
        <w:rPr>
          <w:rFonts w:ascii="arial" w:eastAsia="arial" w:hAnsi="arial" w:cs="arial"/>
          <w:b w:val="0"/>
          <w:i w:val="0"/>
          <w:strike w:val="0"/>
          <w:noProof w:val="0"/>
          <w:color w:val="000000"/>
          <w:position w:val="0"/>
          <w:sz w:val="18"/>
          <w:u w:val="none"/>
          <w:vertAlign w:val="baseline"/>
        </w:rPr>
        <w:t>Because Father is not a party to this appeal, we discuss him only to the extent relevant to Mother's appeal.</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2" w:name="Bookmark_fnpara_5"/>
      <w:bookmarkEnd w:id="32"/>
      <w:r>
        <w:rPr>
          <w:rFonts w:ascii="arial" w:eastAsia="arial" w:hAnsi="arial" w:cs="arial"/>
          <w:b w:val="0"/>
          <w:i w:val="0"/>
          <w:strike w:val="0"/>
          <w:noProof w:val="0"/>
          <w:color w:val="000000"/>
          <w:position w:val="0"/>
          <w:sz w:val="18"/>
          <w:u w:val="none"/>
          <w:vertAlign w:val="baseline"/>
        </w:rPr>
        <w:t>For ease, we refer to maternal grandmother and maternal step-grandfather as "maternal grandparents."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0" w:name="Bookmark_fnpara_6"/>
      <w:bookmarkEnd w:id="40"/>
      <w:r>
        <w:rPr>
          <w:rFonts w:ascii="arial" w:eastAsia="arial" w:hAnsi="arial" w:cs="arial"/>
          <w:b w:val="0"/>
          <w:i w:val="0"/>
          <w:strike w:val="0"/>
          <w:noProof w:val="0"/>
          <w:color w:val="000000"/>
          <w:position w:val="0"/>
          <w:sz w:val="18"/>
          <w:u w:val="none"/>
          <w:vertAlign w:val="baseline"/>
        </w:rPr>
        <w:t>As explained in the Agency's January 14, 2021 addendum report, Narcan is a medication designed to rapidly reverse opioid overdose.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5" w:name="Bookmark_fnpara_7"/>
      <w:bookmarkEnd w:id="55"/>
      <w:bookmarkStart w:id="56" w:name="Bookmark_I67Y16T22N1PNK0030000400"/>
      <w:bookmarkEnd w:id="56"/>
      <w:r>
        <w:rPr>
          <w:rFonts w:ascii="arial" w:eastAsia="arial" w:hAnsi="arial" w:cs="arial"/>
          <w:b w:val="0"/>
          <w:i w:val="0"/>
          <w:strike w:val="0"/>
          <w:noProof w:val="0"/>
          <w:color w:val="000000"/>
          <w:position w:val="0"/>
          <w:sz w:val="18"/>
          <w:u w:val="none"/>
          <w:vertAlign w:val="baseline"/>
        </w:rPr>
        <w:t xml:space="preserve">The juvenile court must liberally construe a </w:t>
      </w:r>
      <w:r>
        <w:rPr>
          <w:rFonts w:ascii="arial" w:eastAsia="arial" w:hAnsi="arial" w:cs="arial"/>
          <w:b/>
          <w:i/>
          <w:strike w:val="0"/>
          <w:noProof w:val="0"/>
          <w:color w:val="000000"/>
          <w:position w:val="0"/>
          <w:sz w:val="18"/>
          <w:u w:val="none"/>
          <w:vertAlign w:val="baseline"/>
        </w:rPr>
        <w:t>section 388</w:t>
      </w:r>
      <w:r>
        <w:rPr>
          <w:rFonts w:ascii="arial" w:eastAsia="arial" w:hAnsi="arial" w:cs="arial"/>
          <w:b w:val="0"/>
          <w:i w:val="0"/>
          <w:strike w:val="0"/>
          <w:noProof w:val="0"/>
          <w:color w:val="000000"/>
          <w:position w:val="0"/>
          <w:sz w:val="18"/>
          <w:u w:val="none"/>
          <w:vertAlign w:val="baseline"/>
        </w:rPr>
        <w:t xml:space="preserve"> petition in favor of its sufficiency for the granting of an evidentiary hearing. </w:t>
      </w:r>
      <w:bookmarkStart w:id="57" w:name="Bookmark_I67Y16T22N1PNK0050000400"/>
      <w:bookmarkEnd w:id="57"/>
      <w:r>
        <w:rPr>
          <w:rFonts w:ascii="arial" w:eastAsia="arial" w:hAnsi="arial" w:cs="arial"/>
          <w:b w:val="0"/>
          <w:i w:val="0"/>
          <w:strike w:val="0"/>
          <w:noProof w:val="0"/>
          <w:color w:val="000000"/>
          <w:position w:val="0"/>
          <w:sz w:val="18"/>
          <w:u w:val="none"/>
          <w:vertAlign w:val="baseline"/>
        </w:rPr>
        <w:t>(</w:t>
      </w:r>
      <w:bookmarkStart w:id="58" w:name="Bookmark_I67Y16T22N1PNK0020000400"/>
      <w:bookmarkEnd w:id="58"/>
      <w:hyperlink r:id="rId4" w:history="1">
        <w:r>
          <w:rPr>
            <w:rFonts w:ascii="arial" w:eastAsia="arial" w:hAnsi="arial" w:cs="arial"/>
            <w:b w:val="0"/>
            <w:i/>
            <w:strike w:val="0"/>
            <w:noProof w:val="0"/>
            <w:color w:val="0077CC"/>
            <w:position w:val="0"/>
            <w:sz w:val="18"/>
            <w:u w:val="single"/>
            <w:vertAlign w:val="baseline"/>
          </w:rPr>
          <w:t>In re Marilyn H.</w:t>
        </w:r>
      </w:hyperlink>
      <w:hyperlink r:id="rId4" w:history="1">
        <w:r>
          <w:rPr>
            <w:rFonts w:ascii="arial" w:eastAsia="arial" w:hAnsi="arial" w:cs="arial"/>
            <w:b w:val="0"/>
            <w:i/>
            <w:strike w:val="0"/>
            <w:noProof w:val="0"/>
            <w:color w:val="0077CC"/>
            <w:position w:val="0"/>
            <w:sz w:val="18"/>
            <w:u w:val="single"/>
            <w:vertAlign w:val="baseline"/>
          </w:rPr>
          <w:t xml:space="preserve"> (1993) 5 Cal.4th 295, 309, 19 Cal. Rptr. 2d 544, 851 P.2d 826</w:t>
        </w:r>
      </w:hyperlink>
      <w:r>
        <w:rPr>
          <w:rFonts w:ascii="arial" w:eastAsia="arial" w:hAnsi="arial" w:cs="arial"/>
          <w:b w:val="0"/>
          <w:i w:val="0"/>
          <w:strike w:val="0"/>
          <w:noProof w:val="0"/>
          <w:color w:val="000000"/>
          <w:position w:val="0"/>
          <w:sz w:val="18"/>
          <w:u w:val="none"/>
          <w:vertAlign w:val="baseline"/>
        </w:rPr>
        <w:t xml:space="preserve">.) The petitioner need not show a probability of prevailing on the petition at a full hearing; rather, the petitioner need only make a prima facie showing to trigger the evidentiary hearing requirement. </w:t>
      </w:r>
      <w:bookmarkStart w:id="59" w:name="Bookmark_I67Y16T22N1PNK0050000400_2"/>
      <w:bookmarkEnd w:id="59"/>
      <w:r>
        <w:rPr>
          <w:rFonts w:ascii="arial" w:eastAsia="arial" w:hAnsi="arial" w:cs="arial"/>
          <w:b w:val="0"/>
          <w:i w:val="0"/>
          <w:strike w:val="0"/>
          <w:noProof w:val="0"/>
          <w:color w:val="000000"/>
          <w:position w:val="0"/>
          <w:sz w:val="18"/>
          <w:u w:val="none"/>
          <w:vertAlign w:val="baseline"/>
        </w:rPr>
        <w:t>(</w:t>
      </w:r>
      <w:bookmarkStart w:id="60" w:name="Bookmark_I67Y16T22N1PNK0040000400"/>
      <w:bookmarkEnd w:id="60"/>
      <w:hyperlink r:id="rId5" w:history="1">
        <w:r>
          <w:rPr>
            <w:rFonts w:ascii="arial" w:eastAsia="arial" w:hAnsi="arial" w:cs="arial"/>
            <w:b w:val="0"/>
            <w:i/>
            <w:strike w:val="0"/>
            <w:noProof w:val="0"/>
            <w:color w:val="0077CC"/>
            <w:position w:val="0"/>
            <w:sz w:val="18"/>
            <w:u w:val="single"/>
            <w:vertAlign w:val="baseline"/>
          </w:rPr>
          <w:t>In re Aljamie D.</w:t>
        </w:r>
      </w:hyperlink>
      <w:hyperlink r:id="rId5" w:history="1">
        <w:r>
          <w:rPr>
            <w:rFonts w:ascii="arial" w:eastAsia="arial" w:hAnsi="arial" w:cs="arial"/>
            <w:b w:val="0"/>
            <w:i/>
            <w:strike w:val="0"/>
            <w:noProof w:val="0"/>
            <w:color w:val="0077CC"/>
            <w:position w:val="0"/>
            <w:sz w:val="18"/>
            <w:u w:val="single"/>
            <w:vertAlign w:val="baseline"/>
          </w:rPr>
          <w:t xml:space="preserve"> (2000) 84 Cal.App.4th 424, 432, 100 Cal. Rptr. 2d 811</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2" w:name="Bookmark_fnpara_8"/>
      <w:bookmarkEnd w:id="62"/>
      <w:r>
        <w:rPr>
          <w:rFonts w:ascii="arial" w:eastAsia="arial" w:hAnsi="arial" w:cs="arial"/>
          <w:b w:val="0"/>
          <w:i w:val="0"/>
          <w:strike w:val="0"/>
          <w:noProof w:val="0"/>
          <w:color w:val="000000"/>
          <w:position w:val="0"/>
          <w:sz w:val="18"/>
          <w:u w:val="none"/>
          <w:vertAlign w:val="baseline"/>
        </w:rPr>
        <w:t xml:space="preserve">During a chambers conference before the hearing, Mother agreed the juvenile court should first address the section 366.26 issues before addressing the </w:t>
      </w:r>
      <w:r>
        <w:rPr>
          <w:rFonts w:ascii="arial" w:eastAsia="arial" w:hAnsi="arial" w:cs="arial"/>
          <w:b/>
          <w:i/>
          <w:strike w:val="0"/>
          <w:noProof w:val="0"/>
          <w:color w:val="000000"/>
          <w:position w:val="0"/>
          <w:sz w:val="18"/>
          <w:u w:val="none"/>
          <w:vertAlign w:val="baseline"/>
        </w:rPr>
        <w:t>section 388</w:t>
      </w:r>
      <w:r>
        <w:rPr>
          <w:rFonts w:ascii="arial" w:eastAsia="arial" w:hAnsi="arial" w:cs="arial"/>
          <w:b w:val="0"/>
          <w:i w:val="0"/>
          <w:strike w:val="0"/>
          <w:noProof w:val="0"/>
          <w:color w:val="000000"/>
          <w:position w:val="0"/>
          <w:sz w:val="18"/>
          <w:u w:val="none"/>
          <w:vertAlign w:val="baseline"/>
        </w:rPr>
        <w:t xml:space="preserve"> petition. Although Mother does not raise any complaints regarding the sequencing of the 388 petition, because Mother sought only to modify a prior no-contact order through her </w:t>
      </w:r>
      <w:r>
        <w:rPr>
          <w:rFonts w:ascii="arial" w:eastAsia="arial" w:hAnsi="arial" w:cs="arial"/>
          <w:b/>
          <w:i/>
          <w:strike w:val="0"/>
          <w:noProof w:val="0"/>
          <w:color w:val="000000"/>
          <w:position w:val="0"/>
          <w:sz w:val="18"/>
          <w:u w:val="none"/>
          <w:vertAlign w:val="baseline"/>
        </w:rPr>
        <w:t>section 388</w:t>
      </w:r>
      <w:r>
        <w:rPr>
          <w:rFonts w:ascii="arial" w:eastAsia="arial" w:hAnsi="arial" w:cs="arial"/>
          <w:b w:val="0"/>
          <w:i w:val="0"/>
          <w:strike w:val="0"/>
          <w:noProof w:val="0"/>
          <w:color w:val="000000"/>
          <w:position w:val="0"/>
          <w:sz w:val="18"/>
          <w:u w:val="none"/>
          <w:vertAlign w:val="baseline"/>
        </w:rPr>
        <w:t xml:space="preserve"> petition, we perceive no issue with the order in which the court heard the petitions.</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4" w:name="Bookmark_fnpara_9"/>
      <w:bookmarkEnd w:id="64"/>
      <w:r>
        <w:rPr>
          <w:rFonts w:ascii="arial" w:eastAsia="arial" w:hAnsi="arial" w:cs="arial"/>
          <w:b w:val="0"/>
          <w:i w:val="0"/>
          <w:strike w:val="0"/>
          <w:noProof w:val="0"/>
          <w:color w:val="000000"/>
          <w:position w:val="0"/>
          <w:sz w:val="18"/>
          <w:u w:val="none"/>
          <w:vertAlign w:val="baseline"/>
        </w:rPr>
        <w:t>The court explained the exception applied because the maternal grandparents, who were the de facto parents, were unable to adopt J.M. due to their Resource Family Approval (RFA) license's rescission. It found that, when considering the totality of the circumstances, the maternal grandparents were willing and capable of providing a stable and permanent environment for J.M. and that they had done so since the December 2020 fentanyl incident. It further found J.M. had lived with maternal grandparents since August 2019, aside from a few weeks, and that removal would be detrimental to his wellbeing.</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07" w:name="Bookmark_fnpara_10"/>
      <w:bookmarkEnd w:id="107"/>
      <w:bookmarkStart w:id="108" w:name="Bookmark_I67Y16T42SF8TS0050000400"/>
      <w:bookmarkEnd w:id="108"/>
      <w:bookmarkStart w:id="109" w:name="Bookmark_I67Y16T428T4060020000400"/>
      <w:bookmarkEnd w:id="109"/>
      <w:r>
        <w:rPr>
          <w:rFonts w:ascii="arial" w:eastAsia="arial" w:hAnsi="arial" w:cs="arial"/>
          <w:b w:val="0"/>
          <w:i w:val="0"/>
          <w:strike w:val="0"/>
          <w:noProof w:val="0"/>
          <w:color w:val="000000"/>
          <w:position w:val="0"/>
          <w:sz w:val="18"/>
          <w:u w:val="none"/>
          <w:vertAlign w:val="baseline"/>
        </w:rPr>
        <w:t xml:space="preserve">As Mother observes, the standard for evaluating changed circumstances is not settled: some courts use the "changed" versus "changing" circumstances distinction while others use the factors set forth in </w:t>
      </w:r>
      <w:bookmarkStart w:id="110" w:name="Bookmark_I67Y16T42SF8TS0040000400"/>
      <w:bookmarkEnd w:id="110"/>
      <w:hyperlink r:id="rId6" w:history="1">
        <w:r>
          <w:rPr>
            <w:rFonts w:ascii="arial" w:eastAsia="arial" w:hAnsi="arial" w:cs="arial"/>
            <w:b w:val="0"/>
            <w:i/>
            <w:strike w:val="0"/>
            <w:noProof w:val="0"/>
            <w:color w:val="0077CC"/>
            <w:position w:val="0"/>
            <w:sz w:val="18"/>
            <w:u w:val="single"/>
            <w:vertAlign w:val="baseline"/>
          </w:rPr>
          <w:t>Kimberly F., supra</w:t>
        </w:r>
      </w:hyperlink>
      <w:hyperlink r:id="rId6" w:history="1">
        <w:r>
          <w:rPr>
            <w:rFonts w:ascii="arial" w:eastAsia="arial" w:hAnsi="arial" w:cs="arial"/>
            <w:b w:val="0"/>
            <w:i/>
            <w:strike w:val="0"/>
            <w:noProof w:val="0"/>
            <w:color w:val="0077CC"/>
            <w:position w:val="0"/>
            <w:sz w:val="18"/>
            <w:u w:val="single"/>
            <w:vertAlign w:val="baseline"/>
          </w:rPr>
          <w:t>, 56 Cal.App.4th at p. 532</w:t>
        </w:r>
      </w:hyperlink>
      <w:r>
        <w:rPr>
          <w:rFonts w:ascii="arial" w:eastAsia="arial" w:hAnsi="arial" w:cs="arial"/>
          <w:b w:val="0"/>
          <w:i w:val="0"/>
          <w:strike w:val="0"/>
          <w:noProof w:val="0"/>
          <w:color w:val="000000"/>
          <w:position w:val="0"/>
          <w:sz w:val="18"/>
          <w:u w:val="none"/>
          <w:vertAlign w:val="baseline"/>
        </w:rPr>
        <w:t>. (</w:t>
      </w:r>
      <w:bookmarkStart w:id="111" w:name="Bookmark_I67Y16T428T4060010000400"/>
      <w:bookmarkEnd w:id="111"/>
      <w:hyperlink r:id="rId6" w:history="1">
        <w:r>
          <w:rPr>
            <w:rFonts w:ascii="arial" w:eastAsia="arial" w:hAnsi="arial" w:cs="arial"/>
            <w:b w:val="0"/>
            <w:i/>
            <w:strike w:val="0"/>
            <w:noProof w:val="0"/>
            <w:color w:val="0077CC"/>
            <w:position w:val="0"/>
            <w:sz w:val="18"/>
            <w:u w:val="single"/>
            <w:vertAlign w:val="baseline"/>
          </w:rPr>
          <w:t>Kimberly F., supra</w:t>
        </w:r>
      </w:hyperlink>
      <w:hyperlink r:id="rId6" w:history="1">
        <w:r>
          <w:rPr>
            <w:rFonts w:ascii="arial" w:eastAsia="arial" w:hAnsi="arial" w:cs="arial"/>
            <w:b w:val="0"/>
            <w:i/>
            <w:strike w:val="0"/>
            <w:noProof w:val="0"/>
            <w:color w:val="0077CC"/>
            <w:position w:val="0"/>
            <w:sz w:val="18"/>
            <w:u w:val="single"/>
            <w:vertAlign w:val="baseline"/>
          </w:rPr>
          <w:t>, 56 Cal.App.4th at p. 531]</w:t>
        </w:r>
      </w:hyperlink>
      <w:r>
        <w:rPr>
          <w:rFonts w:ascii="arial" w:eastAsia="arial" w:hAnsi="arial" w:cs="arial"/>
          <w:b w:val="0"/>
          <w:i w:val="0"/>
          <w:strike w:val="0"/>
          <w:noProof w:val="0"/>
          <w:color w:val="000000"/>
          <w:position w:val="0"/>
          <w:sz w:val="18"/>
          <w:u w:val="none"/>
          <w:vertAlign w:val="baseline"/>
        </w:rPr>
        <w:t xml:space="preserve"> [to evaluate changed circumstances, courts should consider (1) the nature of the change, the ease by which the change could be brought about, and the reason the change was not made earlier in the case].) Because our conclusion—that the juvenile court did not abuse its discretion in finding Mother failed to establish the changed circumstances required for her </w:t>
      </w:r>
      <w:r>
        <w:rPr>
          <w:rFonts w:ascii="arial" w:eastAsia="arial" w:hAnsi="arial" w:cs="arial"/>
          <w:b/>
          <w:i/>
          <w:strike w:val="0"/>
          <w:noProof w:val="0"/>
          <w:color w:val="000000"/>
          <w:position w:val="0"/>
          <w:sz w:val="18"/>
          <w:u w:val="none"/>
          <w:vertAlign w:val="baseline"/>
        </w:rPr>
        <w:t>section 388</w:t>
      </w:r>
      <w:r>
        <w:rPr>
          <w:rFonts w:ascii="arial" w:eastAsia="arial" w:hAnsi="arial" w:cs="arial"/>
          <w:b w:val="0"/>
          <w:i w:val="0"/>
          <w:strike w:val="0"/>
          <w:noProof w:val="0"/>
          <w:color w:val="000000"/>
          <w:position w:val="0"/>
          <w:sz w:val="18"/>
          <w:u w:val="none"/>
          <w:vertAlign w:val="baseline"/>
        </w:rPr>
        <w:t xml:space="preserve"> petition would be the same under either articulation of changed circumstances—the distinction is immaterial.</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13" w:name="Bookmark_fnpara_11"/>
      <w:bookmarkEnd w:id="113"/>
      <w:r>
        <w:rPr>
          <w:rFonts w:ascii="arial" w:eastAsia="arial" w:hAnsi="arial" w:cs="arial"/>
          <w:b w:val="0"/>
          <w:i w:val="0"/>
          <w:strike w:val="0"/>
          <w:noProof w:val="0"/>
          <w:color w:val="000000"/>
          <w:position w:val="0"/>
          <w:sz w:val="18"/>
          <w:u w:val="none"/>
          <w:vertAlign w:val="baseline"/>
        </w:rPr>
        <w:t xml:space="preserve">At the initial </w:t>
      </w:r>
      <w:r>
        <w:rPr>
          <w:rFonts w:ascii="arial" w:eastAsia="arial" w:hAnsi="arial" w:cs="arial"/>
          <w:b/>
          <w:i/>
          <w:strike w:val="0"/>
          <w:noProof w:val="0"/>
          <w:color w:val="000000"/>
          <w:position w:val="0"/>
          <w:sz w:val="18"/>
          <w:u w:val="none"/>
          <w:vertAlign w:val="baseline"/>
        </w:rPr>
        <w:t>section 388</w:t>
      </w:r>
      <w:r>
        <w:rPr>
          <w:rFonts w:ascii="arial" w:eastAsia="arial" w:hAnsi="arial" w:cs="arial"/>
          <w:b w:val="0"/>
          <w:i w:val="0"/>
          <w:strike w:val="0"/>
          <w:noProof w:val="0"/>
          <w:color w:val="000000"/>
          <w:position w:val="0"/>
          <w:sz w:val="18"/>
          <w:u w:val="none"/>
          <w:vertAlign w:val="baseline"/>
        </w:rPr>
        <w:t xml:space="preserve"> prima facie hearing, Mother's attorney mentioned Mother's openness to "additional restrictions . . . such as having the visitations begin off as virtual, telephonic or video." In finding that Mother made a prima facie showing necessary to warrant an evidentiary hearing on her petition, the juvenile court stated that "supervised visitation, specifically as proposed by Mother's counsel, video or telephonic with a supervisor, would not be harmful to the minor's physical or emotional well-being if done in a trauma-informed way." Yet, neither Mother, any party, or the juvenile court ever raised the possibility of virtual or video visitation again. That is despite the fact that Mother's counsel made extensive closing and rebuttal arguments at the October 5, 2022 </w:t>
      </w:r>
      <w:r>
        <w:rPr>
          <w:rFonts w:ascii="arial" w:eastAsia="arial" w:hAnsi="arial" w:cs="arial"/>
          <w:b/>
          <w:i/>
          <w:strike w:val="0"/>
          <w:noProof w:val="0"/>
          <w:color w:val="000000"/>
          <w:position w:val="0"/>
          <w:sz w:val="18"/>
          <w:u w:val="none"/>
          <w:vertAlign w:val="baseline"/>
        </w:rPr>
        <w:t>section 388</w:t>
      </w:r>
      <w:r>
        <w:rPr>
          <w:rFonts w:ascii="arial" w:eastAsia="arial" w:hAnsi="arial" w:cs="arial"/>
          <w:b w:val="0"/>
          <w:i w:val="0"/>
          <w:strike w:val="0"/>
          <w:noProof w:val="0"/>
          <w:color w:val="000000"/>
          <w:position w:val="0"/>
          <w:sz w:val="18"/>
          <w:u w:val="none"/>
          <w:vertAlign w:val="baseline"/>
        </w:rPr>
        <w:t xml:space="preserve"> evidentiary hearing.</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57" w:name="Bookmark_fnpara_12"/>
      <w:bookmarkEnd w:id="157"/>
      <w:r>
        <w:rPr>
          <w:rFonts w:ascii="arial" w:eastAsia="arial" w:hAnsi="arial" w:cs="arial"/>
          <w:b w:val="0"/>
          <w:i w:val="0"/>
          <w:strike w:val="0"/>
          <w:noProof w:val="0"/>
          <w:color w:val="000000"/>
          <w:position w:val="0"/>
          <w:sz w:val="18"/>
          <w:u w:val="none"/>
          <w:vertAlign w:val="baseline"/>
        </w:rPr>
        <w:t>As the Agency observes, it is unclear what type of relationship some of these individuals had with J.M. Thus it is also unclear whether all of these persons qualify as an "extended family member" or an otherwise necessary subject of ICWA inquiry under section 224.2, subdivision (b). Regardless, the Agency states it will attempt to obtain this information from maternal grandmother on remand and complete its investigation under section 224.2.</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59" w:name="Bookmark_fnpara_13"/>
      <w:bookmarkEnd w:id="159"/>
      <w:r>
        <w:rPr>
          <w:rFonts w:ascii="arial" w:eastAsia="arial" w:hAnsi="arial" w:cs="arial"/>
          <w:b w:val="0"/>
          <w:i w:val="0"/>
          <w:strike w:val="0"/>
          <w:noProof w:val="0"/>
          <w:color w:val="000000"/>
          <w:position w:val="0"/>
          <w:sz w:val="18"/>
          <w:u w:val="none"/>
          <w:vertAlign w:val="baseline"/>
        </w:rPr>
        <w:t>Because the issue has not been raised on appeal, we assume without deciding that the expanded duty of initial inquiry applies here, even though J.M. was apparently not "placed into the temporary custody of a county welfare department pursuant to Section 306 or county probation department pursuant to Section 307." (§ 224.2, subd. (b).)</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J.M., 2023 Cal. App. Unpub. LEXIS 1879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statutes-legislation&amp;id=urn:contentItem:8S9D-WBG2-D6RV-H4WJ-00000-00&amp;context=1519360" TargetMode="External" /><Relationship Id="rId12" Type="http://schemas.openxmlformats.org/officeDocument/2006/relationships/hyperlink" Target="https://advance.lexis.com/api/document?collection=cases&amp;id=urn:contentItem:3RJN-3KW0-0039-439H-00000-00&amp;context=1519360" TargetMode="External" /><Relationship Id="rId13" Type="http://schemas.openxmlformats.org/officeDocument/2006/relationships/hyperlink" Target="https://advance.lexis.com/api/document?collection=cases&amp;id=urn:contentItem:3RX4-2N60-003D-J356-00000-00&amp;context=1519360" TargetMode="External" /><Relationship Id="rId14" Type="http://schemas.openxmlformats.org/officeDocument/2006/relationships/hyperlink" Target="https://advance.lexis.com/api/document?collection=cases&amp;id=urn:contentItem:6055-J1V1-FD4T-B0Y3-00000-00&amp;context=1519360" TargetMode="External" /><Relationship Id="rId15" Type="http://schemas.openxmlformats.org/officeDocument/2006/relationships/hyperlink" Target="https://advance.lexis.com/api/document?collection=cases&amp;id=urn:contentItem:3RJN-3170-0039-4449-00000-00&amp;context=1519360" TargetMode="External" /><Relationship Id="rId16" Type="http://schemas.openxmlformats.org/officeDocument/2006/relationships/hyperlink" Target="https://advance.lexis.com/api/document?collection=cases&amp;id=urn:contentItem:3RX6-G9F0-003D-J1R4-00000-00&amp;context=1519360" TargetMode="External" /><Relationship Id="rId17" Type="http://schemas.openxmlformats.org/officeDocument/2006/relationships/hyperlink" Target="https://advance.lexis.com/api/document?collection=cases&amp;id=urn:contentItem:5D8B-9111-F04B-N0D5-00000-00&amp;context=1519360" TargetMode="External" /><Relationship Id="rId18" Type="http://schemas.openxmlformats.org/officeDocument/2006/relationships/hyperlink" Target="https://advance.lexis.com/api/document?collection=cases&amp;id=urn:contentItem:539N-DCC1-JCN8-Y1C9-00000-00&amp;context=1519360" TargetMode="External" /><Relationship Id="rId19" Type="http://schemas.openxmlformats.org/officeDocument/2006/relationships/hyperlink" Target="https://advance.lexis.com/api/document?collection=cases&amp;id=urn:contentItem:54YM-D4Y1-F04B-N08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3DM-Y501-F361-M0WY-00000-00&amp;context=1519360" TargetMode="External" /><Relationship Id="rId21" Type="http://schemas.openxmlformats.org/officeDocument/2006/relationships/hyperlink" Target="https://advance.lexis.com/api/document?collection=cases&amp;id=urn:contentItem:4CGG-XVK0-0039-4357-00000-00&amp;context=1519360" TargetMode="External" /><Relationship Id="rId22" Type="http://schemas.openxmlformats.org/officeDocument/2006/relationships/hyperlink" Target="https://advance.lexis.com/api/document?collection=cases&amp;id=urn:contentItem:3RX6-FHK0-003D-J404-00000-00&amp;context=1519360" TargetMode="External" /><Relationship Id="rId23" Type="http://schemas.openxmlformats.org/officeDocument/2006/relationships/hyperlink" Target="https://advance.lexis.com/api/document?collection=cases&amp;id=urn:contentItem:3RX6-G510-003D-J13T-00000-00&amp;context=1519360" TargetMode="External" /><Relationship Id="rId24" Type="http://schemas.openxmlformats.org/officeDocument/2006/relationships/hyperlink" Target="https://advance.lexis.com/api/document?collection=cases&amp;id=urn:contentItem:5C86-DC41-F04B-N00F-00000-00&amp;context=1519360" TargetMode="External" /><Relationship Id="rId25" Type="http://schemas.openxmlformats.org/officeDocument/2006/relationships/hyperlink" Target="https://advance.lexis.com/api/document?collection=cases&amp;id=urn:contentItem:4RB7-4YX0-TXFN-726S-00000-00&amp;context=1519360" TargetMode="External" /><Relationship Id="rId26" Type="http://schemas.openxmlformats.org/officeDocument/2006/relationships/hyperlink" Target="https://advance.lexis.com/api/document?collection=cases&amp;id=urn:contentItem:4D8V-6490-0039-41V1-00000-00&amp;context=1519360" TargetMode="External" /><Relationship Id="rId27" Type="http://schemas.openxmlformats.org/officeDocument/2006/relationships/hyperlink" Target="https://advance.lexis.com/api/document?collection=statutes-legislation&amp;id=urn:contentItem:8S9D-WBG2-D6RV-H4WM-00000-00&amp;context=151936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V-9PK1-F4GK-M13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V7G-2K70-TXFN-7330-00000-00&amp;context=1519360" TargetMode="External" /><Relationship Id="rId2" Type="http://schemas.openxmlformats.org/officeDocument/2006/relationships/hyperlink" Target="https://advance.lexis.com/api/document?collection=cases&amp;id=urn:contentItem:3RX6-KPT0-003D-J0JS-00000-00&amp;context=1519360" TargetMode="External" /><Relationship Id="rId3" Type="http://schemas.openxmlformats.org/officeDocument/2006/relationships/hyperlink" Target="https://advance.lexis.com/api/document?collection=cases&amp;id=urn:contentItem:4KB1-JXS0-0039-4497-00000-00&amp;context=1519360" TargetMode="External" /><Relationship Id="rId4" Type="http://schemas.openxmlformats.org/officeDocument/2006/relationships/hyperlink" Target="https://advance.lexis.com/api/document?collection=cases&amp;id=urn:contentItem:3RX4-4K60-003D-J40X-00000-00&amp;context=1519360" TargetMode="External" /><Relationship Id="rId5" Type="http://schemas.openxmlformats.org/officeDocument/2006/relationships/hyperlink" Target="https://advance.lexis.com/api/document?collection=cases&amp;id=urn:contentItem:41HC-42S0-0039-409W-00000-00&amp;context=1519360" TargetMode="External" /><Relationship Id="rId6" Type="http://schemas.openxmlformats.org/officeDocument/2006/relationships/hyperlink" Target="https://advance.lexis.com/api/document?collection=cases&amp;id=urn:contentItem:3RJN-3KW0-0039-439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J.M., 2023 Cal. App. Unpub. LEXIS 1879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Doc::urn:hlct:5|contextualFeaturePermID::1519360</vt:lpwstr>
  </property>
  <property fmtid="{D5CDD505-2E9C-101B-9397-08002B2CF9AE}" pid="5" name="UserPermID">
    <vt:lpwstr>urn:user:PA186186280</vt:lpwstr>
  </property>
</Properties>
</file>