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Marin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Michigan, Northern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2023, Decided; March 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1:21-cr-20406-1; Case No. 1:21-mc-50372</w:t>
      </w:r>
    </w:p>
    <w:p>
      <w:pPr>
        <w:keepNext w:val="0"/>
        <w:spacing w:after="0" w:line="240" w:lineRule="atLeast"/>
        <w:ind w:right="0"/>
        <w:jc w:val="both"/>
      </w:pPr>
      <w:bookmarkStart w:id="0" w:name="Bookmark_7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660 F. Supp. 3d 693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Dist. LEXIS 39733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DANIEL MARIN,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Appeal filed, 03/21/2023</w:t>
      </w:r>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Marin, 597 F. Supp. 3d 1162, 2022 U.S. Dist. LEXIS 67084, 2022 WL 1085678 ( E.D. Mich., Apr. 11, 2022)</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forfeiture, records, subpoenas, video, Suppress, travel, allegations, Discovery, cocaine, motions, hotel</w:t>
      </w:r>
    </w:p>
    <w:p>
      <w:pPr>
        <w:keepNext/>
        <w:spacing w:before="240" w:after="0" w:line="340" w:lineRule="atLeast"/>
        <w:ind w:left="0" w:right="0" w:firstLine="0"/>
        <w:jc w:val="left"/>
      </w:pPr>
      <w:bookmarkStart w:id="5" w:name="LexisNexis® Headnotes"/>
      <w:bookmarkEnd w:id="5"/>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6" w:name="Bookmark_clscc1"/>
      <w:bookmarkEnd w:id="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Entry of Pleas &gt; Types of Pleas &gt; No Contest Pleas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Entry of Pleas &gt; Types of Pleas &gt; Nolo Contendere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Forfeitures &gt; Proceedings</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Types of Pleas, No Contest Pleas</w:t>
      </w:r>
    </w:p>
    <w:p>
      <w:pPr>
        <w:keepNext w:val="0"/>
        <w:spacing w:before="240" w:after="0" w:line="260" w:lineRule="atLeast"/>
        <w:ind w:left="0" w:right="0" w:firstLine="0"/>
        <w:jc w:val="both"/>
      </w:pPr>
      <w:bookmarkStart w:id="7" w:name="Bookmark_hnpara_1"/>
      <w:bookmarkEnd w:id="7"/>
      <w:r>
        <w:rPr>
          <w:rFonts w:ascii="arial" w:eastAsia="arial" w:hAnsi="arial" w:cs="arial"/>
          <w:b w:val="0"/>
          <w:i w:val="0"/>
          <w:strike w:val="0"/>
          <w:noProof w:val="0"/>
          <w:color w:val="000000"/>
          <w:position w:val="0"/>
          <w:sz w:val="20"/>
          <w:u w:val="none"/>
          <w:vertAlign w:val="baseline"/>
        </w:rPr>
        <w:t>When a property is considered evidence in the criminal case, the court must determine the requisite nexus between the property and the offense and enter any preliminary forfeiture orders as soon as practical after a verdict or finding of guilty, or after a plea of guilty or nolo contendere is accepted. Fed. R. Crim. P. 32.2(b)(1)(A).</w:t>
      </w:r>
    </w:p>
    <w:p>
      <w:pPr>
        <w:spacing w:before="120"/>
      </w:pPr>
      <w:bookmarkStart w:id="8" w:name="Bookmark_clscc2"/>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Forfeitures &gt; Proceedings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Forfeitures, Proceedings</w:t>
      </w:r>
    </w:p>
    <w:p>
      <w:pPr>
        <w:keepNext w:val="0"/>
        <w:spacing w:before="240" w:after="0" w:line="260" w:lineRule="atLeast"/>
        <w:ind w:left="0" w:right="0" w:firstLine="0"/>
        <w:jc w:val="both"/>
      </w:pPr>
      <w:bookmarkStart w:id="9" w:name="Bookmark_hnpara_2"/>
      <w:bookmarkEnd w:id="9"/>
      <w:r>
        <w:rPr>
          <w:rFonts w:ascii="arial" w:eastAsia="arial" w:hAnsi="arial" w:cs="arial"/>
          <w:b w:val="0"/>
          <w:i w:val="0"/>
          <w:strike w:val="0"/>
          <w:noProof w:val="0"/>
          <w:color w:val="000000"/>
          <w:position w:val="0"/>
          <w:sz w:val="20"/>
          <w:u w:val="none"/>
          <w:vertAlign w:val="baseline"/>
        </w:rPr>
        <w:t>A pretrial motion to dismiss is not the appropriate time to determine the viability of a potential forfeiture of property after a potential conviction.</w:t>
      </w:r>
    </w:p>
    <w:p>
      <w:pPr>
        <w:spacing w:before="120"/>
      </w:pPr>
      <w:bookmarkStart w:id="10" w:name="Bookmark_clscc3"/>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Reviewability &gt; Forfeitures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Reviewability, Forfeitures</w:t>
      </w:r>
    </w:p>
    <w:p>
      <w:pPr>
        <w:keepNext w:val="0"/>
        <w:spacing w:before="240" w:after="0" w:line="260" w:lineRule="atLeast"/>
        <w:ind w:left="0" w:right="0" w:firstLine="0"/>
        <w:jc w:val="both"/>
      </w:pPr>
      <w:bookmarkStart w:id="11" w:name="Bookmark_hnpara_3"/>
      <w:bookmarkEnd w:id="11"/>
      <w:r>
        <w:rPr>
          <w:rFonts w:ascii="arial" w:eastAsia="arial" w:hAnsi="arial" w:cs="arial"/>
          <w:b w:val="0"/>
          <w:i w:val="0"/>
          <w:strike w:val="0"/>
          <w:noProof w:val="0"/>
          <w:color w:val="000000"/>
          <w:position w:val="0"/>
          <w:sz w:val="20"/>
          <w:u w:val="none"/>
          <w:vertAlign w:val="baseline"/>
        </w:rPr>
        <w:t>Criminal defendants may waive the right to a jury determination of the forfeiture issues.</w:t>
      </w:r>
    </w:p>
    <w:p>
      <w:pPr>
        <w:spacing w:before="120"/>
      </w:pPr>
      <w:bookmarkStart w:id="12" w:name="Bookmark_clscc4"/>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The Judiciary &gt; Case or Controversy &gt; Advisory Opinions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Case or Controversy, Advisory Opinions</w:t>
      </w:r>
    </w:p>
    <w:p>
      <w:pPr>
        <w:keepNext w:val="0"/>
        <w:spacing w:before="240" w:after="0" w:line="260" w:lineRule="atLeast"/>
        <w:ind w:left="0" w:right="0" w:firstLine="0"/>
        <w:jc w:val="both"/>
      </w:pPr>
      <w:bookmarkStart w:id="13" w:name="Bookmark_hnpara_4"/>
      <w:bookmarkEnd w:id="13"/>
      <w:r>
        <w:rPr>
          <w:rFonts w:ascii="arial" w:eastAsia="arial" w:hAnsi="arial" w:cs="arial"/>
          <w:b w:val="0"/>
          <w:i w:val="0"/>
          <w:strike w:val="0"/>
          <w:noProof w:val="0"/>
          <w:color w:val="000000"/>
          <w:position w:val="0"/>
          <w:sz w:val="20"/>
          <w:u w:val="none"/>
          <w:vertAlign w:val="baseline"/>
        </w:rPr>
        <w:t>There are many possible outcomes in the course of trial, conviction, and enforcement of any potential forfeiture, such that any adjudication of the constitutional issues would essentially constitute an advisory opinion.</w:t>
      </w:r>
    </w:p>
    <w:p>
      <w:pPr>
        <w:spacing w:before="120"/>
      </w:pPr>
      <w:bookmarkStart w:id="14" w:name="Bookmark_clscc5"/>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Demonstrative Evidence &gt; Recordings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Demonstrative Evidence, Recordings</w:t>
      </w:r>
    </w:p>
    <w:p>
      <w:pPr>
        <w:keepNext w:val="0"/>
        <w:spacing w:before="240" w:after="0" w:line="260" w:lineRule="atLeast"/>
        <w:ind w:left="0" w:right="0" w:firstLine="0"/>
        <w:jc w:val="both"/>
      </w:pPr>
      <w:bookmarkStart w:id="15" w:name="Bookmark_hnpara_5"/>
      <w:bookmarkEnd w:id="15"/>
      <w:r>
        <w:rPr>
          <w:rFonts w:ascii="arial" w:eastAsia="arial" w:hAnsi="arial" w:cs="arial"/>
          <w:b w:val="0"/>
          <w:i w:val="0"/>
          <w:strike w:val="0"/>
          <w:noProof w:val="0"/>
          <w:color w:val="000000"/>
          <w:position w:val="0"/>
          <w:sz w:val="20"/>
          <w:u w:val="none"/>
          <w:vertAlign w:val="baseline"/>
        </w:rPr>
        <w:t>Criminal defendants cannot justify compelling production of all original recordings if the government clarified that everything the recording devices recorded has been disclosed to the defendants.</w:t>
      </w:r>
    </w:p>
    <w:p>
      <w:pPr>
        <w:spacing w:before="120"/>
      </w:pPr>
      <w:bookmarkStart w:id="16" w:name="Bookmark_clscc6"/>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Administrative Law &gt; ... &gt; Scope of Authority &gt; Methods of Investigation &gt; Subpoenas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Witnesses &gt; Subpoenas &gt; Challenges &amp; Modifications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&gt; Goods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&gt; Elements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Methods of Investigation, Subpoenas</w:t>
      </w:r>
    </w:p>
    <w:p>
      <w:pPr>
        <w:keepNext w:val="0"/>
        <w:spacing w:before="240" w:after="0" w:line="260" w:lineRule="atLeast"/>
        <w:ind w:left="0" w:right="0" w:firstLine="0"/>
        <w:jc w:val="both"/>
      </w:pPr>
      <w:bookmarkStart w:id="17" w:name="Bookmark_hnpara_6"/>
      <w:bookmarkEnd w:id="17"/>
      <w:r>
        <w:rPr>
          <w:rFonts w:ascii="arial" w:eastAsia="arial" w:hAnsi="arial" w:cs="arial"/>
          <w:b w:val="0"/>
          <w:i w:val="0"/>
          <w:strike w:val="0"/>
          <w:noProof w:val="0"/>
          <w:color w:val="000000"/>
          <w:position w:val="0"/>
          <w:sz w:val="20"/>
          <w:u w:val="none"/>
          <w:vertAlign w:val="baseline"/>
        </w:rPr>
        <w:t>21 U.S.C.S. § 967 does not provide an express right to challenge the subpoenas issued under it.</w:t>
      </w:r>
    </w:p>
    <w:p>
      <w:pPr>
        <w:spacing w:before="120"/>
      </w:pPr>
      <w:bookmarkStart w:id="18" w:name="Bookmark_clscc7"/>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&gt; Goods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&gt; Elements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 Goods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i w:val="0"/>
          <w:strike w:val="0"/>
          <w:noProof w:val="0"/>
          <w:color w:val="000000"/>
          <w:position w:val="0"/>
          <w:sz w:val="20"/>
          <w:u w:val="none"/>
          <w:vertAlign w:val="baseline"/>
        </w:rPr>
        <w:t>, Elements</w:t>
      </w:r>
    </w:p>
    <w:p>
      <w:pPr>
        <w:keepNext w:val="0"/>
        <w:spacing w:before="240" w:after="0" w:line="260" w:lineRule="atLeast"/>
        <w:ind w:left="0" w:right="0" w:firstLine="0"/>
        <w:jc w:val="both"/>
      </w:pPr>
      <w:bookmarkStart w:id="19" w:name="Bookmark_hnpara_7"/>
      <w:bookmarkEnd w:id="19"/>
      <w:r>
        <w:rPr>
          <w:rFonts w:ascii="arial" w:eastAsia="arial" w:hAnsi="arial" w:cs="arial"/>
          <w:b w:val="0"/>
          <w:i w:val="0"/>
          <w:strike w:val="0"/>
          <w:noProof w:val="0"/>
          <w:color w:val="000000"/>
          <w:position w:val="0"/>
          <w:sz w:val="20"/>
          <w:u w:val="none"/>
          <w:vertAlign w:val="baseline"/>
        </w:rPr>
        <w:t>21 U.S.C.S. § 967 is silent as to whether exclusion of evidence is appropriate.</w:t>
      </w:r>
    </w:p>
    <w:p>
      <w:pPr>
        <w:spacing w:before="120"/>
      </w:pPr>
      <w:bookmarkStart w:id="20" w:name="Bookmark_clscc8"/>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Administrative Law &gt; ... &gt; Scope of Authority &gt; Methods of Investigation &gt; Subpoenas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Enforcement of Immigration Laws &gt; Immigration Officers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&gt; Goods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&gt; Elements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Methods of Investigation, Subpoenas</w:t>
      </w:r>
    </w:p>
    <w:p>
      <w:pPr>
        <w:keepNext w:val="0"/>
        <w:spacing w:before="240" w:after="0" w:line="260" w:lineRule="atLeast"/>
        <w:ind w:left="0" w:right="0" w:firstLine="0"/>
        <w:jc w:val="both"/>
      </w:pPr>
      <w:bookmarkStart w:id="21" w:name="Bookmark_hnpara_8"/>
      <w:bookmarkEnd w:id="21"/>
      <w:r>
        <w:rPr>
          <w:rFonts w:ascii="arial" w:eastAsia="arial" w:hAnsi="arial" w:cs="arial"/>
          <w:b w:val="0"/>
          <w:i w:val="0"/>
          <w:strike w:val="0"/>
          <w:noProof w:val="0"/>
          <w:color w:val="000000"/>
          <w:position w:val="0"/>
          <w:sz w:val="20"/>
          <w:u w:val="none"/>
          <w:vertAlign w:val="baseline"/>
        </w:rPr>
        <w:t xml:space="preserve">The Secretary of the Treasury may issue subpoenas for records that are relevant or material to the investigation if it is necessary and proper to the enforcement of 18 U.S.C.S. § 545 (relating to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goods into the United States) with respect to any controlled substance (as defined in 21 U.S.C.S. § 802). 21 U.S.C.S. § 967. And the Secretary of the Treasury may designate Homeland Security and its subsidiaries, including Immigration and Customs Enforcement, to serve such subpoenas. 21 U.S.C.S. § 968.</w:t>
      </w:r>
    </w:p>
    <w:p>
      <w:pPr>
        <w:keepNext w:val="0"/>
        <w:spacing w:before="240" w:after="0" w:line="260" w:lineRule="atLeast"/>
        <w:ind w:left="0" w:right="0" w:firstLine="0"/>
        <w:jc w:val="left"/>
      </w:pPr>
      <w:bookmarkStart w:id="22" w:name="Counsel"/>
      <w:bookmarkEnd w:id="22"/>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Daniel Marin, Defendant, Pro se, Roscommon, MI.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Daniel Marin, Defendant: Jeffrey J. Rupp, William Brisbois &amp; Associates, PLLC, Saginaw, MI.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of America, Plaintiff: Jules M. DePorre, LEAD ATTORNEY, United States Attorney's Office, Flint, Flint, MI; Cassandra Resposo, USAO, Detroit, MI; Tim M. Turkelson, USAO, Department of Justice, Flint, MI.</w:t>
      </w:r>
    </w:p>
    <w:p>
      <w:pPr>
        <w:keepNext w:val="0"/>
        <w:spacing w:before="240" w:after="0" w:line="260" w:lineRule="atLeast"/>
        <w:ind w:left="0" w:right="0" w:firstLine="0"/>
        <w:jc w:val="left"/>
      </w:pPr>
      <w:bookmarkStart w:id="23" w:name="Judges"/>
      <w:bookmarkEnd w:id="23"/>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Honorable THOMAS L. LUDINGTON, United States District Judge.</w:t>
      </w:r>
    </w:p>
    <w:p>
      <w:pPr>
        <w:keepNext w:val="0"/>
        <w:spacing w:before="240" w:after="0" w:line="260" w:lineRule="atLeast"/>
        <w:ind w:left="0" w:right="0" w:firstLine="0"/>
        <w:jc w:val="left"/>
      </w:pPr>
      <w:bookmarkStart w:id="24" w:name="Opinion by"/>
      <w:bookmarkEnd w:id="24"/>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THOMAS L. LUDINGTON</w:t>
      </w:r>
    </w:p>
    <w:p>
      <w:pPr>
        <w:keepNext/>
        <w:spacing w:before="240" w:after="0" w:line="340" w:lineRule="atLeast"/>
        <w:ind w:left="0" w:right="0" w:firstLine="0"/>
        <w:jc w:val="left"/>
      </w:pPr>
      <w:bookmarkStart w:id="25" w:name="Opinion"/>
      <w:bookmarkEnd w:id="25"/>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6"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[*695]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OPINION AND ORDER DENYING DEFENDANT'S MOTIONS TO RELIEVE FORFEITURE, TO COMPEL DISCOVERY, AND TO SUPPRESS EVIDENCE</w:t>
      </w:r>
    </w:p>
    <w:p>
      <w:pPr>
        <w:keepNext w:val="0"/>
        <w:spacing w:before="200" w:after="0" w:line="260" w:lineRule="atLeast"/>
        <w:ind w:left="0" w:right="0" w:firstLine="0"/>
        <w:jc w:val="both"/>
      </w:pPr>
      <w:bookmarkStart w:id="26" w:name="Bookmark_para_1"/>
      <w:bookmarkEnd w:id="26"/>
      <w:r>
        <w:rPr>
          <w:rFonts w:ascii="arial" w:eastAsia="arial" w:hAnsi="arial" w:cs="arial"/>
          <w:b w:val="0"/>
          <w:i w:val="0"/>
          <w:strike w:val="0"/>
          <w:noProof w:val="0"/>
          <w:color w:val="000000"/>
          <w:position w:val="0"/>
          <w:sz w:val="20"/>
          <w:u w:val="none"/>
          <w:vertAlign w:val="baseline"/>
        </w:rPr>
        <w:t>Transporting more than half a million dollars to purchase nearly forty pounds of cocaine, Daniel Marin led a three-car convoy to meet a member of a Mexican drug cartel at a hotel in Flint, Michigan. Little did he know, he was actually meeting undercover agents who recorded everything from their twenty phone calls to their meeting in the hotel room. So alleges the Government.</w:t>
      </w:r>
    </w:p>
    <w:p>
      <w:pPr>
        <w:keepNext w:val="0"/>
        <w:spacing w:before="200" w:after="0" w:line="260" w:lineRule="atLeast"/>
        <w:ind w:left="0" w:right="0" w:firstLine="0"/>
        <w:jc w:val="both"/>
      </w:pPr>
      <w:bookmarkStart w:id="27" w:name="Bookmark_para_2"/>
      <w:bookmarkEnd w:id="27"/>
      <w:r>
        <w:rPr>
          <w:rFonts w:ascii="arial" w:eastAsia="arial" w:hAnsi="arial" w:cs="arial"/>
          <w:b w:val="0"/>
          <w:i w:val="0"/>
          <w:strike w:val="0"/>
          <w:noProof w:val="0"/>
          <w:color w:val="000000"/>
          <w:position w:val="0"/>
          <w:sz w:val="20"/>
          <w:u w:val="none"/>
          <w:vertAlign w:val="baseline"/>
        </w:rPr>
        <w:t>Marin wants to go to trial. Meanwhile, he seeks to prevent forfeiture of a cashier's check, to compel the Government to give him the original audio and video recordings, and to suppress records of his flights to the border of Mexico.</w:t>
      </w:r>
    </w:p>
    <w:p>
      <w:pPr>
        <w:keepNext w:val="0"/>
        <w:spacing w:before="200" w:after="0" w:line="260" w:lineRule="atLeast"/>
        <w:ind w:left="0" w:right="0" w:firstLine="0"/>
        <w:jc w:val="both"/>
      </w:pPr>
      <w:bookmarkStart w:id="28" w:name="Bookmark_para_3"/>
      <w:bookmarkEnd w:id="28"/>
      <w:r>
        <w:rPr>
          <w:rFonts w:ascii="arial" w:eastAsia="arial" w:hAnsi="arial" w:cs="arial"/>
          <w:b w:val="0"/>
          <w:i w:val="0"/>
          <w:strike w:val="0"/>
          <w:noProof w:val="0"/>
          <w:color w:val="000000"/>
          <w:position w:val="0"/>
          <w:sz w:val="20"/>
          <w:u w:val="none"/>
          <w:vertAlign w:val="baseline"/>
        </w:rPr>
        <w:t>Because all three of his motions are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premature, fail on the merits, or both, they will be denied without prejudice.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 w:name="Bookmark_para_4"/>
      <w:bookmarkEnd w:id="29"/>
      <w:r>
        <w:rPr>
          <w:rFonts w:ascii="arial" w:eastAsia="arial" w:hAnsi="arial" w:cs="arial"/>
          <w:b w:val="0"/>
          <w:i w:val="0"/>
          <w:strike w:val="0"/>
          <w:noProof w:val="0"/>
          <w:color w:val="000000"/>
          <w:position w:val="0"/>
          <w:sz w:val="20"/>
          <w:u w:val="none"/>
          <w:vertAlign w:val="baseline"/>
        </w:rPr>
        <w:t xml:space="preserve">In December 2022, Defendant Daniel Marin was indicted on one count of conspiracy to distribute and to possess with intent to distribute cocaine,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xml:space="preserve">, and one count of attempt to possess with intent to distribute cocaine, </w:t>
      </w:r>
      <w:hyperlink r:id="rId21"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xml:space="preserve">. Second Superseding Indictment, ECF No. 141 at PageID.491-94. Marin also faces a sentencing enhancement under </w:t>
      </w:r>
      <w:hyperlink r:id="rId22" w:history="1">
        <w:r>
          <w:rPr>
            <w:rFonts w:ascii="arial" w:eastAsia="arial" w:hAnsi="arial" w:cs="arial"/>
            <w:b w:val="0"/>
            <w:i/>
            <w:strike w:val="0"/>
            <w:noProof w:val="0"/>
            <w:color w:val="0077CC"/>
            <w:position w:val="0"/>
            <w:sz w:val="20"/>
            <w:u w:val="single"/>
            <w:vertAlign w:val="baseline"/>
          </w:rPr>
          <w:t>21 U.S.C. § 851</w:t>
        </w:r>
      </w:hyperlink>
      <w:r>
        <w:rPr>
          <w:rFonts w:ascii="arial" w:eastAsia="arial" w:hAnsi="arial" w:cs="arial"/>
          <w:b w:val="0"/>
          <w:i w:val="0"/>
          <w:strike w:val="0"/>
          <w:noProof w:val="0"/>
          <w:color w:val="000000"/>
          <w:position w:val="0"/>
          <w:sz w:val="20"/>
          <w:u w:val="none"/>
          <w:vertAlign w:val="baseline"/>
        </w:rPr>
        <w:t xml:space="preserve">, based on two prior "convictions for serious drug felonies": one "for conspiracy to distribute a controlled substance,"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xml:space="preserve">, and one for "delivery of a controlled substance," </w:t>
      </w:r>
      <w:hyperlink r:id="rId23" w:history="1">
        <w:r>
          <w:rPr>
            <w:rFonts w:ascii="arial" w:eastAsia="arial" w:hAnsi="arial" w:cs="arial"/>
            <w:b w:val="0"/>
            <w:i/>
            <w:strike w:val="0"/>
            <w:noProof w:val="0"/>
            <w:color w:val="0077CC"/>
            <w:position w:val="0"/>
            <w:sz w:val="20"/>
            <w:u w:val="single"/>
            <w:vertAlign w:val="baseline"/>
          </w:rPr>
          <w:t>Mich. Comp. Laws</w:t>
        </w:r>
      </w:hyperlink>
      <w:hyperlink r:id="rId23" w:history="1">
        <w:r>
          <w:rPr>
            <w:rFonts w:ascii="arial" w:eastAsia="arial" w:hAnsi="arial" w:cs="arial"/>
            <w:b w:val="0"/>
            <w:i/>
            <w:strike w:val="0"/>
            <w:noProof w:val="0"/>
            <w:color w:val="0077CC"/>
            <w:position w:val="0"/>
            <w:sz w:val="20"/>
            <w:u w:val="single"/>
            <w:vertAlign w:val="baseline"/>
          </w:rPr>
          <w:t xml:space="preserve"> § 333.7401(2)(d)(i)</w:t>
        </w:r>
      </w:hyperlink>
      <w:r>
        <w:rPr>
          <w:rFonts w:ascii="arial" w:eastAsia="arial" w:hAnsi="arial" w:cs="arial"/>
          <w:b w:val="0"/>
          <w:i w:val="0"/>
          <w:strike w:val="0"/>
          <w:noProof w:val="0"/>
          <w:color w:val="000000"/>
          <w:position w:val="0"/>
          <w:sz w:val="20"/>
          <w:u w:val="none"/>
          <w:vertAlign w:val="baseline"/>
        </w:rPr>
        <w:t xml:space="preserve">. ECF No. 141 at PageID.492-93;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ECF No. 171 at PageID.648-51 (informing Marin of the costs and benefits of </w:t>
      </w:r>
      <w:hyperlink r:id="rId22" w:history="1">
        <w:r>
          <w:rPr>
            <w:rFonts w:ascii="arial" w:eastAsia="arial" w:hAnsi="arial" w:cs="arial"/>
            <w:b w:val="0"/>
            <w:i/>
            <w:strike w:val="0"/>
            <w:noProof w:val="0"/>
            <w:color w:val="0077CC"/>
            <w:position w:val="0"/>
            <w:sz w:val="20"/>
            <w:u w:val="single"/>
            <w:vertAlign w:val="baseline"/>
          </w:rPr>
          <w:t>§ 851</w:t>
        </w:r>
      </w:hyperlink>
      <w:r>
        <w:rPr>
          <w:rFonts w:ascii="arial" w:eastAsia="arial" w:hAnsi="arial" w:cs="arial"/>
          <w:b w:val="0"/>
          <w:i w:val="0"/>
          <w:strike w:val="0"/>
          <w:noProof w:val="0"/>
          <w:color w:val="000000"/>
          <w:position w:val="0"/>
          <w:sz w:val="20"/>
          <w:u w:val="none"/>
          <w:vertAlign w:val="baseline"/>
        </w:rPr>
        <w:t xml:space="preserve"> enhancements).</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39" w:name="Bookmark_para_5"/>
      <w:bookmarkEnd w:id="39"/>
      <w:r>
        <w:rPr>
          <w:rFonts w:ascii="arial" w:eastAsia="arial" w:hAnsi="arial" w:cs="arial"/>
          <w:b/>
          <w:i w:val="0"/>
          <w:strike w:val="0"/>
          <w:noProof w:val="0"/>
          <w:color w:val="000000"/>
          <w:position w:val="0"/>
          <w:sz w:val="20"/>
          <w:u w:val="none"/>
          <w:vertAlign w:val="baseline"/>
        </w:rPr>
        <w:t> [*696] </w:t>
      </w:r>
      <w:r>
        <w:rPr>
          <w:rFonts w:ascii="arial" w:eastAsia="arial" w:hAnsi="arial" w:cs="arial"/>
          <w:b w:val="0"/>
          <w:i w:val="0"/>
          <w:strike w:val="0"/>
          <w:noProof w:val="0"/>
          <w:color w:val="000000"/>
          <w:position w:val="0"/>
          <w:sz w:val="20"/>
          <w:u w:val="none"/>
          <w:vertAlign w:val="baseline"/>
        </w:rPr>
        <w:t xml:space="preserve"> In this case, Marin successfully invoked his right to represent himself, despite having the financial means to retain counsel.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Nos. 104 (permitting Marin to represent himself with retained counsel proceeding as standby counsel); 135 at PageID.474-75 (denying his third motion to proceed without prepaying because "he fought tooth and nail to proceed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and "did not even mention the money that he received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'to retain counsel' or how much if any remains").</w:t>
      </w:r>
    </w:p>
    <w:p>
      <w:pPr>
        <w:keepNext w:val="0"/>
        <w:spacing w:before="200" w:after="0" w:line="260" w:lineRule="atLeast"/>
        <w:ind w:left="0" w:right="0" w:firstLine="0"/>
        <w:jc w:val="both"/>
      </w:pPr>
      <w:bookmarkStart w:id="40" w:name="Bookmark_para_6"/>
      <w:bookmarkEnd w:id="40"/>
      <w:r>
        <w:rPr>
          <w:rFonts w:ascii="arial" w:eastAsia="arial" w:hAnsi="arial" w:cs="arial"/>
          <w:b w:val="0"/>
          <w:i w:val="0"/>
          <w:strike w:val="0"/>
          <w:noProof w:val="0"/>
          <w:color w:val="000000"/>
          <w:position w:val="0"/>
          <w:sz w:val="20"/>
          <w:u w:val="none"/>
          <w:vertAlign w:val="baseline"/>
        </w:rPr>
        <w:t xml:space="preserve">Then he filed 29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motions that lacked merit or were untimely.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Nos. 64; 72; 73; 74; 75; 81; 102; 106; 114; 116; 117; 120; 122; 124; 123; 131; 143; 144; 145; 147; 150; 166; 167; 168; 175; 177; 180; 183; 185. And he filed two unsuccessful appeals. ECF Nos. 118; 130.</w:t>
      </w:r>
    </w:p>
    <w:p>
      <w:pPr>
        <w:keepNext w:val="0"/>
        <w:spacing w:before="200" w:after="0" w:line="260" w:lineRule="atLeast"/>
        <w:ind w:left="0" w:right="0" w:firstLine="0"/>
        <w:jc w:val="both"/>
      </w:pPr>
      <w:bookmarkStart w:id="41" w:name="Bookmark_para_7"/>
      <w:bookmarkEnd w:id="41"/>
      <w:r>
        <w:rPr>
          <w:rFonts w:ascii="arial" w:eastAsia="arial" w:hAnsi="arial" w:cs="arial"/>
          <w:b w:val="0"/>
          <w:i w:val="0"/>
          <w:strike w:val="0"/>
          <w:noProof w:val="0"/>
          <w:color w:val="000000"/>
          <w:position w:val="0"/>
          <w:sz w:val="20"/>
          <w:u w:val="none"/>
          <w:vertAlign w:val="baseline"/>
        </w:rPr>
        <w:t xml:space="preserve">Between February 8 and February 16, 2023, Marin filed three more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motions, which will be addressed in turn.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Relieve Forfeit., ECF No. 187; Mot. Compel Disc., ECF No. 189; Mot. Suppress Evid., ECF No. 192. Meanwhile, Marin's retained standby counsel was permitted to withdraw from the case, Marin was granted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status, and he was appointed a federal community defender. ECF Nos. 198-200. His pending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motions will nevertheless receive due attention.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2" w:name="Bookmark_para_8"/>
      <w:bookmarkEnd w:id="42"/>
      <w:bookmarkStart w:id="43" w:name="Bookmark_I67SHVR128T4B80050000400"/>
      <w:bookmarkEnd w:id="43"/>
      <w:r>
        <w:rPr>
          <w:rFonts w:ascii="arial" w:eastAsia="arial" w:hAnsi="arial" w:cs="arial"/>
          <w:b w:val="0"/>
          <w:i w:val="0"/>
          <w:strike w:val="0"/>
          <w:noProof w:val="0"/>
          <w:color w:val="000000"/>
          <w:position w:val="0"/>
          <w:sz w:val="20"/>
          <w:u w:val="none"/>
          <w:vertAlign w:val="baseline"/>
        </w:rPr>
        <w:t>Marin first opposes the forfeiture</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of a cashier's check that "was seized March 31, 2021." ECF No. 187 at PageID.733.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6" w:name="Bookmark_para_9"/>
      <w:bookmarkEnd w:id="46"/>
      <w:bookmarkStart w:id="47" w:name="Bookmark_I67SHVR22HM6650020000400"/>
      <w:bookmarkEnd w:id="47"/>
      <w:r>
        <w:rPr>
          <w:rFonts w:ascii="arial" w:eastAsia="arial" w:hAnsi="arial" w:cs="arial"/>
          <w:b w:val="0"/>
          <w:i w:val="0"/>
          <w:strike w:val="0"/>
          <w:noProof w:val="0"/>
          <w:color w:val="000000"/>
          <w:position w:val="0"/>
          <w:sz w:val="20"/>
          <w:u w:val="none"/>
          <w:vertAlign w:val="baseline"/>
        </w:rPr>
        <w:t xml:space="preserve">As a threshold matter, to the extent that Marin is contesting the sufficiency of the Government's forfeiture pleadings, that issue has already been briefed and decided. </w:t>
      </w:r>
      <w:bookmarkStart w:id="48" w:name="Bookmark_I67SHVR22HM6650010000400"/>
      <w:bookmarkEnd w:id="48"/>
      <w:hyperlink r:id="rId24" w:history="1">
        <w:r>
          <w:rPr>
            <w:rFonts w:ascii="arial" w:eastAsia="arial" w:hAnsi="arial" w:cs="arial"/>
            <w:b w:val="0"/>
            <w:i/>
            <w:strike w:val="0"/>
            <w:noProof w:val="0"/>
            <w:color w:val="0077CC"/>
            <w:position w:val="0"/>
            <w:sz w:val="20"/>
            <w:u w:val="single"/>
            <w:vertAlign w:val="baseline"/>
          </w:rPr>
          <w:t>United States v. Marin</w:t>
        </w:r>
      </w:hyperlink>
      <w:hyperlink r:id="rId24" w:history="1">
        <w:r>
          <w:rPr>
            <w:rFonts w:ascii="arial" w:eastAsia="arial" w:hAnsi="arial" w:cs="arial"/>
            <w:b w:val="0"/>
            <w:i/>
            <w:strike w:val="0"/>
            <w:noProof w:val="0"/>
            <w:color w:val="0077CC"/>
            <w:position w:val="0"/>
            <w:sz w:val="20"/>
            <w:u w:val="single"/>
            <w:vertAlign w:val="baseline"/>
          </w:rPr>
          <w:t>, No. 1:21-CR-20406-1, 2022 U.S. Dist. LEXIS 186522, 2022 WL 7045597, at *3 (E.D. Mich. Oct. 12, 2022)</w:t>
        </w:r>
      </w:hyperlink>
      <w:r>
        <w:rPr>
          <w:rFonts w:ascii="arial" w:eastAsia="arial" w:hAnsi="arial" w:cs="arial"/>
          <w:b w:val="0"/>
          <w:i w:val="0"/>
          <w:strike w:val="0"/>
          <w:noProof w:val="0"/>
          <w:color w:val="000000"/>
          <w:position w:val="0"/>
          <w:sz w:val="20"/>
          <w:u w:val="none"/>
          <w:vertAlign w:val="baseline"/>
        </w:rPr>
        <w:t xml:space="preserve"> (holding that the bill of particulars and the forfeiture allegations were procedurally and substantively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proper) (first citing </w:t>
      </w:r>
      <w:hyperlink r:id="rId25" w:history="1">
        <w:r>
          <w:rPr>
            <w:rFonts w:ascii="arial" w:eastAsia="arial" w:hAnsi="arial" w:cs="arial"/>
            <w:b w:val="0"/>
            <w:i/>
            <w:strike w:val="0"/>
            <w:noProof w:val="0"/>
            <w:color w:val="0077CC"/>
            <w:position w:val="0"/>
            <w:sz w:val="20"/>
            <w:u w:val="single"/>
            <w:vertAlign w:val="baseline"/>
          </w:rPr>
          <w:t>Fed. R. Crim. P.</w:t>
        </w:r>
      </w:hyperlink>
      <w:hyperlink r:id="rId25" w:history="1">
        <w:r>
          <w:rPr>
            <w:rFonts w:ascii="arial" w:eastAsia="arial" w:hAnsi="arial" w:cs="arial"/>
            <w:b w:val="0"/>
            <w:i/>
            <w:strike w:val="0"/>
            <w:noProof w:val="0"/>
            <w:color w:val="0077CC"/>
            <w:position w:val="0"/>
            <w:sz w:val="20"/>
            <w:u w:val="single"/>
            <w:vertAlign w:val="baseline"/>
          </w:rPr>
          <w:t xml:space="preserve"> 32.2(a)</w:t>
        </w:r>
      </w:hyperlink>
      <w:r>
        <w:rPr>
          <w:rFonts w:ascii="arial" w:eastAsia="arial" w:hAnsi="arial" w:cs="arial"/>
          <w:b w:val="0"/>
          <w:i w:val="0"/>
          <w:strike w:val="0"/>
          <w:noProof w:val="0"/>
          <w:color w:val="000000"/>
          <w:position w:val="0"/>
          <w:sz w:val="20"/>
          <w:u w:val="none"/>
          <w:vertAlign w:val="baseline"/>
        </w:rPr>
        <w:t xml:space="preserve">; and then citing </w:t>
      </w:r>
      <w:hyperlink r:id="rId26" w:history="1">
        <w:r>
          <w:rPr>
            <w:rFonts w:ascii="arial" w:eastAsia="arial" w:hAnsi="arial" w:cs="arial"/>
            <w:b w:val="0"/>
            <w:i/>
            <w:strike w:val="0"/>
            <w:noProof w:val="0"/>
            <w:color w:val="0077CC"/>
            <w:position w:val="0"/>
            <w:sz w:val="20"/>
            <w:u w:val="single"/>
            <w:vertAlign w:val="baseline"/>
          </w:rPr>
          <w:t>18 U.S.C. § 983(a)(3)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9" w:name="Bookmark_para_10"/>
      <w:bookmarkEnd w:id="49"/>
      <w:r>
        <w:rPr>
          <w:rFonts w:ascii="arial" w:eastAsia="arial" w:hAnsi="arial" w:cs="arial"/>
          <w:b w:val="0"/>
          <w:i w:val="0"/>
          <w:strike w:val="0"/>
          <w:noProof w:val="0"/>
          <w:color w:val="000000"/>
          <w:position w:val="0"/>
          <w:sz w:val="20"/>
          <w:u w:val="none"/>
          <w:vertAlign w:val="baseline"/>
        </w:rPr>
        <w:t xml:space="preserve">And Marin's forfeiture motion is difficult to understand. It cites numerous provisions of the Federal Rules of Civil Procedure and the United States Constitution in a conclusory fashion. </w:t>
      </w:r>
      <w:bookmarkStart w:id="50" w:name="Bookmark_I67SHVR22HM6650040000400"/>
      <w:bookmarkEnd w:id="50"/>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ECF No 187. It arguably should be denied for lack of analysis. </w:t>
      </w:r>
      <w:r>
        <w:rPr>
          <w:rFonts w:ascii="arial" w:eastAsia="arial" w:hAnsi="arial" w:cs="arial"/>
          <w:b w:val="0"/>
          <w:i/>
          <w:strike w:val="0"/>
          <w:noProof w:val="0"/>
          <w:color w:val="000000"/>
          <w:position w:val="0"/>
          <w:sz w:val="20"/>
          <w:u w:val="none"/>
          <w:vertAlign w:val="baseline"/>
        </w:rPr>
        <w:t xml:space="preserve">Cf. </w:t>
      </w:r>
      <w:bookmarkStart w:id="51" w:name="Bookmark_I67SHVR22HM6650030000400"/>
      <w:bookmarkEnd w:id="51"/>
      <w:hyperlink r:id="rId27" w:history="1">
        <w:r>
          <w:rPr>
            <w:rFonts w:ascii="arial" w:eastAsia="arial" w:hAnsi="arial" w:cs="arial"/>
            <w:b w:val="0"/>
            <w:i/>
            <w:strike w:val="0"/>
            <w:noProof w:val="0"/>
            <w:color w:val="0077CC"/>
            <w:position w:val="0"/>
            <w:sz w:val="20"/>
            <w:u w:val="single"/>
            <w:vertAlign w:val="baseline"/>
          </w:rPr>
          <w:t>Sorezo v. Buckingham Palace</w:t>
        </w:r>
      </w:hyperlink>
      <w:hyperlink r:id="rId27" w:history="1">
        <w:r>
          <w:rPr>
            <w:rFonts w:ascii="arial" w:eastAsia="arial" w:hAnsi="arial" w:cs="arial"/>
            <w:b w:val="0"/>
            <w:i/>
            <w:strike w:val="0"/>
            <w:noProof w:val="0"/>
            <w:color w:val="0077CC"/>
            <w:position w:val="0"/>
            <w:sz w:val="20"/>
            <w:u w:val="single"/>
            <w:vertAlign w:val="baseline"/>
          </w:rPr>
          <w:t>, No. 1:22-CV-12540, 2023 U.S. Dist. LEXIS 21340, 2023 WL 1816084, at *2 (E.D. Mich. Feb. 8, 2023)</w:t>
        </w:r>
      </w:hyperlink>
      <w:r>
        <w:rPr>
          <w:rFonts w:ascii="arial" w:eastAsia="arial" w:hAnsi="arial" w:cs="arial"/>
          <w:b w:val="0"/>
          <w:i w:val="0"/>
          <w:strike w:val="0"/>
          <w:noProof w:val="0"/>
          <w:color w:val="000000"/>
          <w:position w:val="0"/>
          <w:sz w:val="20"/>
          <w:u w:val="none"/>
          <w:vertAlign w:val="baseline"/>
        </w:rPr>
        <w:t xml:space="preserve"> (denying motion for "lack of analysis" (quoting </w:t>
      </w:r>
      <w:bookmarkStart w:id="52" w:name="Bookmark_I67SHVR22HM6650050000400"/>
      <w:bookmarkEnd w:id="52"/>
      <w:hyperlink r:id="rId28" w:history="1">
        <w:r>
          <w:rPr>
            <w:rFonts w:ascii="arial" w:eastAsia="arial" w:hAnsi="arial" w:cs="arial"/>
            <w:b w:val="0"/>
            <w:i/>
            <w:strike w:val="0"/>
            <w:noProof w:val="0"/>
            <w:color w:val="0077CC"/>
            <w:position w:val="0"/>
            <w:sz w:val="20"/>
            <w:u w:val="single"/>
            <w:vertAlign w:val="baseline"/>
          </w:rPr>
          <w:t>Lewis v. Sole L., PLLC</w:t>
        </w:r>
      </w:hyperlink>
      <w:hyperlink r:id="rId28" w:history="1">
        <w:r>
          <w:rPr>
            <w:rFonts w:ascii="arial" w:eastAsia="arial" w:hAnsi="arial" w:cs="arial"/>
            <w:b w:val="0"/>
            <w:i/>
            <w:strike w:val="0"/>
            <w:noProof w:val="0"/>
            <w:color w:val="0077CC"/>
            <w:position w:val="0"/>
            <w:sz w:val="20"/>
            <w:u w:val="single"/>
            <w:vertAlign w:val="baseline"/>
          </w:rPr>
          <w:t>, No. 1:21-CV-12846, 2023 U.S. Dist. LEXIS 11855, 2023 WL 372641, at *3 (E.D. Mich. Jan. 24, 2023)</w:t>
        </w:r>
      </w:hyperlink>
      <w:r>
        <w:rPr>
          <w:rFonts w:ascii="arial" w:eastAsia="arial" w:hAnsi="arial" w:cs="arial"/>
          <w:b w:val="0"/>
          <w:i w:val="0"/>
          <w:strike w:val="0"/>
          <w:noProof w:val="0"/>
          <w:color w:val="000000"/>
          <w:position w:val="0"/>
          <w:sz w:val="20"/>
          <w:u w:val="none"/>
          <w:vertAlign w:val="baseline"/>
        </w:rPr>
        <w:t>). Yet, one legal argument can be discerned from the forfeiture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3" w:name="Bookmark_para_11"/>
      <w:bookmarkEnd w:id="53"/>
      <w:bookmarkStart w:id="54" w:name="Bookmark_I67SHVR228T4BF0030000400"/>
      <w:bookmarkEnd w:id="54"/>
      <w:r>
        <w:rPr>
          <w:rFonts w:ascii="arial" w:eastAsia="arial" w:hAnsi="arial" w:cs="arial"/>
          <w:b w:val="0"/>
          <w:i w:val="0"/>
          <w:strike w:val="0"/>
          <w:noProof w:val="0"/>
          <w:color w:val="000000"/>
          <w:position w:val="0"/>
          <w:sz w:val="20"/>
          <w:u w:val="none"/>
          <w:vertAlign w:val="baseline"/>
        </w:rPr>
        <w:t>Marin asserts "there is no nexus that his currency is subject to forfeiture" based on the notice of the seizure that he received "on May 18, 2021."</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ECF No. 187 at PageID.737.</w:t>
      </w:r>
    </w:p>
    <w:p>
      <w:pPr>
        <w:keepNext w:val="0"/>
        <w:spacing w:before="200" w:after="0" w:line="260" w:lineRule="atLeast"/>
        <w:ind w:left="0" w:right="0" w:firstLine="0"/>
        <w:jc w:val="both"/>
      </w:pPr>
      <w:bookmarkStart w:id="57" w:name="Bookmark_para_12"/>
      <w:bookmarkEnd w:id="57"/>
      <w:bookmarkStart w:id="58" w:name="Bookmark_I7VVVB636W700006P9B00001"/>
      <w:bookmarkEnd w:id="58"/>
      <w:bookmarkStart w:id="59" w:name="Bookmark_I67SHVR228T4BF0050000400"/>
      <w:bookmarkEnd w:id="59"/>
      <w:r>
        <w:rPr>
          <w:rFonts w:ascii="arial" w:eastAsia="arial" w:hAnsi="arial" w:cs="arial"/>
          <w:b w:val="0"/>
          <w:i w:val="0"/>
          <w:strike w:val="0"/>
          <w:noProof w:val="0"/>
          <w:color w:val="000000"/>
          <w:position w:val="0"/>
          <w:sz w:val="20"/>
          <w:u w:val="none"/>
          <w:vertAlign w:val="baseline"/>
        </w:rPr>
        <w:t xml:space="preserve">"It is written," says the opening line of an inapposite case Marin cited, "that '[t]o </w:t>
      </w:r>
      <w:r>
        <w:rPr>
          <w:rFonts w:ascii="arial" w:eastAsia="arial" w:hAnsi="arial" w:cs="arial"/>
          <w:b/>
          <w:i w:val="0"/>
          <w:strike w:val="0"/>
          <w:noProof w:val="0"/>
          <w:color w:val="000000"/>
          <w:position w:val="0"/>
          <w:sz w:val="20"/>
          <w:u w:val="none"/>
          <w:vertAlign w:val="baseline"/>
        </w:rPr>
        <w:t> [*697] </w:t>
      </w:r>
      <w:r>
        <w:rPr>
          <w:rFonts w:ascii="arial" w:eastAsia="arial" w:hAnsi="arial" w:cs="arial"/>
          <w:b w:val="0"/>
          <w:i w:val="0"/>
          <w:strike w:val="0"/>
          <w:noProof w:val="0"/>
          <w:color w:val="000000"/>
          <w:position w:val="0"/>
          <w:sz w:val="20"/>
          <w:u w:val="none"/>
          <w:vertAlign w:val="baseline"/>
        </w:rPr>
        <w:t xml:space="preserve"> every thing there is a season, and a time to every purpose.'" </w:t>
      </w:r>
      <w:bookmarkStart w:id="60" w:name="Bookmark_I67SHVR228T4BF0040000400"/>
      <w:bookmarkEnd w:id="60"/>
      <w:hyperlink r:id="rId29" w:history="1">
        <w:r>
          <w:rPr>
            <w:rFonts w:ascii="arial" w:eastAsia="arial" w:hAnsi="arial" w:cs="arial"/>
            <w:b w:val="0"/>
            <w:i/>
            <w:strike w:val="0"/>
            <w:noProof w:val="0"/>
            <w:color w:val="0077CC"/>
            <w:position w:val="0"/>
            <w:sz w:val="20"/>
            <w:u w:val="single"/>
            <w:vertAlign w:val="baseline"/>
          </w:rPr>
          <w:t>Ríos-Campbell v. U.S. Dep't of Com.</w:t>
        </w:r>
      </w:hyperlink>
      <w:hyperlink r:id="rId29" w:history="1">
        <w:r>
          <w:rPr>
            <w:rFonts w:ascii="arial" w:eastAsia="arial" w:hAnsi="arial" w:cs="arial"/>
            <w:b w:val="0"/>
            <w:i/>
            <w:strike w:val="0"/>
            <w:noProof w:val="0"/>
            <w:color w:val="0077CC"/>
            <w:position w:val="0"/>
            <w:sz w:val="20"/>
            <w:u w:val="single"/>
            <w:vertAlign w:val="baseline"/>
          </w:rPr>
          <w:t>, 927 F.3d 21, 23 (1st Cir. 2019)</w:t>
        </w:r>
      </w:hyperlink>
      <w:r>
        <w:rPr>
          <w:rFonts w:ascii="arial" w:eastAsia="arial" w:hAnsi="arial" w:cs="arial"/>
          <w:b w:val="0"/>
          <w:i w:val="0"/>
          <w:strike w:val="0"/>
          <w:noProof w:val="0"/>
          <w:color w:val="000000"/>
          <w:position w:val="0"/>
          <w:sz w:val="20"/>
          <w:u w:val="none"/>
          <w:vertAlign w:val="baseline"/>
        </w:rPr>
        <w:t xml:space="preserve"> (quoting </w:t>
      </w:r>
      <w:r>
        <w:rPr>
          <w:rFonts w:ascii="arial" w:eastAsia="arial" w:hAnsi="arial" w:cs="arial"/>
          <w:b w:val="0"/>
          <w:i/>
          <w:strike w:val="0"/>
          <w:noProof w:val="0"/>
          <w:color w:val="000000"/>
          <w:position w:val="0"/>
          <w:sz w:val="20"/>
          <w:u w:val="none"/>
          <w:vertAlign w:val="baseline"/>
        </w:rPr>
        <w:t>Ecclesiastes</w:t>
      </w:r>
      <w:r>
        <w:rPr>
          <w:rFonts w:ascii="arial" w:eastAsia="arial" w:hAnsi="arial" w:cs="arial"/>
          <w:b w:val="0"/>
          <w:i w:val="0"/>
          <w:strike w:val="0"/>
          <w:noProof w:val="0"/>
          <w:color w:val="000000"/>
          <w:position w:val="0"/>
          <w:sz w:val="20"/>
          <w:u w:val="none"/>
          <w:vertAlign w:val="baseline"/>
        </w:rPr>
        <w:t xml:space="preserve"> 3:1). And that music, were it a seed, sprouted in the wrong season.</w:t>
      </w:r>
    </w:p>
    <w:p>
      <w:pPr>
        <w:keepNext w:val="0"/>
        <w:spacing w:before="240" w:after="0" w:line="260" w:lineRule="atLeast"/>
        <w:ind w:left="0" w:right="0" w:firstLine="0"/>
        <w:jc w:val="both"/>
      </w:pPr>
      <w:bookmarkStart w:id="61" w:name="Bookmark_para_13"/>
      <w:bookmarkEnd w:id="61"/>
      <w:bookmarkStart w:id="62" w:name="Bookmark_I67SHVR22D6N760020000400"/>
      <w:bookmarkEnd w:id="62"/>
      <w:r>
        <w:rPr>
          <w:rFonts w:ascii="arial" w:eastAsia="arial" w:hAnsi="arial" w:cs="arial"/>
          <w:b w:val="0"/>
          <w:i w:val="0"/>
          <w:strike w:val="0"/>
          <w:noProof w:val="0"/>
          <w:color w:val="000000"/>
          <w:position w:val="0"/>
          <w:sz w:val="20"/>
          <w:u w:val="none"/>
          <w:vertAlign w:val="baseline"/>
        </w:rPr>
        <w:t xml:space="preserve">The deadline for Marin to challenge the administrative forfeiture has long since passed. The cashier's check was seized on March 30, 2021. </w:t>
      </w:r>
      <w:bookmarkStart w:id="63" w:name="Bookmark_I67SHVR22D6N760010000400"/>
      <w:bookmarkEnd w:id="63"/>
      <w:r>
        <w:rPr>
          <w:rFonts w:ascii="arial" w:eastAsia="arial" w:hAnsi="arial" w:cs="arial"/>
          <w:b w:val="0"/>
          <w:i/>
          <w:strike w:val="0"/>
          <w:noProof w:val="0"/>
          <w:color w:val="000000"/>
          <w:position w:val="0"/>
          <w:sz w:val="20"/>
          <w:u w:val="none"/>
          <w:vertAlign w:val="baseline"/>
        </w:rPr>
        <w:t>In re Seizure of All Funds on Deposit in Frankenmuth Credit Union Acct. No. 93875-110 up to &amp; Including $14,930</w:t>
      </w:r>
      <w:r>
        <w:rPr>
          <w:rFonts w:ascii="arial" w:eastAsia="arial" w:hAnsi="arial" w:cs="arial"/>
          <w:b w:val="0"/>
          <w:i w:val="0"/>
          <w:strike w:val="0"/>
          <w:noProof w:val="0"/>
          <w:color w:val="000000"/>
          <w:position w:val="0"/>
          <w:sz w:val="20"/>
          <w:u w:val="none"/>
          <w:vertAlign w:val="baseline"/>
        </w:rPr>
        <w:t>, No. 1:21-MC-50372 (E.D. Mich. Apr. 16, 2021), ECF No. 3 at PageID.17. Marin says he received notice of the forfeiture on May 18, 2021. ECF No. 187 at PageID.733. Thus, based on the record, his deadline to challenge the administrative forfeiture of his check</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was June 22, 2021. </w:t>
      </w:r>
      <w:hyperlink r:id="rId26" w:history="1">
        <w:r>
          <w:rPr>
            <w:rFonts w:ascii="arial" w:eastAsia="arial" w:hAnsi="arial" w:cs="arial"/>
            <w:b w:val="0"/>
            <w:i/>
            <w:strike w:val="0"/>
            <w:noProof w:val="0"/>
            <w:color w:val="0077CC"/>
            <w:position w:val="0"/>
            <w:sz w:val="20"/>
            <w:u w:val="single"/>
            <w:vertAlign w:val="baseline"/>
          </w:rPr>
          <w:t>18 U.S.C. § 983(a)(2)(B)</w:t>
        </w:r>
      </w:hyperlink>
      <w:r>
        <w:rPr>
          <w:rFonts w:ascii="arial" w:eastAsia="arial" w:hAnsi="arial" w:cs="arial"/>
          <w:b w:val="0"/>
          <w:i w:val="0"/>
          <w:strike w:val="0"/>
          <w:noProof w:val="0"/>
          <w:color w:val="000000"/>
          <w:position w:val="0"/>
          <w:sz w:val="20"/>
          <w:u w:val="none"/>
          <w:vertAlign w:val="baseline"/>
        </w:rPr>
        <w:t xml:space="preserve"> ("A claim . . . deadline may not be earlier than 35 days after the date the [personal notice] letter is mailed" or, "if that letter is not received, then . . . not later than 30 days after the date of final publication of notice of seizure.").</w:t>
      </w:r>
    </w:p>
    <w:p>
      <w:pPr>
        <w:keepNext w:val="0"/>
        <w:spacing w:before="240" w:after="0" w:line="260" w:lineRule="atLeast"/>
        <w:ind w:left="0" w:right="0" w:firstLine="0"/>
        <w:jc w:val="both"/>
      </w:pPr>
      <w:bookmarkStart w:id="64" w:name="Bookmark_para_14"/>
      <w:bookmarkEnd w:id="64"/>
      <w:r>
        <w:rPr>
          <w:rFonts w:ascii="arial" w:eastAsia="arial" w:hAnsi="arial" w:cs="arial"/>
          <w:b w:val="0"/>
          <w:i w:val="0"/>
          <w:strike w:val="0"/>
          <w:noProof w:val="0"/>
          <w:color w:val="000000"/>
          <w:position w:val="0"/>
          <w:sz w:val="20"/>
          <w:u w:val="none"/>
          <w:vertAlign w:val="baseline"/>
        </w:rPr>
        <w:t xml:space="preserve">As for the subsequent criminal-forfeiture proceedings, his motion is too soon. </w:t>
      </w:r>
      <w:bookmarkStart w:id="65" w:name="Bookmark_LNHNREFclscc1"/>
      <w:bookmarkEnd w:id="65"/>
      <w:hyperlink r:id="rId30"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7"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Because the property is considered evidence in the criminal case, "the court must determine . . . the requisite nexus between the property and the offense" and enter any preliminary forfeiture orders "[a]s soon as practical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xml:space="preserve"> a verdict or finding of guilty, or after a plea of guilty or nolo contendere is accepted." </w:t>
      </w:r>
      <w:hyperlink r:id="rId25" w:history="1">
        <w:r>
          <w:rPr>
            <w:rFonts w:ascii="arial" w:eastAsia="arial" w:hAnsi="arial" w:cs="arial"/>
            <w:b w:val="0"/>
            <w:i/>
            <w:strike w:val="0"/>
            <w:noProof w:val="0"/>
            <w:color w:val="0077CC"/>
            <w:position w:val="0"/>
            <w:sz w:val="20"/>
            <w:u w:val="single"/>
            <w:vertAlign w:val="baseline"/>
          </w:rPr>
          <w:t>Fed. R. Crim. P.</w:t>
        </w:r>
      </w:hyperlink>
      <w:hyperlink r:id="rId25" w:history="1">
        <w:r>
          <w:rPr>
            <w:rFonts w:ascii="arial" w:eastAsia="arial" w:hAnsi="arial" w:cs="arial"/>
            <w:b w:val="0"/>
            <w:i/>
            <w:strike w:val="0"/>
            <w:noProof w:val="0"/>
            <w:color w:val="0077CC"/>
            <w:position w:val="0"/>
            <w:sz w:val="20"/>
            <w:u w:val="single"/>
            <w:vertAlign w:val="baseline"/>
          </w:rPr>
          <w:t xml:space="preserve"> 32.2(b)(1)(A)</w:t>
        </w:r>
      </w:hyperlink>
      <w:r>
        <w:rPr>
          <w:rFonts w:ascii="arial" w:eastAsia="arial" w:hAnsi="arial" w:cs="arial"/>
          <w:b w:val="0"/>
          <w:i w:val="0"/>
          <w:strike w:val="0"/>
          <w:noProof w:val="0"/>
          <w:color w:val="000000"/>
          <w:position w:val="0"/>
          <w:sz w:val="20"/>
          <w:u w:val="none"/>
          <w:vertAlign w:val="baseline"/>
        </w:rPr>
        <w:t xml:space="preserve"> (emphasis added). </w:t>
      </w:r>
      <w:bookmarkStart w:id="66" w:name="Bookmark_I67SHVR22D6N760040000400"/>
      <w:bookmarkEnd w:id="66"/>
      <w:r>
        <w:rPr>
          <w:rFonts w:ascii="arial" w:eastAsia="arial" w:hAnsi="arial" w:cs="arial"/>
          <w:b w:val="0"/>
          <w:i w:val="0"/>
          <w:strike w:val="0"/>
          <w:noProof w:val="0"/>
          <w:color w:val="000000"/>
          <w:position w:val="0"/>
          <w:sz w:val="20"/>
          <w:u w:val="none"/>
          <w:vertAlign w:val="baseline"/>
        </w:rPr>
        <w:t xml:space="preserve">But Marin has not received a verdict, been found guilty, or pleaded guilty or nolo contendere. So his forfeiture motion is premature and will be denied accordingly. </w:t>
      </w:r>
      <w:r>
        <w:rPr>
          <w:rFonts w:ascii="arial" w:eastAsia="arial" w:hAnsi="arial" w:cs="arial"/>
          <w:b w:val="0"/>
          <w:i/>
          <w:strike w:val="0"/>
          <w:noProof w:val="0"/>
          <w:color w:val="000000"/>
          <w:position w:val="0"/>
          <w:sz w:val="20"/>
          <w:u w:val="none"/>
          <w:vertAlign w:val="baseline"/>
        </w:rPr>
        <w:t xml:space="preserve">See </w:t>
      </w:r>
      <w:bookmarkStart w:id="67" w:name="Bookmark_I67SHVR22D6N760030000400"/>
      <w:bookmarkEnd w:id="67"/>
      <w:hyperlink r:id="rId32" w:history="1">
        <w:r>
          <w:rPr>
            <w:rFonts w:ascii="arial" w:eastAsia="arial" w:hAnsi="arial" w:cs="arial"/>
            <w:b w:val="0"/>
            <w:i/>
            <w:strike w:val="0"/>
            <w:noProof w:val="0"/>
            <w:color w:val="0077CC"/>
            <w:position w:val="0"/>
            <w:sz w:val="20"/>
            <w:u w:val="single"/>
            <w:vertAlign w:val="baseline"/>
          </w:rPr>
          <w:t>United States v. Mongol Nation</w:t>
        </w:r>
      </w:hyperlink>
      <w:hyperlink r:id="rId32" w:history="1">
        <w:r>
          <w:rPr>
            <w:rFonts w:ascii="arial" w:eastAsia="arial" w:hAnsi="arial" w:cs="arial"/>
            <w:b w:val="0"/>
            <w:i/>
            <w:strike w:val="0"/>
            <w:noProof w:val="0"/>
            <w:color w:val="0077CC"/>
            <w:position w:val="0"/>
            <w:sz w:val="20"/>
            <w:u w:val="single"/>
            <w:vertAlign w:val="baseline"/>
          </w:rPr>
          <w:t>, 132 F. Supp. 3d 1207, 1217 (C.D. Cal. 2015)</w:t>
        </w:r>
      </w:hyperlink>
      <w:r>
        <w:rPr>
          <w:rFonts w:ascii="arial" w:eastAsia="arial" w:hAnsi="arial" w:cs="arial"/>
          <w:b w:val="0"/>
          <w:i w:val="0"/>
          <w:strike w:val="0"/>
          <w:noProof w:val="0"/>
          <w:color w:val="000000"/>
          <w:position w:val="0"/>
          <w:sz w:val="20"/>
          <w:u w:val="none"/>
          <w:vertAlign w:val="baseline"/>
        </w:rPr>
        <w:t xml:space="preserve"> (</w:t>
      </w:r>
      <w:bookmarkStart w:id="68" w:name="Bookmark_LNHNREFclscc2"/>
      <w:bookmarkEnd w:id="68"/>
      <w:hyperlink r:id="rId33"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8"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"[A] pretrial motion to dismiss is not the appropriate time to determine the viability of a potential forfeiture of property after a potential conviction."), </w:t>
      </w:r>
      <w:r>
        <w:rPr>
          <w:rFonts w:ascii="arial" w:eastAsia="arial" w:hAnsi="arial" w:cs="arial"/>
          <w:b w:val="0"/>
          <w:i/>
          <w:strike w:val="0"/>
          <w:noProof w:val="0"/>
          <w:color w:val="000000"/>
          <w:position w:val="0"/>
          <w:sz w:val="20"/>
          <w:u w:val="none"/>
          <w:vertAlign w:val="baseline"/>
        </w:rPr>
        <w:t>rev'd and remanded on other grounds</w:t>
      </w:r>
      <w:r>
        <w:rPr>
          <w:rFonts w:ascii="arial" w:eastAsia="arial" w:hAnsi="arial" w:cs="arial"/>
          <w:b w:val="0"/>
          <w:i w:val="0"/>
          <w:strike w:val="0"/>
          <w:noProof w:val="0"/>
          <w:color w:val="000000"/>
          <w:position w:val="0"/>
          <w:sz w:val="20"/>
          <w:u w:val="none"/>
          <w:vertAlign w:val="baseline"/>
        </w:rPr>
        <w:t xml:space="preserve">, </w:t>
      </w:r>
      <w:bookmarkStart w:id="69" w:name="Bookmark_I67SHVR22D6N760050000400"/>
      <w:bookmarkEnd w:id="69"/>
      <w:hyperlink r:id="rId34" w:history="1">
        <w:r>
          <w:rPr>
            <w:rFonts w:ascii="arial" w:eastAsia="arial" w:hAnsi="arial" w:cs="arial"/>
            <w:b w:val="0"/>
            <w:i/>
            <w:strike w:val="0"/>
            <w:noProof w:val="0"/>
            <w:color w:val="0077CC"/>
            <w:position w:val="0"/>
            <w:sz w:val="20"/>
            <w:u w:val="single"/>
            <w:vertAlign w:val="baseline"/>
          </w:rPr>
          <w:t>693 F. App'x 637 (9th Cir. 2017)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70" w:name="Bookmark_I67SHVR22N1R2N0020000400"/>
      <w:bookmarkEnd w:id="70"/>
      <w:hyperlink r:id="rId35" w:history="1">
        <w:r>
          <w:rPr>
            <w:rFonts w:ascii="arial" w:eastAsia="arial" w:hAnsi="arial" w:cs="arial"/>
            <w:b w:val="0"/>
            <w:i/>
            <w:strike w:val="0"/>
            <w:noProof w:val="0"/>
            <w:color w:val="0077CC"/>
            <w:position w:val="0"/>
            <w:sz w:val="20"/>
            <w:u w:val="single"/>
            <w:vertAlign w:val="baseline"/>
          </w:rPr>
          <w:t>United States v. Maddux</w:t>
        </w:r>
      </w:hyperlink>
      <w:hyperlink r:id="rId35" w:history="1">
        <w:r>
          <w:rPr>
            <w:rFonts w:ascii="arial" w:eastAsia="arial" w:hAnsi="arial" w:cs="arial"/>
            <w:b w:val="0"/>
            <w:i/>
            <w:strike w:val="0"/>
            <w:noProof w:val="0"/>
            <w:color w:val="0077CC"/>
            <w:position w:val="0"/>
            <w:sz w:val="20"/>
            <w:u w:val="single"/>
            <w:vertAlign w:val="baseline"/>
          </w:rPr>
          <w:t>, 37 F.4th 1170, 1177 (6th Cir. 2022)</w:t>
        </w:r>
      </w:hyperlink>
      <w:r>
        <w:rPr>
          <w:rFonts w:ascii="arial" w:eastAsia="arial" w:hAnsi="arial" w:cs="arial"/>
          <w:b w:val="0"/>
          <w:i w:val="0"/>
          <w:strike w:val="0"/>
          <w:noProof w:val="0"/>
          <w:color w:val="000000"/>
          <w:position w:val="0"/>
          <w:sz w:val="20"/>
          <w:u w:val="none"/>
          <w:vertAlign w:val="baseline"/>
        </w:rPr>
        <w:t xml:space="preserve"> (explaining that forfeiture must generally be "imposed at sentencing"); </w:t>
      </w:r>
      <w:bookmarkStart w:id="71" w:name="Bookmark_I67SHVR22N1R2N0040000400"/>
      <w:bookmarkEnd w:id="71"/>
      <w:hyperlink r:id="rId36" w:history="1">
        <w:r>
          <w:rPr>
            <w:rFonts w:ascii="arial" w:eastAsia="arial" w:hAnsi="arial" w:cs="arial"/>
            <w:b w:val="0"/>
            <w:i/>
            <w:strike w:val="0"/>
            <w:noProof w:val="0"/>
            <w:color w:val="0077CC"/>
            <w:position w:val="0"/>
            <w:sz w:val="20"/>
            <w:u w:val="single"/>
            <w:vertAlign w:val="baseline"/>
          </w:rPr>
          <w:t>United States v. Coffman</w:t>
        </w:r>
      </w:hyperlink>
      <w:hyperlink r:id="rId36" w:history="1">
        <w:r>
          <w:rPr>
            <w:rFonts w:ascii="arial" w:eastAsia="arial" w:hAnsi="arial" w:cs="arial"/>
            <w:b w:val="0"/>
            <w:i/>
            <w:strike w:val="0"/>
            <w:noProof w:val="0"/>
            <w:color w:val="0077CC"/>
            <w:position w:val="0"/>
            <w:sz w:val="20"/>
            <w:u w:val="single"/>
            <w:vertAlign w:val="baseline"/>
          </w:rPr>
          <w:t>, 574 F. App'x 541, 561 (6th Cir. 2014)</w:t>
        </w:r>
      </w:hyperlink>
      <w:r>
        <w:rPr>
          <w:rFonts w:ascii="arial" w:eastAsia="arial" w:hAnsi="arial" w:cs="arial"/>
          <w:b w:val="0"/>
          <w:i w:val="0"/>
          <w:strike w:val="0"/>
          <w:noProof w:val="0"/>
          <w:color w:val="000000"/>
          <w:position w:val="0"/>
          <w:sz w:val="20"/>
          <w:u w:val="none"/>
          <w:vertAlign w:val="baseline"/>
        </w:rPr>
        <w:t xml:space="preserve"> (noting that </w:t>
      </w:r>
      <w:bookmarkStart w:id="72" w:name="Bookmark_LNHNREFclscc3"/>
      <w:bookmarkEnd w:id="72"/>
      <w:hyperlink r:id="rId37"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9"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criminal defendants may "waive[ the] right to a jury determination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of the forfeiture issues" (citing </w:t>
      </w:r>
      <w:hyperlink r:id="rId25" w:history="1">
        <w:r>
          <w:rPr>
            <w:rFonts w:ascii="arial" w:eastAsia="arial" w:hAnsi="arial" w:cs="arial"/>
            <w:b w:val="0"/>
            <w:i/>
            <w:strike w:val="0"/>
            <w:noProof w:val="0"/>
            <w:color w:val="0077CC"/>
            <w:position w:val="0"/>
            <w:sz w:val="20"/>
            <w:u w:val="single"/>
            <w:vertAlign w:val="baseline"/>
          </w:rPr>
          <w:t>FED. R. CRIM. P. 32.2(b)(5)(A)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3" w:name="Bookmark_para_15"/>
      <w:bookmarkEnd w:id="73"/>
      <w:bookmarkStart w:id="74" w:name="Bookmark_I67SHVR328T4BV0020000400"/>
      <w:bookmarkEnd w:id="74"/>
      <w:bookmarkStart w:id="75" w:name="Bookmark_LNHNREFclscc4"/>
      <w:bookmarkEnd w:id="75"/>
      <w:hyperlink r:id="rId38"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0"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Indeed, "there are many possible outcomes in the course of trial, conviction, and enforcement of any potential forfeiture, such that any adjudication of the constitutional issues would essentially constitute an advisory opinion." </w:t>
      </w:r>
      <w:bookmarkStart w:id="76" w:name="Bookmark_I67SHVR328T4BV0010000400"/>
      <w:bookmarkEnd w:id="76"/>
      <w:hyperlink r:id="rId32" w:history="1">
        <w:r>
          <w:rPr>
            <w:rFonts w:ascii="arial" w:eastAsia="arial" w:hAnsi="arial" w:cs="arial"/>
            <w:b w:val="0"/>
            <w:i/>
            <w:strike w:val="0"/>
            <w:noProof w:val="0"/>
            <w:color w:val="0077CC"/>
            <w:position w:val="0"/>
            <w:sz w:val="20"/>
            <w:u w:val="single"/>
            <w:vertAlign w:val="baseline"/>
          </w:rPr>
          <w:t>Mongol Nation</w:t>
        </w:r>
      </w:hyperlink>
      <w:hyperlink r:id="rId32" w:history="1">
        <w:r>
          <w:rPr>
            <w:rFonts w:ascii="arial" w:eastAsia="arial" w:hAnsi="arial" w:cs="arial"/>
            <w:b w:val="0"/>
            <w:i/>
            <w:strike w:val="0"/>
            <w:noProof w:val="0"/>
            <w:color w:val="0077CC"/>
            <w:position w:val="0"/>
            <w:sz w:val="20"/>
            <w:u w:val="single"/>
            <w:vertAlign w:val="baseline"/>
          </w:rPr>
          <w:t>, 132 F. Supp. 3d at 1217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77" w:name="Bookmark_I67SHVR328T4BV0030000400"/>
      <w:bookmarkEnd w:id="77"/>
      <w:hyperlink r:id="rId39" w:history="1">
        <w:r>
          <w:rPr>
            <w:rFonts w:ascii="arial" w:eastAsia="arial" w:hAnsi="arial" w:cs="arial"/>
            <w:b w:val="0"/>
            <w:i/>
            <w:strike w:val="0"/>
            <w:noProof w:val="0"/>
            <w:color w:val="0077CC"/>
            <w:position w:val="0"/>
            <w:sz w:val="20"/>
            <w:u w:val="single"/>
            <w:vertAlign w:val="baseline"/>
          </w:rPr>
          <w:t>United States v. Dote</w:t>
        </w:r>
      </w:hyperlink>
      <w:hyperlink r:id="rId39" w:history="1">
        <w:r>
          <w:rPr>
            <w:rFonts w:ascii="arial" w:eastAsia="arial" w:hAnsi="arial" w:cs="arial"/>
            <w:b w:val="0"/>
            <w:i/>
            <w:strike w:val="0"/>
            <w:noProof w:val="0"/>
            <w:color w:val="0077CC"/>
            <w:position w:val="0"/>
            <w:sz w:val="20"/>
            <w:u w:val="single"/>
            <w:vertAlign w:val="baseline"/>
          </w:rPr>
          <w:t>, 150 F. Supp. 2d 935, 943 (N.D. Ill. 2001)</w:t>
        </w:r>
      </w:hyperlink>
      <w:r>
        <w:rPr>
          <w:rFonts w:ascii="arial" w:eastAsia="arial" w:hAnsi="arial" w:cs="arial"/>
          <w:b w:val="0"/>
          <w:i w:val="0"/>
          <w:strike w:val="0"/>
          <w:noProof w:val="0"/>
          <w:color w:val="000000"/>
          <w:position w:val="0"/>
          <w:sz w:val="20"/>
          <w:u w:val="none"/>
          <w:vertAlign w:val="baseline"/>
        </w:rPr>
        <w:t xml:space="preserve"> ("[T]he amount of money subject to forfeiture. . . . is manifestly a question of fact, properly left to the jury, not something we can resolve on the pleadings."); </w:t>
      </w:r>
      <w:bookmarkStart w:id="78" w:name="Bookmark_I67SHVR328T4BV0050000400"/>
      <w:bookmarkEnd w:id="78"/>
      <w:hyperlink r:id="rId40" w:history="1">
        <w:r>
          <w:rPr>
            <w:rFonts w:ascii="arial" w:eastAsia="arial" w:hAnsi="arial" w:cs="arial"/>
            <w:b w:val="0"/>
            <w:i/>
            <w:strike w:val="0"/>
            <w:noProof w:val="0"/>
            <w:color w:val="0077CC"/>
            <w:position w:val="0"/>
            <w:sz w:val="20"/>
            <w:u w:val="single"/>
            <w:vertAlign w:val="baseline"/>
          </w:rPr>
          <w:t>United States v. Hilliard</w:t>
        </w:r>
      </w:hyperlink>
      <w:hyperlink r:id="rId40" w:history="1">
        <w:r>
          <w:rPr>
            <w:rFonts w:ascii="arial" w:eastAsia="arial" w:hAnsi="arial" w:cs="arial"/>
            <w:b w:val="0"/>
            <w:i/>
            <w:strike w:val="0"/>
            <w:noProof w:val="0"/>
            <w:color w:val="0077CC"/>
            <w:position w:val="0"/>
            <w:sz w:val="20"/>
            <w:u w:val="single"/>
            <w:vertAlign w:val="baseline"/>
          </w:rPr>
          <w:t>, 818 F. Supp. 309, 315 (D. Colo. 1993)</w:t>
        </w:r>
      </w:hyperlink>
      <w:r>
        <w:rPr>
          <w:rFonts w:ascii="arial" w:eastAsia="arial" w:hAnsi="arial" w:cs="arial"/>
          <w:b w:val="0"/>
          <w:i w:val="0"/>
          <w:strike w:val="0"/>
          <w:noProof w:val="0"/>
          <w:color w:val="000000"/>
          <w:position w:val="0"/>
          <w:sz w:val="20"/>
          <w:u w:val="none"/>
          <w:vertAlign w:val="baseline"/>
        </w:rPr>
        <w:t xml:space="preserve"> (holding that joint ownership with spouse does warrant not dismissal of forfeiture allegations); </w:t>
      </w:r>
      <w:bookmarkStart w:id="79" w:name="Bookmark_I67SHVR328T4BW0020000400"/>
      <w:bookmarkEnd w:id="79"/>
      <w:hyperlink r:id="rId41" w:history="1">
        <w:r>
          <w:rPr>
            <w:rFonts w:ascii="arial" w:eastAsia="arial" w:hAnsi="arial" w:cs="arial"/>
            <w:b w:val="0"/>
            <w:i/>
            <w:strike w:val="0"/>
            <w:noProof w:val="0"/>
            <w:color w:val="0077CC"/>
            <w:position w:val="0"/>
            <w:sz w:val="20"/>
            <w:u w:val="single"/>
            <w:vertAlign w:val="baseline"/>
          </w:rPr>
          <w:t>United States v. Razo-Quiroz</w:t>
        </w:r>
      </w:hyperlink>
      <w:hyperlink r:id="rId41" w:history="1">
        <w:r>
          <w:rPr>
            <w:rFonts w:ascii="arial" w:eastAsia="arial" w:hAnsi="arial" w:cs="arial"/>
            <w:b w:val="0"/>
            <w:i/>
            <w:strike w:val="0"/>
            <w:noProof w:val="0"/>
            <w:color w:val="0077CC"/>
            <w:position w:val="0"/>
            <w:sz w:val="20"/>
            <w:u w:val="single"/>
            <w:vertAlign w:val="baseline"/>
          </w:rPr>
          <w:t>, No. 1:19-CR-00015, 2019 U.S. Dist. LEXIS 60259, 2019 WL 1517571, *3 (E.D. Cal. Apr. 8, 2019)</w:t>
        </w:r>
      </w:hyperlink>
      <w:r>
        <w:rPr>
          <w:rFonts w:ascii="arial" w:eastAsia="arial" w:hAnsi="arial" w:cs="arial"/>
          <w:b w:val="0"/>
          <w:i w:val="0"/>
          <w:strike w:val="0"/>
          <w:noProof w:val="0"/>
          <w:color w:val="000000"/>
          <w:position w:val="0"/>
          <w:sz w:val="20"/>
          <w:u w:val="none"/>
          <w:vertAlign w:val="baseline"/>
        </w:rPr>
        <w:t xml:space="preserve"> (denying preconviction motion to dismiss forfeiture allegations as premature).</w:t>
      </w:r>
    </w:p>
    <w:p>
      <w:pPr>
        <w:keepNext w:val="0"/>
        <w:spacing w:before="200" w:after="0" w:line="260" w:lineRule="atLeast"/>
        <w:ind w:left="0" w:right="0" w:firstLine="0"/>
        <w:jc w:val="both"/>
      </w:pPr>
      <w:bookmarkStart w:id="80" w:name="Bookmark_para_16"/>
      <w:bookmarkEnd w:id="80"/>
      <w:r>
        <w:rPr>
          <w:rFonts w:ascii="arial" w:eastAsia="arial" w:hAnsi="arial" w:cs="arial"/>
          <w:b w:val="0"/>
          <w:i w:val="0"/>
          <w:strike w:val="0"/>
          <w:noProof w:val="0"/>
          <w:color w:val="000000"/>
          <w:position w:val="0"/>
          <w:sz w:val="20"/>
          <w:u w:val="none"/>
          <w:vertAlign w:val="baseline"/>
        </w:rPr>
        <w:t>In sum, Marin may challenge forfeiture here, but he must do so at the time prescribed by law. Consequently, his Motion to Relieve Forfeiture will be denied without prejudice.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1" w:name="Bookmark_para_17"/>
      <w:bookmarkEnd w:id="81"/>
      <w:r>
        <w:rPr>
          <w:rFonts w:ascii="arial" w:eastAsia="arial" w:hAnsi="arial" w:cs="arial"/>
          <w:b w:val="0"/>
          <w:i w:val="0"/>
          <w:strike w:val="0"/>
          <w:noProof w:val="0"/>
          <w:color w:val="000000"/>
          <w:position w:val="0"/>
          <w:sz w:val="20"/>
          <w:u w:val="none"/>
          <w:vertAlign w:val="baseline"/>
        </w:rPr>
        <w:t xml:space="preserve">Marin's next motion seeks to compel the Government to produce the full audio and video recordings from the sting operation under </w:t>
      </w:r>
      <w:hyperlink r:id="rId42" w:history="1">
        <w:r>
          <w:rPr>
            <w:rFonts w:ascii="arial" w:eastAsia="arial" w:hAnsi="arial" w:cs="arial"/>
            <w:b w:val="0"/>
            <w:i/>
            <w:strike w:val="0"/>
            <w:noProof w:val="0"/>
            <w:color w:val="0077CC"/>
            <w:position w:val="0"/>
            <w:sz w:val="20"/>
            <w:u w:val="single"/>
            <w:vertAlign w:val="baseline"/>
          </w:rPr>
          <w:t>Federal Rule of Criminal Procedure 16(a)(1)</w:t>
        </w:r>
      </w:hyperlink>
      <w:r>
        <w:rPr>
          <w:rFonts w:ascii="arial" w:eastAsia="arial" w:hAnsi="arial" w:cs="arial"/>
          <w:b w:val="0"/>
          <w:i w:val="0"/>
          <w:strike w:val="0"/>
          <w:noProof w:val="0"/>
          <w:color w:val="000000"/>
          <w:position w:val="0"/>
          <w:sz w:val="20"/>
          <w:u w:val="none"/>
          <w:vertAlign w:val="baseline"/>
        </w:rPr>
        <w:t xml:space="preserve">. ECF No. 189. The Government explains that it provided Marin with 24 videos of him in "the hotel room, the hotel hallway, and an area outside </w:t>
      </w:r>
      <w:r>
        <w:rPr>
          <w:rFonts w:ascii="arial" w:eastAsia="arial" w:hAnsi="arial" w:cs="arial"/>
          <w:b/>
          <w:i w:val="0"/>
          <w:strike w:val="0"/>
          <w:noProof w:val="0"/>
          <w:color w:val="000000"/>
          <w:position w:val="0"/>
          <w:sz w:val="20"/>
          <w:u w:val="none"/>
          <w:vertAlign w:val="baseline"/>
        </w:rPr>
        <w:t> [*698] </w:t>
      </w:r>
      <w:r>
        <w:rPr>
          <w:rFonts w:ascii="arial" w:eastAsia="arial" w:hAnsi="arial" w:cs="arial"/>
          <w:b w:val="0"/>
          <w:i w:val="0"/>
          <w:strike w:val="0"/>
          <w:noProof w:val="0"/>
          <w:color w:val="000000"/>
          <w:position w:val="0"/>
          <w:sz w:val="20"/>
          <w:u w:val="none"/>
          <w:vertAlign w:val="baseline"/>
        </w:rPr>
        <w:t xml:space="preserve"> the hotel." ECF No. 197 at PagID.777-78. In sum, Marin argues the videos that the Government produced (1) are "missing points" where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they are "broken down in segments" and (2) have "a timestamp date of 2001 which is 10 years later from the instant offense." ECF No. 189 at PageID.746 (cleaned up).</w:t>
      </w:r>
    </w:p>
    <w:p>
      <w:pPr>
        <w:keepNext w:val="0"/>
        <w:spacing w:before="200" w:after="0" w:line="260" w:lineRule="atLeast"/>
        <w:ind w:left="0" w:right="0" w:firstLine="0"/>
        <w:jc w:val="both"/>
      </w:pPr>
      <w:bookmarkStart w:id="82" w:name="Bookmark_para_18"/>
      <w:bookmarkEnd w:id="82"/>
      <w:r>
        <w:rPr>
          <w:rFonts w:ascii="arial" w:eastAsia="arial" w:hAnsi="arial" w:cs="arial"/>
          <w:b w:val="0"/>
          <w:i w:val="0"/>
          <w:strike w:val="0"/>
          <w:noProof w:val="0"/>
          <w:color w:val="000000"/>
          <w:position w:val="0"/>
          <w:sz w:val="20"/>
          <w:u w:val="none"/>
          <w:vertAlign w:val="baseline"/>
        </w:rPr>
        <w:t xml:space="preserve">The Government acknowledges that the 24 videos were "broken into segments by Homeland Security," ECF No. 197 at PageID.778, which "prevent[s] the size of the file from being too large to be placed on storage devices,"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PageID.776. In this way, the Government "has provided Marin a full copy of all surveillance video taken in this matter," which "has not been edited or enhanced."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PageID.778. "The Government has also provided the transcription of these videos."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PageID.776. And the Government furnished a "summary" and "copies" of the 20 "recorded phone calls between Marin and the [undercover agent]."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PageID.777.</w:t>
      </w:r>
    </w:p>
    <w:p>
      <w:pPr>
        <w:keepNext w:val="0"/>
        <w:spacing w:before="240" w:after="0" w:line="260" w:lineRule="atLeast"/>
        <w:ind w:left="0" w:right="0" w:firstLine="0"/>
        <w:jc w:val="both"/>
      </w:pPr>
      <w:bookmarkStart w:id="83" w:name="Bookmark_para_19"/>
      <w:bookmarkEnd w:id="83"/>
      <w:bookmarkStart w:id="84" w:name="Bookmark_I67SHVR328T4BW0050000400"/>
      <w:bookmarkEnd w:id="84"/>
      <w:r>
        <w:rPr>
          <w:rFonts w:ascii="arial" w:eastAsia="arial" w:hAnsi="arial" w:cs="arial"/>
          <w:b w:val="0"/>
          <w:i w:val="0"/>
          <w:strike w:val="0"/>
          <w:noProof w:val="0"/>
          <w:color w:val="000000"/>
          <w:position w:val="0"/>
          <w:sz w:val="20"/>
          <w:u w:val="none"/>
          <w:vertAlign w:val="baseline"/>
        </w:rPr>
        <w:t xml:space="preserve">Marin is correct that he "is allowed to inspect, [to] copy[,] or [to] photograph any exculpatory/impeachment evidence." ECF No. 189 at PageID.745-46 (first citing </w:t>
      </w:r>
      <w:bookmarkStart w:id="85" w:name="Bookmark_I67SHVR328T4BW0040000400"/>
      <w:bookmarkEnd w:id="85"/>
      <w:hyperlink r:id="rId43" w:history="1">
        <w:r>
          <w:rPr>
            <w:rFonts w:ascii="arial" w:eastAsia="arial" w:hAnsi="arial" w:cs="arial"/>
            <w:b w:val="0"/>
            <w:i/>
            <w:strike w:val="0"/>
            <w:noProof w:val="0"/>
            <w:color w:val="0077CC"/>
            <w:position w:val="0"/>
            <w:sz w:val="20"/>
            <w:u w:val="single"/>
            <w:vertAlign w:val="baseline"/>
          </w:rPr>
          <w:t>Brady v. Maryland</w:t>
        </w:r>
      </w:hyperlink>
      <w:hyperlink r:id="rId43" w:history="1">
        <w:r>
          <w:rPr>
            <w:rFonts w:ascii="arial" w:eastAsia="arial" w:hAnsi="arial" w:cs="arial"/>
            <w:b w:val="0"/>
            <w:i/>
            <w:strike w:val="0"/>
            <w:noProof w:val="0"/>
            <w:color w:val="0077CC"/>
            <w:position w:val="0"/>
            <w:sz w:val="20"/>
            <w:u w:val="single"/>
            <w:vertAlign w:val="baseline"/>
          </w:rPr>
          <w:t>, 373 U.S. 83, 83 S. Ct. 1194, 10 L. Ed. 2d 215 (1983)</w:t>
        </w:r>
      </w:hyperlink>
      <w:r>
        <w:rPr>
          <w:rFonts w:ascii="arial" w:eastAsia="arial" w:hAnsi="arial" w:cs="arial"/>
          <w:b w:val="0"/>
          <w:i w:val="0"/>
          <w:strike w:val="0"/>
          <w:noProof w:val="0"/>
          <w:color w:val="000000"/>
          <w:position w:val="0"/>
          <w:sz w:val="20"/>
          <w:u w:val="none"/>
          <w:vertAlign w:val="baseline"/>
        </w:rPr>
        <w:t xml:space="preserve">; then citing </w:t>
      </w:r>
      <w:bookmarkStart w:id="86" w:name="Bookmark_I67SHVR42SF7XV0010000400"/>
      <w:bookmarkEnd w:id="86"/>
      <w:hyperlink r:id="rId44" w:history="1">
        <w:r>
          <w:rPr>
            <w:rFonts w:ascii="arial" w:eastAsia="arial" w:hAnsi="arial" w:cs="arial"/>
            <w:b w:val="0"/>
            <w:i/>
            <w:strike w:val="0"/>
            <w:noProof w:val="0"/>
            <w:color w:val="0077CC"/>
            <w:position w:val="0"/>
            <w:sz w:val="20"/>
            <w:u w:val="single"/>
            <w:vertAlign w:val="baseline"/>
          </w:rPr>
          <w:t>United States v. Agurs</w:t>
        </w:r>
      </w:hyperlink>
      <w:hyperlink r:id="rId44" w:history="1">
        <w:r>
          <w:rPr>
            <w:rFonts w:ascii="arial" w:eastAsia="arial" w:hAnsi="arial" w:cs="arial"/>
            <w:b w:val="0"/>
            <w:i/>
            <w:strike w:val="0"/>
            <w:noProof w:val="0"/>
            <w:color w:val="0077CC"/>
            <w:position w:val="0"/>
            <w:sz w:val="20"/>
            <w:u w:val="single"/>
            <w:vertAlign w:val="baseline"/>
          </w:rPr>
          <w:t>, 427 U.S. 97, 96 S. Ct. 2392, 49 L. Ed. 2d 342 (1976)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holding modified by </w:t>
      </w:r>
      <w:bookmarkStart w:id="87" w:name="Bookmark_I67SHVR42SF7XV0030000400"/>
      <w:bookmarkEnd w:id="87"/>
      <w:hyperlink r:id="rId45" w:history="1">
        <w:r>
          <w:rPr>
            <w:rFonts w:ascii="arial" w:eastAsia="arial" w:hAnsi="arial" w:cs="arial"/>
            <w:b w:val="0"/>
            <w:i/>
            <w:strike w:val="0"/>
            <w:noProof w:val="0"/>
            <w:color w:val="0077CC"/>
            <w:position w:val="0"/>
            <w:sz w:val="20"/>
            <w:u w:val="single"/>
            <w:vertAlign w:val="baseline"/>
          </w:rPr>
          <w:t>United States v. Bagley</w:t>
        </w:r>
      </w:hyperlink>
      <w:hyperlink r:id="rId45" w:history="1">
        <w:r>
          <w:rPr>
            <w:rFonts w:ascii="arial" w:eastAsia="arial" w:hAnsi="arial" w:cs="arial"/>
            <w:b w:val="0"/>
            <w:i/>
            <w:strike w:val="0"/>
            <w:noProof w:val="0"/>
            <w:color w:val="0077CC"/>
            <w:position w:val="0"/>
            <w:sz w:val="20"/>
            <w:u w:val="single"/>
            <w:vertAlign w:val="baseline"/>
          </w:rPr>
          <w:t>, 473 U.S. 667, 105 S. Ct. 3375, 87 L. Ed. 2d 481 (1985)</w:t>
        </w:r>
      </w:hyperlink>
      <w:r>
        <w:rPr>
          <w:rFonts w:ascii="arial" w:eastAsia="arial" w:hAnsi="arial" w:cs="arial"/>
          <w:b w:val="0"/>
          <w:i w:val="0"/>
          <w:strike w:val="0"/>
          <w:noProof w:val="0"/>
          <w:color w:val="000000"/>
          <w:position w:val="0"/>
          <w:sz w:val="20"/>
          <w:u w:val="none"/>
          <w:vertAlign w:val="baseline"/>
        </w:rPr>
        <w:t xml:space="preserve">; and then citing </w:t>
      </w:r>
      <w:bookmarkStart w:id="88" w:name="Bookmark_I67SHVR42SF7XV0050000400"/>
      <w:bookmarkEnd w:id="88"/>
      <w:hyperlink r:id="rId46" w:history="1">
        <w:r>
          <w:rPr>
            <w:rFonts w:ascii="arial" w:eastAsia="arial" w:hAnsi="arial" w:cs="arial"/>
            <w:b w:val="0"/>
            <w:i/>
            <w:strike w:val="0"/>
            <w:noProof w:val="0"/>
            <w:color w:val="0077CC"/>
            <w:position w:val="0"/>
            <w:sz w:val="20"/>
            <w:u w:val="single"/>
            <w:vertAlign w:val="baseline"/>
          </w:rPr>
          <w:t>Giglio v. United States</w:t>
        </w:r>
      </w:hyperlink>
      <w:hyperlink r:id="rId46" w:history="1">
        <w:r>
          <w:rPr>
            <w:rFonts w:ascii="arial" w:eastAsia="arial" w:hAnsi="arial" w:cs="arial"/>
            <w:b w:val="0"/>
            <w:i/>
            <w:strike w:val="0"/>
            <w:noProof w:val="0"/>
            <w:color w:val="0077CC"/>
            <w:position w:val="0"/>
            <w:sz w:val="20"/>
            <w:u w:val="single"/>
            <w:vertAlign w:val="baseline"/>
          </w:rPr>
          <w:t>, 405 U.S. 150, 92 S. Ct. 763, 31 L. Ed. 2d 104 (1972)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9" w:name="Bookmark_para_20"/>
      <w:bookmarkEnd w:id="89"/>
      <w:bookmarkStart w:id="90" w:name="Bookmark_I67SHVR42D6N7S0030000400"/>
      <w:bookmarkEnd w:id="90"/>
      <w:r>
        <w:rPr>
          <w:rFonts w:ascii="arial" w:eastAsia="arial" w:hAnsi="arial" w:cs="arial"/>
          <w:b w:val="0"/>
          <w:i w:val="0"/>
          <w:strike w:val="0"/>
          <w:noProof w:val="0"/>
          <w:color w:val="000000"/>
          <w:position w:val="0"/>
          <w:sz w:val="20"/>
          <w:u w:val="none"/>
          <w:vertAlign w:val="baseline"/>
        </w:rPr>
        <w:t xml:space="preserve">But he has no right to the original recordings under these circumstances. </w:t>
      </w:r>
      <w:bookmarkStart w:id="91" w:name="Bookmark_I67SHVR42D6N7S0020000400"/>
      <w:bookmarkEnd w:id="91"/>
      <w:hyperlink r:id="rId47" w:history="1">
        <w:r>
          <w:rPr>
            <w:rFonts w:ascii="arial" w:eastAsia="arial" w:hAnsi="arial" w:cs="arial"/>
            <w:b w:val="0"/>
            <w:i/>
            <w:strike w:val="0"/>
            <w:noProof w:val="0"/>
            <w:color w:val="0077CC"/>
            <w:position w:val="0"/>
            <w:sz w:val="20"/>
            <w:u w:val="single"/>
            <w:vertAlign w:val="baseline"/>
          </w:rPr>
          <w:t>United States v. DeLeon</w:t>
        </w:r>
      </w:hyperlink>
      <w:hyperlink r:id="rId47" w:history="1">
        <w:r>
          <w:rPr>
            <w:rFonts w:ascii="arial" w:eastAsia="arial" w:hAnsi="arial" w:cs="arial"/>
            <w:b w:val="0"/>
            <w:i/>
            <w:strike w:val="0"/>
            <w:noProof w:val="0"/>
            <w:color w:val="0077CC"/>
            <w:position w:val="0"/>
            <w:sz w:val="20"/>
            <w:u w:val="single"/>
            <w:vertAlign w:val="baseline"/>
          </w:rPr>
          <w:t>, 428 F. Supp. 3d 716, 766 (D.N.M. 2019)</w:t>
        </w:r>
      </w:hyperlink>
      <w:r>
        <w:rPr>
          <w:rFonts w:ascii="arial" w:eastAsia="arial" w:hAnsi="arial" w:cs="arial"/>
          <w:b w:val="0"/>
          <w:i w:val="0"/>
          <w:strike w:val="0"/>
          <w:noProof w:val="0"/>
          <w:color w:val="000000"/>
          <w:position w:val="0"/>
          <w:sz w:val="20"/>
          <w:u w:val="none"/>
          <w:vertAlign w:val="baseline"/>
        </w:rPr>
        <w:t xml:space="preserve"> </w:t>
      </w:r>
      <w:bookmarkStart w:id="92" w:name="Bookmark_LNHNREFclscc5"/>
      <w:bookmarkEnd w:id="92"/>
      <w:hyperlink r:id="rId48"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1"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(holding that criminal defendants "cannot justify compelling production of all original recordings"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if the Government "clarified that everything the recording devices recorded has been disclosed to the Defendants" (citing </w:t>
      </w:r>
      <w:bookmarkStart w:id="93" w:name="Bookmark_I67SHVR42D6N7S0040000400"/>
      <w:bookmarkEnd w:id="93"/>
      <w:hyperlink r:id="rId49" w:history="1">
        <w:r>
          <w:rPr>
            <w:rFonts w:ascii="arial" w:eastAsia="arial" w:hAnsi="arial" w:cs="arial"/>
            <w:b w:val="0"/>
            <w:i/>
            <w:strike w:val="0"/>
            <w:noProof w:val="0"/>
            <w:color w:val="0077CC"/>
            <w:position w:val="0"/>
            <w:sz w:val="20"/>
            <w:u w:val="single"/>
            <w:vertAlign w:val="baseline"/>
          </w:rPr>
          <w:t>United States v. Maranzino</w:t>
        </w:r>
      </w:hyperlink>
      <w:hyperlink r:id="rId49" w:history="1">
        <w:r>
          <w:rPr>
            <w:rFonts w:ascii="arial" w:eastAsia="arial" w:hAnsi="arial" w:cs="arial"/>
            <w:b w:val="0"/>
            <w:i/>
            <w:strike w:val="0"/>
            <w:noProof w:val="0"/>
            <w:color w:val="0077CC"/>
            <w:position w:val="0"/>
            <w:sz w:val="20"/>
            <w:u w:val="single"/>
            <w:vertAlign w:val="baseline"/>
          </w:rPr>
          <w:t>, 860 F.2d 981, 985 (10th Cir. 1988)</w:t>
        </w:r>
      </w:hyperlink>
      <w:r>
        <w:rPr>
          <w:rFonts w:ascii="arial" w:eastAsia="arial" w:hAnsi="arial" w:cs="arial"/>
          <w:b w:val="0"/>
          <w:i w:val="0"/>
          <w:strike w:val="0"/>
          <w:noProof w:val="0"/>
          <w:color w:val="000000"/>
          <w:position w:val="0"/>
          <w:sz w:val="20"/>
          <w:u w:val="none"/>
          <w:vertAlign w:val="baseline"/>
        </w:rPr>
        <w:t xml:space="preserve"> (per curiam)));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0" w:history="1">
        <w:r>
          <w:rPr>
            <w:rFonts w:ascii="arial" w:eastAsia="arial" w:hAnsi="arial" w:cs="arial"/>
            <w:b w:val="0"/>
            <w:i/>
            <w:strike w:val="0"/>
            <w:noProof w:val="0"/>
            <w:color w:val="0077CC"/>
            <w:position w:val="0"/>
            <w:sz w:val="20"/>
            <w:u w:val="single"/>
            <w:vertAlign w:val="baseline"/>
          </w:rPr>
          <w:t>Fed. R. Civ. P.</w:t>
        </w:r>
      </w:hyperlink>
      <w:hyperlink r:id="rId50" w:history="1">
        <w:r>
          <w:rPr>
            <w:rFonts w:ascii="arial" w:eastAsia="arial" w:hAnsi="arial" w:cs="arial"/>
            <w:b w:val="0"/>
            <w:i/>
            <w:strike w:val="0"/>
            <w:noProof w:val="0"/>
            <w:color w:val="0077CC"/>
            <w:position w:val="0"/>
            <w:sz w:val="20"/>
            <w:u w:val="single"/>
            <w:vertAlign w:val="baseline"/>
          </w:rPr>
          <w:t xml:space="preserve"> 16(a)(1)(E)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94" w:name="Bookmark_I67SHVR42D6N7X0010000400"/>
      <w:bookmarkEnd w:id="94"/>
      <w:hyperlink r:id="rId51" w:history="1">
        <w:r>
          <w:rPr>
            <w:rFonts w:ascii="arial" w:eastAsia="arial" w:hAnsi="arial" w:cs="arial"/>
            <w:b w:val="0"/>
            <w:i/>
            <w:strike w:val="0"/>
            <w:noProof w:val="0"/>
            <w:color w:val="0077CC"/>
            <w:position w:val="0"/>
            <w:sz w:val="20"/>
            <w:u w:val="single"/>
            <w:vertAlign w:val="baseline"/>
          </w:rPr>
          <w:t>United States v. Todd</w:t>
        </w:r>
      </w:hyperlink>
      <w:hyperlink r:id="rId51" w:history="1">
        <w:r>
          <w:rPr>
            <w:rFonts w:ascii="arial" w:eastAsia="arial" w:hAnsi="arial" w:cs="arial"/>
            <w:b w:val="0"/>
            <w:i/>
            <w:strike w:val="0"/>
            <w:noProof w:val="0"/>
            <w:color w:val="0077CC"/>
            <w:position w:val="0"/>
            <w:sz w:val="20"/>
            <w:u w:val="single"/>
            <w:vertAlign w:val="baseline"/>
          </w:rPr>
          <w:t>, 920 F.2d 399, 405 (6th Cir. 1990)</w:t>
        </w:r>
      </w:hyperlink>
      <w:r>
        <w:rPr>
          <w:rFonts w:ascii="arial" w:eastAsia="arial" w:hAnsi="arial" w:cs="arial"/>
          <w:b w:val="0"/>
          <w:i w:val="0"/>
          <w:strike w:val="0"/>
          <w:noProof w:val="0"/>
          <w:color w:val="000000"/>
          <w:position w:val="0"/>
          <w:sz w:val="20"/>
          <w:u w:val="none"/>
          <w:vertAlign w:val="baseline"/>
        </w:rPr>
        <w:t xml:space="preserve"> ("The Supreme Court has made clear that the </w:t>
      </w:r>
      <w:bookmarkStart w:id="95" w:name="Bookmark_I67SHVR42D6N7X0030000400"/>
      <w:bookmarkEnd w:id="95"/>
      <w:hyperlink r:id="rId43"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xml:space="preserve"> rule is not an evidentiary rule which grants broad discovery powers to a defendant and that '[t]here is no general constitutional right to discovery in a criminal case.'" (alteration in original) (quoting </w:t>
      </w:r>
      <w:bookmarkStart w:id="96" w:name="Bookmark_I67SHVR42D6N7X0050000400"/>
      <w:bookmarkEnd w:id="96"/>
      <w:hyperlink r:id="rId52" w:history="1">
        <w:r>
          <w:rPr>
            <w:rFonts w:ascii="arial" w:eastAsia="arial" w:hAnsi="arial" w:cs="arial"/>
            <w:b w:val="0"/>
            <w:i/>
            <w:strike w:val="0"/>
            <w:noProof w:val="0"/>
            <w:color w:val="0077CC"/>
            <w:position w:val="0"/>
            <w:sz w:val="20"/>
            <w:u w:val="single"/>
            <w:vertAlign w:val="baseline"/>
          </w:rPr>
          <w:t>Weatherford v. Bursey</w:t>
        </w:r>
      </w:hyperlink>
      <w:hyperlink r:id="rId52" w:history="1">
        <w:r>
          <w:rPr>
            <w:rFonts w:ascii="arial" w:eastAsia="arial" w:hAnsi="arial" w:cs="arial"/>
            <w:b w:val="0"/>
            <w:i/>
            <w:strike w:val="0"/>
            <w:noProof w:val="0"/>
            <w:color w:val="0077CC"/>
            <w:position w:val="0"/>
            <w:sz w:val="20"/>
            <w:u w:val="single"/>
            <w:vertAlign w:val="baseline"/>
          </w:rPr>
          <w:t>, 429 U.S. 545, 559, 97 S. Ct. 837, 51 L. Ed. 2d 30 (1977)</w:t>
        </w:r>
      </w:hyperlink>
      <w:r>
        <w:rPr>
          <w:rFonts w:ascii="arial" w:eastAsia="arial" w:hAnsi="arial" w:cs="arial"/>
          <w:b w:val="0"/>
          <w:i w:val="0"/>
          <w:strike w:val="0"/>
          <w:noProof w:val="0"/>
          <w:color w:val="000000"/>
          <w:position w:val="0"/>
          <w:sz w:val="20"/>
          <w:u w:val="none"/>
          <w:vertAlign w:val="baseline"/>
        </w:rPr>
        <w:t>)). In sum, based on the record, the Government has given Marin everything to which he is entitled.</w:t>
      </w:r>
    </w:p>
    <w:p>
      <w:pPr>
        <w:keepNext w:val="0"/>
        <w:spacing w:before="200" w:after="0" w:line="260" w:lineRule="atLeast"/>
        <w:ind w:left="0" w:right="0" w:firstLine="0"/>
        <w:jc w:val="both"/>
      </w:pPr>
      <w:bookmarkStart w:id="97" w:name="Bookmark_para_21"/>
      <w:bookmarkEnd w:id="97"/>
      <w:r>
        <w:rPr>
          <w:rFonts w:ascii="arial" w:eastAsia="arial" w:hAnsi="arial" w:cs="arial"/>
          <w:b w:val="0"/>
          <w:i w:val="0"/>
          <w:strike w:val="0"/>
          <w:noProof w:val="0"/>
          <w:color w:val="000000"/>
          <w:position w:val="0"/>
          <w:sz w:val="20"/>
          <w:u w:val="none"/>
          <w:vertAlign w:val="baseline"/>
        </w:rPr>
        <w:t xml:space="preserve">And a 2001 timestamp being "10 years </w:t>
      </w:r>
      <w:r>
        <w:rPr>
          <w:rFonts w:ascii="arial" w:eastAsia="arial" w:hAnsi="arial" w:cs="arial"/>
          <w:b w:val="0"/>
          <w:i/>
          <w:strike w:val="0"/>
          <w:noProof w:val="0"/>
          <w:color w:val="000000"/>
          <w:position w:val="0"/>
          <w:sz w:val="20"/>
          <w:u w:val="none"/>
          <w:vertAlign w:val="baseline"/>
        </w:rPr>
        <w:t>later</w:t>
      </w:r>
      <w:r>
        <w:rPr>
          <w:rFonts w:ascii="arial" w:eastAsia="arial" w:hAnsi="arial" w:cs="arial"/>
          <w:b w:val="0"/>
          <w:i w:val="0"/>
          <w:strike w:val="0"/>
          <w:noProof w:val="0"/>
          <w:color w:val="000000"/>
          <w:position w:val="0"/>
          <w:sz w:val="20"/>
          <w:u w:val="none"/>
          <w:vertAlign w:val="baseline"/>
        </w:rPr>
        <w:t xml:space="preserve"> than the instant offense" would make no sense. The underlying events happened in 2020. Ten years later would be 2030. </w:t>
      </w:r>
      <w:bookmarkStart w:id="98" w:name="Bookmark_I67SHVR52D6N800030000400"/>
      <w:bookmarkEnd w:id="98"/>
      <w:r>
        <w:rPr>
          <w:rFonts w:ascii="arial" w:eastAsia="arial" w:hAnsi="arial" w:cs="arial"/>
          <w:b w:val="0"/>
          <w:i w:val="0"/>
          <w:strike w:val="0"/>
          <w:noProof w:val="0"/>
          <w:color w:val="000000"/>
          <w:position w:val="0"/>
          <w:sz w:val="20"/>
          <w:u w:val="none"/>
          <w:vertAlign w:val="baseline"/>
        </w:rPr>
        <w:t xml:space="preserve">Ten years earlier would be 2010. Thus it is not clear what Marin is arguing. </w:t>
      </w:r>
      <w:r>
        <w:rPr>
          <w:rFonts w:ascii="arial" w:eastAsia="arial" w:hAnsi="arial" w:cs="arial"/>
          <w:b w:val="0"/>
          <w:i/>
          <w:strike w:val="0"/>
          <w:noProof w:val="0"/>
          <w:color w:val="000000"/>
          <w:position w:val="0"/>
          <w:sz w:val="20"/>
          <w:u w:val="none"/>
          <w:vertAlign w:val="baseline"/>
        </w:rPr>
        <w:t xml:space="preserve">But see </w:t>
      </w:r>
      <w:bookmarkStart w:id="99" w:name="Bookmark_I67SHVR52D6N800020000400"/>
      <w:bookmarkEnd w:id="99"/>
      <w:hyperlink r:id="rId53" w:history="1">
        <w:r>
          <w:rPr>
            <w:rFonts w:ascii="arial" w:eastAsia="arial" w:hAnsi="arial" w:cs="arial"/>
            <w:b w:val="0"/>
            <w:i/>
            <w:strike w:val="0"/>
            <w:noProof w:val="0"/>
            <w:color w:val="0077CC"/>
            <w:position w:val="0"/>
            <w:sz w:val="20"/>
            <w:u w:val="single"/>
            <w:vertAlign w:val="baseline"/>
          </w:rPr>
          <w:t>United States v. Mize</w:t>
        </w:r>
      </w:hyperlink>
      <w:hyperlink r:id="rId53" w:history="1">
        <w:r>
          <w:rPr>
            <w:rFonts w:ascii="arial" w:eastAsia="arial" w:hAnsi="arial" w:cs="arial"/>
            <w:b w:val="0"/>
            <w:i/>
            <w:strike w:val="0"/>
            <w:noProof w:val="0"/>
            <w:color w:val="0077CC"/>
            <w:position w:val="0"/>
            <w:sz w:val="20"/>
            <w:u w:val="single"/>
            <w:vertAlign w:val="baseline"/>
          </w:rPr>
          <w:t>, 498 F. Supp. 3d 978, 986 (S.D. Ohio 2020)</w:t>
        </w:r>
      </w:hyperlink>
      <w:r>
        <w:rPr>
          <w:rFonts w:ascii="arial" w:eastAsia="arial" w:hAnsi="arial" w:cs="arial"/>
          <w:b w:val="0"/>
          <w:i w:val="0"/>
          <w:strike w:val="0"/>
          <w:noProof w:val="0"/>
          <w:color w:val="000000"/>
          <w:position w:val="0"/>
          <w:sz w:val="20"/>
          <w:u w:val="none"/>
          <w:vertAlign w:val="baseline"/>
        </w:rPr>
        <w:t xml:space="preserve"> (explaining that, absent "suggestions that the Government manipulated the archived footage or otherwise acted in bad faith," an authenticity argument "merely goes to the weight of the evidence, not admissibility"). Yet the Government responded that the timestamps "clearly show that none of the videos have been edited and no portion has been removed but rather is one continuous video broken into segments." ECF No. 197 at PageID.778; </w:t>
      </w:r>
      <w:r>
        <w:rPr>
          <w:rFonts w:ascii="arial" w:eastAsia="arial" w:hAnsi="arial" w:cs="arial"/>
          <w:b w:val="0"/>
          <w:i/>
          <w:strike w:val="0"/>
          <w:noProof w:val="0"/>
          <w:color w:val="000000"/>
          <w:position w:val="0"/>
          <w:sz w:val="20"/>
          <w:u w:val="none"/>
          <w:vertAlign w:val="baseline"/>
        </w:rPr>
        <w:t>accord id.</w:t>
      </w:r>
      <w:r>
        <w:rPr>
          <w:rFonts w:ascii="arial" w:eastAsia="arial" w:hAnsi="arial" w:cs="arial"/>
          <w:b w:val="0"/>
          <w:i w:val="0"/>
          <w:strike w:val="0"/>
          <w:noProof w:val="0"/>
          <w:color w:val="000000"/>
          <w:position w:val="0"/>
          <w:sz w:val="20"/>
          <w:u w:val="none"/>
          <w:vertAlign w:val="baseline"/>
        </w:rPr>
        <w:t xml:space="preserve"> at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PageID.776 ("The video has time stamps which show that the video never stops recording and that none of the segments have been edited or removed."). So this argument lacks merit at this time.</w:t>
      </w:r>
    </w:p>
    <w:p>
      <w:pPr>
        <w:keepNext w:val="0"/>
        <w:spacing w:before="200" w:after="0" w:line="260" w:lineRule="atLeast"/>
        <w:ind w:left="0" w:right="0" w:firstLine="0"/>
        <w:jc w:val="both"/>
      </w:pPr>
      <w:bookmarkStart w:id="100" w:name="Bookmark_para_22"/>
      <w:bookmarkEnd w:id="100"/>
      <w:r>
        <w:rPr>
          <w:rFonts w:ascii="arial" w:eastAsia="arial" w:hAnsi="arial" w:cs="arial"/>
          <w:b w:val="0"/>
          <w:i w:val="0"/>
          <w:strike w:val="0"/>
          <w:noProof w:val="0"/>
          <w:color w:val="000000"/>
          <w:position w:val="0"/>
          <w:sz w:val="20"/>
          <w:u w:val="none"/>
          <w:vertAlign w:val="baseline"/>
        </w:rPr>
        <w:t>For those reasons, Marin's Motion to Compel Discovery will be denied without prejudice.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1" w:name="Bookmark_para_23"/>
      <w:bookmarkEnd w:id="101"/>
      <w:r>
        <w:rPr>
          <w:rFonts w:ascii="arial" w:eastAsia="arial" w:hAnsi="arial" w:cs="arial"/>
          <w:b w:val="0"/>
          <w:i w:val="0"/>
          <w:strike w:val="0"/>
          <w:noProof w:val="0"/>
          <w:color w:val="000000"/>
          <w:position w:val="0"/>
          <w:sz w:val="20"/>
          <w:u w:val="none"/>
          <w:vertAlign w:val="baseline"/>
        </w:rPr>
        <w:t xml:space="preserve">Finally, Marin has filed what appears to be a motion to suppress unidentified evidence. ECF No. 192. Although his argument </w:t>
      </w:r>
      <w:r>
        <w:rPr>
          <w:rFonts w:ascii="arial" w:eastAsia="arial" w:hAnsi="arial" w:cs="arial"/>
          <w:b/>
          <w:i w:val="0"/>
          <w:strike w:val="0"/>
          <w:noProof w:val="0"/>
          <w:color w:val="000000"/>
          <w:position w:val="0"/>
          <w:sz w:val="20"/>
          <w:u w:val="none"/>
          <w:vertAlign w:val="baseline"/>
        </w:rPr>
        <w:t> [*699] </w:t>
      </w:r>
      <w:r>
        <w:rPr>
          <w:rFonts w:ascii="arial" w:eastAsia="arial" w:hAnsi="arial" w:cs="arial"/>
          <w:b w:val="0"/>
          <w:i w:val="0"/>
          <w:strike w:val="0"/>
          <w:noProof w:val="0"/>
          <w:color w:val="000000"/>
          <w:position w:val="0"/>
          <w:sz w:val="20"/>
          <w:u w:val="none"/>
          <w:vertAlign w:val="baseline"/>
        </w:rPr>
        <w:t xml:space="preserve"> is difficult to discern, the Government has provided the following reasonable interpretation of it: On October 13, 2022, the Department of Homeland Security subpoenaed United Airlines, under </w:t>
      </w:r>
      <w:hyperlink r:id="rId54" w:history="1">
        <w:r>
          <w:rPr>
            <w:rFonts w:ascii="arial" w:eastAsia="arial" w:hAnsi="arial" w:cs="arial"/>
            <w:b w:val="0"/>
            <w:i/>
            <w:strike w:val="0"/>
            <w:noProof w:val="0"/>
            <w:color w:val="0077CC"/>
            <w:position w:val="0"/>
            <w:sz w:val="20"/>
            <w:u w:val="single"/>
            <w:vertAlign w:val="baseline"/>
          </w:rPr>
          <w:t>21 U.S.C. § 967</w:t>
        </w:r>
      </w:hyperlink>
      <w:r>
        <w:rPr>
          <w:rFonts w:ascii="arial" w:eastAsia="arial" w:hAnsi="arial" w:cs="arial"/>
          <w:b w:val="0"/>
          <w:i w:val="0"/>
          <w:strike w:val="0"/>
          <w:noProof w:val="0"/>
          <w:color w:val="000000"/>
          <w:position w:val="0"/>
          <w:sz w:val="20"/>
          <w:u w:val="none"/>
          <w:vertAlign w:val="baseline"/>
        </w:rPr>
        <w:t xml:space="preserve">, to obtain Marin's travel records from July—September 2020. ECF No. 196 at PageID.770. On December 18, 2022, United Airlines produced travel records showing Marin and his codefendants took numerous flights from Midland, Michigan to Brownsville, Texas, a border town.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Marin seeks to suppress those travel records.</w:t>
      </w:r>
    </w:p>
    <w:p>
      <w:pPr>
        <w:keepNext w:val="0"/>
        <w:spacing w:before="240" w:after="0" w:line="260" w:lineRule="atLeast"/>
        <w:ind w:left="0" w:right="0" w:firstLine="0"/>
        <w:jc w:val="both"/>
      </w:pPr>
      <w:bookmarkStart w:id="102" w:name="Bookmark_para_24"/>
      <w:bookmarkEnd w:id="102"/>
      <w:r>
        <w:rPr>
          <w:rFonts w:ascii="arial" w:eastAsia="arial" w:hAnsi="arial" w:cs="arial"/>
          <w:b w:val="0"/>
          <w:i w:val="0"/>
          <w:strike w:val="0"/>
          <w:noProof w:val="0"/>
          <w:color w:val="000000"/>
          <w:position w:val="0"/>
          <w:sz w:val="20"/>
          <w:u w:val="none"/>
          <w:vertAlign w:val="baseline"/>
        </w:rPr>
        <w:t xml:space="preserve">In sum, Marin is arguing Homeland Security may not issue subpoenas under </w:t>
      </w:r>
      <w:hyperlink r:id="rId54" w:history="1">
        <w:r>
          <w:rPr>
            <w:rFonts w:ascii="arial" w:eastAsia="arial" w:hAnsi="arial" w:cs="arial"/>
            <w:b w:val="0"/>
            <w:i/>
            <w:strike w:val="0"/>
            <w:noProof w:val="0"/>
            <w:color w:val="0077CC"/>
            <w:position w:val="0"/>
            <w:sz w:val="20"/>
            <w:u w:val="single"/>
            <w:vertAlign w:val="baseline"/>
          </w:rPr>
          <w:t>21 U.S.C. § 967</w:t>
        </w:r>
      </w:hyperlink>
      <w:r>
        <w:rPr>
          <w:rFonts w:ascii="arial" w:eastAsia="arial" w:hAnsi="arial" w:cs="arial"/>
          <w:b w:val="0"/>
          <w:i w:val="0"/>
          <w:strike w:val="0"/>
          <w:noProof w:val="0"/>
          <w:color w:val="000000"/>
          <w:position w:val="0"/>
          <w:sz w:val="20"/>
          <w:u w:val="none"/>
          <w:vertAlign w:val="baseline"/>
        </w:rPr>
        <w:t xml:space="preserve">, because its "statutory authorization falls under </w:t>
      </w:r>
      <w:hyperlink r:id="rId55" w:history="1">
        <w:r>
          <w:rPr>
            <w:rFonts w:ascii="arial" w:eastAsia="arial" w:hAnsi="arial" w:cs="arial"/>
            <w:b w:val="0"/>
            <w:i/>
            <w:strike w:val="0"/>
            <w:noProof w:val="0"/>
            <w:color w:val="0077CC"/>
            <w:position w:val="0"/>
            <w:sz w:val="20"/>
            <w:u w:val="single"/>
            <w:vertAlign w:val="baseline"/>
          </w:rPr>
          <w:t>18 U.S.C. [§] 545</w:t>
        </w:r>
      </w:hyperlink>
      <w:r>
        <w:rPr>
          <w:rFonts w:ascii="arial" w:eastAsia="arial" w:hAnsi="arial" w:cs="arial"/>
          <w:b w:val="0"/>
          <w:i w:val="0"/>
          <w:strike w:val="0"/>
          <w:noProof w:val="0"/>
          <w:color w:val="000000"/>
          <w:position w:val="0"/>
          <w:sz w:val="20"/>
          <w:u w:val="none"/>
          <w:vertAlign w:val="baseline"/>
        </w:rPr>
        <w:t>." ECF No. 192 at 754-55.</w:t>
      </w:r>
    </w:p>
    <w:p>
      <w:pPr>
        <w:keepNext w:val="0"/>
        <w:spacing w:before="240" w:after="0" w:line="260" w:lineRule="atLeast"/>
        <w:ind w:left="0" w:right="0" w:firstLine="0"/>
        <w:jc w:val="both"/>
      </w:pPr>
      <w:bookmarkStart w:id="103" w:name="Bookmark_para_25"/>
      <w:bookmarkEnd w:id="103"/>
      <w:bookmarkStart w:id="104" w:name="Bookmark_I67SHVR52D6N800050000400"/>
      <w:bookmarkEnd w:id="104"/>
      <w:r>
        <w:rPr>
          <w:rFonts w:ascii="arial" w:eastAsia="arial" w:hAnsi="arial" w:cs="arial"/>
          <w:b w:val="0"/>
          <w:i w:val="0"/>
          <w:strike w:val="0"/>
          <w:noProof w:val="0"/>
          <w:color w:val="000000"/>
          <w:position w:val="0"/>
          <w:sz w:val="20"/>
          <w:u w:val="none"/>
          <w:vertAlign w:val="baseline"/>
        </w:rPr>
        <w:t xml:space="preserve">As a threshold matter, Marin has no apparent legal standing to challenge the subpoenas. Because </w:t>
      </w:r>
      <w:bookmarkStart w:id="105" w:name="Bookmark_LNHNREFclscc6"/>
      <w:bookmarkEnd w:id="105"/>
      <w:hyperlink r:id="rId56"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2"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w:t>
      </w:r>
      <w:hyperlink r:id="rId54" w:history="1">
        <w:r>
          <w:rPr>
            <w:rFonts w:ascii="arial" w:eastAsia="arial" w:hAnsi="arial" w:cs="arial"/>
            <w:b w:val="0"/>
            <w:i/>
            <w:strike w:val="0"/>
            <w:noProof w:val="0"/>
            <w:color w:val="0077CC"/>
            <w:position w:val="0"/>
            <w:sz w:val="20"/>
            <w:u w:val="single"/>
            <w:vertAlign w:val="baseline"/>
          </w:rPr>
          <w:t>21 U.S.C. § 967</w:t>
        </w:r>
      </w:hyperlink>
      <w:r>
        <w:rPr>
          <w:rFonts w:ascii="arial" w:eastAsia="arial" w:hAnsi="arial" w:cs="arial"/>
          <w:b w:val="0"/>
          <w:i w:val="0"/>
          <w:strike w:val="0"/>
          <w:noProof w:val="0"/>
          <w:color w:val="000000"/>
          <w:position w:val="0"/>
          <w:sz w:val="20"/>
          <w:u w:val="none"/>
          <w:vertAlign w:val="baseline"/>
        </w:rPr>
        <w:t xml:space="preserve"> does not "provide[] an express right to challenge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 subpoenas issued under [it]," Marin "does not fall within the zones of interest [it is] meant to protect and thus cannot challenge the [United Airlines] Subpoenas." </w:t>
      </w:r>
      <w:bookmarkStart w:id="106" w:name="Bookmark_I67SHVR52D6N800040000400"/>
      <w:bookmarkEnd w:id="106"/>
      <w:hyperlink r:id="rId57" w:history="1">
        <w:r>
          <w:rPr>
            <w:rFonts w:ascii="arial" w:eastAsia="arial" w:hAnsi="arial" w:cs="arial"/>
            <w:b w:val="0"/>
            <w:i/>
            <w:strike w:val="0"/>
            <w:noProof w:val="0"/>
            <w:color w:val="0077CC"/>
            <w:position w:val="0"/>
            <w:sz w:val="20"/>
            <w:u w:val="single"/>
            <w:vertAlign w:val="baseline"/>
          </w:rPr>
          <w:t>United States v. Brooks</w:t>
        </w:r>
      </w:hyperlink>
      <w:hyperlink r:id="rId57" w:history="1">
        <w:r>
          <w:rPr>
            <w:rFonts w:ascii="arial" w:eastAsia="arial" w:hAnsi="arial" w:cs="arial"/>
            <w:b w:val="0"/>
            <w:i/>
            <w:strike w:val="0"/>
            <w:noProof w:val="0"/>
            <w:color w:val="0077CC"/>
            <w:position w:val="0"/>
            <w:sz w:val="20"/>
            <w:u w:val="single"/>
            <w:vertAlign w:val="baseline"/>
          </w:rPr>
          <w:t>, 841 F. App'x 346, 351 (3d Cir. 2020)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107" w:name="Bookmark_I67SHVR52HM6780010000400"/>
      <w:bookmarkEnd w:id="107"/>
      <w:hyperlink r:id="rId58" w:history="1">
        <w:r>
          <w:rPr>
            <w:rFonts w:ascii="arial" w:eastAsia="arial" w:hAnsi="arial" w:cs="arial"/>
            <w:b w:val="0"/>
            <w:i/>
            <w:strike w:val="0"/>
            <w:noProof w:val="0"/>
            <w:color w:val="0077CC"/>
            <w:position w:val="0"/>
            <w:sz w:val="20"/>
            <w:u w:val="single"/>
            <w:vertAlign w:val="baseline"/>
          </w:rPr>
          <w:t>United States v. Leininger</w:t>
        </w:r>
      </w:hyperlink>
      <w:hyperlink r:id="rId58" w:history="1">
        <w:r>
          <w:rPr>
            <w:rFonts w:ascii="arial" w:eastAsia="arial" w:hAnsi="arial" w:cs="arial"/>
            <w:b w:val="0"/>
            <w:i/>
            <w:strike w:val="0"/>
            <w:noProof w:val="0"/>
            <w:color w:val="0077CC"/>
            <w:position w:val="0"/>
            <w:sz w:val="20"/>
            <w:u w:val="single"/>
            <w:vertAlign w:val="baseline"/>
          </w:rPr>
          <w:t>, No. 3:16-CR-01530, 2016 U.S. Dist. LEXIS 152094, 2016 WL 6476310, at *9 (S.D. Cal. Nov. 2, 2016)</w:t>
        </w:r>
      </w:hyperlink>
      <w:r>
        <w:rPr>
          <w:rFonts w:ascii="arial" w:eastAsia="arial" w:hAnsi="arial" w:cs="arial"/>
          <w:b w:val="0"/>
          <w:i w:val="0"/>
          <w:strike w:val="0"/>
          <w:noProof w:val="0"/>
          <w:color w:val="000000"/>
          <w:position w:val="0"/>
          <w:sz w:val="20"/>
          <w:u w:val="none"/>
          <w:vertAlign w:val="baseline"/>
        </w:rPr>
        <w:t xml:space="preserve"> ("Leininger has failed to point to any authority which would find that obtaining an administrative subpoena for the Government's stated purposes falls outside of </w:t>
      </w:r>
      <w:hyperlink r:id="rId54" w:history="1">
        <w:r>
          <w:rPr>
            <w:rFonts w:ascii="arial" w:eastAsia="arial" w:hAnsi="arial" w:cs="arial"/>
            <w:b w:val="0"/>
            <w:i/>
            <w:strike w:val="0"/>
            <w:noProof w:val="0"/>
            <w:color w:val="0077CC"/>
            <w:position w:val="0"/>
            <w:sz w:val="20"/>
            <w:u w:val="single"/>
            <w:vertAlign w:val="baseline"/>
          </w:rPr>
          <w:t>§ 967</w:t>
        </w:r>
      </w:hyperlink>
      <w:r>
        <w:rPr>
          <w:rFonts w:ascii="arial" w:eastAsia="arial" w:hAnsi="arial" w:cs="arial"/>
          <w:b w:val="0"/>
          <w:i w:val="0"/>
          <w:strike w:val="0"/>
          <w:noProof w:val="0"/>
          <w:color w:val="000000"/>
          <w:position w:val="0"/>
          <w:sz w:val="20"/>
          <w:u w:val="none"/>
          <w:vertAlign w:val="baseline"/>
        </w:rPr>
        <w:t xml:space="preserve"> or that its overbroad use would justify suppression of the evidence.").</w:t>
      </w:r>
    </w:p>
    <w:p>
      <w:pPr>
        <w:keepNext w:val="0"/>
        <w:spacing w:before="240" w:after="0" w:line="260" w:lineRule="atLeast"/>
        <w:ind w:left="0" w:right="0" w:firstLine="0"/>
        <w:jc w:val="both"/>
      </w:pPr>
      <w:bookmarkStart w:id="108" w:name="Bookmark_para_26"/>
      <w:bookmarkEnd w:id="108"/>
      <w:bookmarkStart w:id="109" w:name="Bookmark_I67SHVR52HM6780040000400"/>
      <w:bookmarkEnd w:id="109"/>
      <w:r>
        <w:rPr>
          <w:rFonts w:ascii="arial" w:eastAsia="arial" w:hAnsi="arial" w:cs="arial"/>
          <w:b w:val="0"/>
          <w:i w:val="0"/>
          <w:strike w:val="0"/>
          <w:noProof w:val="0"/>
          <w:color w:val="000000"/>
          <w:position w:val="0"/>
          <w:sz w:val="20"/>
          <w:u w:val="none"/>
          <w:vertAlign w:val="baseline"/>
        </w:rPr>
        <w:t xml:space="preserve">And there is no apparent legal basis for the remedy that he seeks. </w:t>
      </w:r>
      <w:bookmarkStart w:id="110" w:name="Bookmark_LNHNREFclscc7"/>
      <w:bookmarkEnd w:id="110"/>
      <w:hyperlink r:id="rId59"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3"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"Even if [Marin] could challenge the subpoenas, suppression is not an available remedy because [</w:t>
      </w:r>
      <w:hyperlink r:id="rId54" w:history="1">
        <w:r>
          <w:rPr>
            <w:rFonts w:ascii="arial" w:eastAsia="arial" w:hAnsi="arial" w:cs="arial"/>
            <w:b w:val="0"/>
            <w:i/>
            <w:strike w:val="0"/>
            <w:noProof w:val="0"/>
            <w:color w:val="0077CC"/>
            <w:position w:val="0"/>
            <w:sz w:val="20"/>
            <w:u w:val="single"/>
            <w:vertAlign w:val="baseline"/>
          </w:rPr>
          <w:t>21 U.S.C. § 967</w:t>
        </w:r>
      </w:hyperlink>
      <w:r>
        <w:rPr>
          <w:rFonts w:ascii="arial" w:eastAsia="arial" w:hAnsi="arial" w:cs="arial"/>
          <w:b w:val="0"/>
          <w:i w:val="0"/>
          <w:strike w:val="0"/>
          <w:noProof w:val="0"/>
          <w:color w:val="000000"/>
          <w:position w:val="0"/>
          <w:sz w:val="20"/>
          <w:u w:val="none"/>
          <w:vertAlign w:val="baseline"/>
        </w:rPr>
        <w:t xml:space="preserve"> is] silent as to whether exclusion is appropriate." </w:t>
      </w:r>
      <w:bookmarkStart w:id="111" w:name="Bookmark_I67SHVR52HM6780030000400"/>
      <w:bookmarkEnd w:id="111"/>
      <w:hyperlink r:id="rId57" w:history="1">
        <w:r>
          <w:rPr>
            <w:rFonts w:ascii="arial" w:eastAsia="arial" w:hAnsi="arial" w:cs="arial"/>
            <w:b w:val="0"/>
            <w:i/>
            <w:strike w:val="0"/>
            <w:noProof w:val="0"/>
            <w:color w:val="0077CC"/>
            <w:position w:val="0"/>
            <w:sz w:val="20"/>
            <w:u w:val="single"/>
            <w:vertAlign w:val="baseline"/>
          </w:rPr>
          <w:t>United States v. Brooks</w:t>
        </w:r>
      </w:hyperlink>
      <w:hyperlink r:id="rId57" w:history="1">
        <w:r>
          <w:rPr>
            <w:rFonts w:ascii="arial" w:eastAsia="arial" w:hAnsi="arial" w:cs="arial"/>
            <w:b w:val="0"/>
            <w:i/>
            <w:strike w:val="0"/>
            <w:noProof w:val="0"/>
            <w:color w:val="0077CC"/>
            <w:position w:val="0"/>
            <w:sz w:val="20"/>
            <w:u w:val="single"/>
            <w:vertAlign w:val="baseline"/>
          </w:rPr>
          <w:t>, 841 F. App'x 346, 351 n.5 (3d Cir. 2020)</w:t>
        </w:r>
      </w:hyperlink>
      <w:r>
        <w:rPr>
          <w:rFonts w:ascii="arial" w:eastAsia="arial" w:hAnsi="arial" w:cs="arial"/>
          <w:b w:val="0"/>
          <w:i w:val="0"/>
          <w:strike w:val="0"/>
          <w:noProof w:val="0"/>
          <w:color w:val="000000"/>
          <w:position w:val="0"/>
          <w:sz w:val="20"/>
          <w:u w:val="none"/>
          <w:vertAlign w:val="baseline"/>
        </w:rPr>
        <w:t xml:space="preserve"> (citing </w:t>
      </w:r>
      <w:bookmarkStart w:id="112" w:name="Bookmark_I67SHVR52HM6780050000400"/>
      <w:bookmarkEnd w:id="112"/>
      <w:hyperlink r:id="rId60" w:history="1">
        <w:r>
          <w:rPr>
            <w:rFonts w:ascii="arial" w:eastAsia="arial" w:hAnsi="arial" w:cs="arial"/>
            <w:b w:val="0"/>
            <w:i/>
            <w:strike w:val="0"/>
            <w:noProof w:val="0"/>
            <w:color w:val="0077CC"/>
            <w:position w:val="0"/>
            <w:sz w:val="20"/>
            <w:u w:val="single"/>
            <w:vertAlign w:val="baseline"/>
          </w:rPr>
          <w:t>United States v. Moalin</w:t>
        </w:r>
      </w:hyperlink>
      <w:hyperlink r:id="rId60" w:history="1">
        <w:r>
          <w:rPr>
            <w:rFonts w:ascii="arial" w:eastAsia="arial" w:hAnsi="arial" w:cs="arial"/>
            <w:b w:val="0"/>
            <w:i/>
            <w:strike w:val="0"/>
            <w:noProof w:val="0"/>
            <w:color w:val="0077CC"/>
            <w:position w:val="0"/>
            <w:sz w:val="20"/>
            <w:u w:val="single"/>
            <w:vertAlign w:val="baseline"/>
          </w:rPr>
          <w:t>, 973 F.3d 977, 996 (9th Cir. 2020)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3" w:name="Bookmark_para_27"/>
      <w:bookmarkEnd w:id="113"/>
      <w:r>
        <w:rPr>
          <w:rFonts w:ascii="arial" w:eastAsia="arial" w:hAnsi="arial" w:cs="arial"/>
          <w:b w:val="0"/>
          <w:i w:val="0"/>
          <w:strike w:val="0"/>
          <w:noProof w:val="0"/>
          <w:color w:val="000000"/>
          <w:position w:val="0"/>
          <w:sz w:val="20"/>
          <w:u w:val="none"/>
          <w:vertAlign w:val="baseline"/>
        </w:rPr>
        <w:t xml:space="preserve">Yet Marin's motion would fail on the merits too. </w:t>
      </w:r>
      <w:bookmarkStart w:id="114" w:name="Bookmark_LNHNREFclscc8"/>
      <w:bookmarkEnd w:id="114"/>
      <w:hyperlink r:id="rId61"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4"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The Secretary of the Treasury may issue subpoenas for "records" that are "relevant or material to the investigation" if it "is necessary and proper to the enforcement of [</w:t>
      </w:r>
      <w:hyperlink r:id="rId55" w:history="1">
        <w:r>
          <w:rPr>
            <w:rFonts w:ascii="arial" w:eastAsia="arial" w:hAnsi="arial" w:cs="arial"/>
            <w:b w:val="0"/>
            <w:i/>
            <w:strike w:val="0"/>
            <w:noProof w:val="0"/>
            <w:color w:val="0077CC"/>
            <w:position w:val="0"/>
            <w:sz w:val="20"/>
            <w:u w:val="single"/>
            <w:vertAlign w:val="baseline"/>
          </w:rPr>
          <w:t>18 U.S.C. § 545</w:t>
        </w:r>
      </w:hyperlink>
      <w:r>
        <w:rPr>
          <w:rFonts w:ascii="arial" w:eastAsia="arial" w:hAnsi="arial" w:cs="arial"/>
          <w:b w:val="0"/>
          <w:i w:val="0"/>
          <w:strike w:val="0"/>
          <w:noProof w:val="0"/>
          <w:color w:val="000000"/>
          <w:position w:val="0"/>
          <w:sz w:val="20"/>
          <w:u w:val="none"/>
          <w:vertAlign w:val="baseline"/>
        </w:rPr>
        <w:t xml:space="preserve">] (relating to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goods into the United States) with respect to any controlled substance (as defined in [</w:t>
      </w:r>
      <w:hyperlink r:id="rId62" w:history="1">
        <w:r>
          <w:rPr>
            <w:rFonts w:ascii="arial" w:eastAsia="arial" w:hAnsi="arial" w:cs="arial"/>
            <w:b w:val="0"/>
            <w:i/>
            <w:strike w:val="0"/>
            <w:noProof w:val="0"/>
            <w:color w:val="0077CC"/>
            <w:position w:val="0"/>
            <w:sz w:val="20"/>
            <w:u w:val="single"/>
            <w:vertAlign w:val="baseline"/>
          </w:rPr>
          <w:t>21 U.S.C. § 802</w:t>
        </w:r>
      </w:hyperlink>
      <w:r>
        <w:rPr>
          <w:rFonts w:ascii="arial" w:eastAsia="arial" w:hAnsi="arial" w:cs="arial"/>
          <w:b w:val="0"/>
          <w:i w:val="0"/>
          <w:strike w:val="0"/>
          <w:noProof w:val="0"/>
          <w:color w:val="000000"/>
          <w:position w:val="0"/>
          <w:sz w:val="20"/>
          <w:u w:val="none"/>
          <w:vertAlign w:val="baseline"/>
        </w:rPr>
        <w:t xml:space="preserve">])." </w:t>
      </w:r>
      <w:hyperlink r:id="rId54" w:history="1">
        <w:r>
          <w:rPr>
            <w:rFonts w:ascii="arial" w:eastAsia="arial" w:hAnsi="arial" w:cs="arial"/>
            <w:b w:val="0"/>
            <w:i/>
            <w:strike w:val="0"/>
            <w:noProof w:val="0"/>
            <w:color w:val="0077CC"/>
            <w:position w:val="0"/>
            <w:sz w:val="20"/>
            <w:u w:val="single"/>
            <w:vertAlign w:val="baseline"/>
          </w:rPr>
          <w:t>21 U.S.C. § 967</w:t>
        </w:r>
      </w:hyperlink>
      <w:r>
        <w:rPr>
          <w:rFonts w:ascii="arial" w:eastAsia="arial" w:hAnsi="arial" w:cs="arial"/>
          <w:b w:val="0"/>
          <w:i w:val="0"/>
          <w:strike w:val="0"/>
          <w:noProof w:val="0"/>
          <w:color w:val="000000"/>
          <w:position w:val="0"/>
          <w:sz w:val="20"/>
          <w:u w:val="none"/>
          <w:vertAlign w:val="baseline"/>
        </w:rPr>
        <w:t xml:space="preserve">. And the Secretary of the Treasury may "designate" Homeland Security and its subsidiaries, including Immigration and Customs Enforcement, "to serve" such subpoenas.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63" w:history="1">
        <w:r>
          <w:rPr>
            <w:rFonts w:ascii="arial" w:eastAsia="arial" w:hAnsi="arial" w:cs="arial"/>
            <w:b w:val="0"/>
            <w:i/>
            <w:strike w:val="0"/>
            <w:noProof w:val="0"/>
            <w:color w:val="0077CC"/>
            <w:position w:val="0"/>
            <w:sz w:val="20"/>
            <w:u w:val="single"/>
            <w:vertAlign w:val="baseline"/>
          </w:rPr>
          <w:t>21 U.S.C. § 968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5" w:name="Bookmark_para_28"/>
      <w:bookmarkEnd w:id="115"/>
      <w:r>
        <w:rPr>
          <w:rFonts w:ascii="arial" w:eastAsia="arial" w:hAnsi="arial" w:cs="arial"/>
          <w:b w:val="0"/>
          <w:i w:val="0"/>
          <w:strike w:val="0"/>
          <w:noProof w:val="0"/>
          <w:color w:val="000000"/>
          <w:position w:val="0"/>
          <w:sz w:val="20"/>
          <w:u w:val="none"/>
          <w:vertAlign w:val="baseline"/>
        </w:rPr>
        <w:t>Here, the subpoenas were relevant and necessary. As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explained above, the Government alleges Marin intended to purchase 17 kilograms of cocaine from the Mexican cartel. So Homeland Security sought travel records from United Airlines for the times immediately before and after the day that Marin allegedly attempted to purchase the cocaine. And the subpoena, which was likely issued by the Secretary of the Treasury, revealed travel records of Marin traveling to the Texas—Mexico border shortly before the alleged purchase. Such records are not only relevant and material to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controlled substances into the United States but also necessary to enforce the statutes prohibiting it. Although a </w:t>
      </w:r>
      <w:hyperlink r:id="rId54" w:history="1">
        <w:r>
          <w:rPr>
            <w:rFonts w:ascii="arial" w:eastAsia="arial" w:hAnsi="arial" w:cs="arial"/>
            <w:b w:val="0"/>
            <w:i/>
            <w:strike w:val="0"/>
            <w:noProof w:val="0"/>
            <w:color w:val="0077CC"/>
            <w:position w:val="0"/>
            <w:sz w:val="20"/>
            <w:u w:val="single"/>
            <w:vertAlign w:val="baseline"/>
          </w:rPr>
          <w:t>§ 967</w:t>
        </w:r>
      </w:hyperlink>
      <w:r>
        <w:rPr>
          <w:rFonts w:ascii="arial" w:eastAsia="arial" w:hAnsi="arial" w:cs="arial"/>
          <w:b w:val="0"/>
          <w:i w:val="0"/>
          <w:strike w:val="0"/>
          <w:noProof w:val="0"/>
          <w:color w:val="000000"/>
          <w:position w:val="0"/>
          <w:sz w:val="20"/>
          <w:u w:val="none"/>
          <w:vertAlign w:val="baseline"/>
        </w:rPr>
        <w:t xml:space="preserve"> subpoena not issued by the Secretary of the Treasury might undergo a different analysis, Marin has not alleged such a circumstance.</w:t>
      </w:r>
    </w:p>
    <w:p>
      <w:pPr>
        <w:keepNext w:val="0"/>
        <w:spacing w:before="200" w:after="0" w:line="260" w:lineRule="atLeast"/>
        <w:ind w:left="0" w:right="0" w:firstLine="0"/>
        <w:jc w:val="both"/>
      </w:pPr>
      <w:bookmarkStart w:id="116" w:name="Bookmark_para_29"/>
      <w:bookmarkEnd w:id="116"/>
      <w:r>
        <w:rPr>
          <w:rFonts w:ascii="arial" w:eastAsia="arial" w:hAnsi="arial" w:cs="arial"/>
          <w:b w:val="0"/>
          <w:i w:val="0"/>
          <w:strike w:val="0"/>
          <w:noProof w:val="0"/>
          <w:color w:val="000000"/>
          <w:position w:val="0"/>
          <w:sz w:val="20"/>
          <w:u w:val="none"/>
          <w:vertAlign w:val="baseline"/>
        </w:rPr>
        <w:t>For those reasons, Marin's Motion to Suppress Evidence will be denied without prejudice.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7" w:name="Bookmark_para_30"/>
      <w:bookmarkEnd w:id="117"/>
      <w:r>
        <w:rPr>
          <w:rFonts w:ascii="arial" w:eastAsia="arial" w:hAnsi="arial" w:cs="arial"/>
          <w:b w:val="0"/>
          <w:i w:val="0"/>
          <w:strike w:val="0"/>
          <w:noProof w:val="0"/>
          <w:color w:val="000000"/>
          <w:position w:val="0"/>
          <w:sz w:val="20"/>
          <w:u w:val="none"/>
          <w:vertAlign w:val="baseline"/>
        </w:rPr>
        <w:t xml:space="preserve">Accordingly, it is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Defendant's Motion to Relieve Forfeiture, ECF No. 187, is </w:t>
      </w:r>
      <w:r>
        <w:rPr>
          <w:rFonts w:ascii="arial" w:eastAsia="arial" w:hAnsi="arial" w:cs="arial"/>
          <w:b/>
          <w:i w:val="0"/>
          <w:strike w:val="0"/>
          <w:noProof w:val="0"/>
          <w:color w:val="000000"/>
          <w:position w:val="0"/>
          <w:sz w:val="20"/>
          <w:u w:val="none"/>
          <w:vertAlign w:val="baseline"/>
        </w:rPr>
        <w:t>DENIED WITHOUT PREJUDICE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8" w:name="Bookmark_para_31"/>
      <w:bookmarkEnd w:id="118"/>
      <w:r>
        <w:rPr>
          <w:rFonts w:ascii="arial" w:eastAsia="arial" w:hAnsi="arial" w:cs="arial"/>
          <w:b/>
          <w:i w:val="0"/>
          <w:strike w:val="0"/>
          <w:noProof w:val="0"/>
          <w:color w:val="000000"/>
          <w:position w:val="0"/>
          <w:sz w:val="20"/>
          <w:u w:val="none"/>
          <w:vertAlign w:val="baseline"/>
        </w:rPr>
        <w:t> [*700] </w:t>
      </w:r>
      <w:r>
        <w:rPr>
          <w:rFonts w:ascii="arial" w:eastAsia="arial" w:hAnsi="arial" w:cs="arial"/>
          <w:b w:val="0"/>
          <w:i w:val="0"/>
          <w:strike w:val="0"/>
          <w:noProof w:val="0"/>
          <w:color w:val="000000"/>
          <w:position w:val="0"/>
          <w:sz w:val="20"/>
          <w:u w:val="none"/>
          <w:vertAlign w:val="baseline"/>
        </w:rPr>
        <w:t xml:space="preserve"> Further, it is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Defendant's Motion to Compel Discovery, ECF No. 189, is </w:t>
      </w:r>
      <w:r>
        <w:rPr>
          <w:rFonts w:ascii="arial" w:eastAsia="arial" w:hAnsi="arial" w:cs="arial"/>
          <w:b/>
          <w:i w:val="0"/>
          <w:strike w:val="0"/>
          <w:noProof w:val="0"/>
          <w:color w:val="000000"/>
          <w:position w:val="0"/>
          <w:sz w:val="20"/>
          <w:u w:val="none"/>
          <w:vertAlign w:val="baseline"/>
        </w:rPr>
        <w:t>DENIED WITHOUT PREJUDICE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9" w:name="Bookmark_para_32"/>
      <w:bookmarkEnd w:id="119"/>
      <w:r>
        <w:rPr>
          <w:rFonts w:ascii="arial" w:eastAsia="arial" w:hAnsi="arial" w:cs="arial"/>
          <w:b w:val="0"/>
          <w:i w:val="0"/>
          <w:strike w:val="0"/>
          <w:noProof w:val="0"/>
          <w:color w:val="000000"/>
          <w:position w:val="0"/>
          <w:sz w:val="20"/>
          <w:u w:val="none"/>
          <w:vertAlign w:val="baseline"/>
        </w:rPr>
        <w:t xml:space="preserve">Further, it is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Defendant's Motion to Suppress Evidence, ECF No. 192, is </w:t>
      </w:r>
      <w:r>
        <w:rPr>
          <w:rFonts w:ascii="arial" w:eastAsia="arial" w:hAnsi="arial" w:cs="arial"/>
          <w:b/>
          <w:i w:val="0"/>
          <w:strike w:val="0"/>
          <w:noProof w:val="0"/>
          <w:color w:val="000000"/>
          <w:position w:val="0"/>
          <w:sz w:val="20"/>
          <w:u w:val="none"/>
          <w:vertAlign w:val="baseline"/>
        </w:rPr>
        <w:t>DENIED WITHOUT PREJUDICE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0" w:name="Bookmark_para_33"/>
      <w:bookmarkEnd w:id="120"/>
      <w:r>
        <w:rPr>
          <w:rFonts w:ascii="arial" w:eastAsia="arial" w:hAnsi="arial" w:cs="arial"/>
          <w:b/>
          <w:i w:val="0"/>
          <w:strike w:val="0"/>
          <w:noProof w:val="0"/>
          <w:color w:val="000000"/>
          <w:position w:val="0"/>
          <w:sz w:val="20"/>
          <w:u w:val="none"/>
          <w:vertAlign w:val="baseline"/>
        </w:rPr>
        <w:t>This is not a final order and does not close the above-captioned case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1" w:name="Bookmark_para_34"/>
      <w:bookmarkEnd w:id="121"/>
      <w:r>
        <w:rPr>
          <w:rFonts w:ascii="arial" w:eastAsia="arial" w:hAnsi="arial" w:cs="arial"/>
          <w:b w:val="0"/>
          <w:i w:val="0"/>
          <w:strike w:val="0"/>
          <w:noProof w:val="0"/>
          <w:color w:val="000000"/>
          <w:position w:val="0"/>
          <w:sz w:val="20"/>
          <w:u w:val="none"/>
          <w:vertAlign w:val="baseline"/>
        </w:rPr>
        <w:t>Dated: March 9, 2023</w:t>
      </w:r>
    </w:p>
    <w:p>
      <w:pPr>
        <w:keepNext w:val="0"/>
        <w:spacing w:before="200" w:after="0" w:line="260" w:lineRule="atLeast"/>
        <w:ind w:left="0" w:right="0" w:firstLine="0"/>
        <w:jc w:val="both"/>
      </w:pPr>
      <w:bookmarkStart w:id="122" w:name="Bookmark_para_35"/>
      <w:bookmarkEnd w:id="122"/>
      <w:r>
        <w:rPr>
          <w:rFonts w:ascii="arial" w:eastAsia="arial" w:hAnsi="arial" w:cs="arial"/>
          <w:b w:val="0"/>
          <w:i w:val="0"/>
          <w:strike w:val="0"/>
          <w:noProof w:val="0"/>
          <w:color w:val="000000"/>
          <w:position w:val="0"/>
          <w:sz w:val="20"/>
          <w:u w:val="none"/>
          <w:vertAlign w:val="baseline"/>
        </w:rPr>
        <w:t>/s/ Thomas L. Ludington</w:t>
      </w:r>
    </w:p>
    <w:p>
      <w:pPr>
        <w:keepNext w:val="0"/>
        <w:spacing w:before="200" w:after="0" w:line="260" w:lineRule="atLeast"/>
        <w:ind w:left="0" w:right="0" w:firstLine="0"/>
        <w:jc w:val="both"/>
      </w:pPr>
      <w:bookmarkStart w:id="123" w:name="Bookmark_para_36"/>
      <w:bookmarkEnd w:id="123"/>
      <w:r>
        <w:rPr>
          <w:rFonts w:ascii="arial" w:eastAsia="arial" w:hAnsi="arial" w:cs="arial"/>
          <w:b w:val="0"/>
          <w:i w:val="0"/>
          <w:strike w:val="0"/>
          <w:noProof w:val="0"/>
          <w:color w:val="000000"/>
          <w:position w:val="0"/>
          <w:sz w:val="20"/>
          <w:u w:val="none"/>
          <w:vertAlign w:val="baseline"/>
        </w:rPr>
        <w:t>THOMAS L. LUDINGTON</w:t>
      </w:r>
    </w:p>
    <w:p>
      <w:pPr>
        <w:keepNext w:val="0"/>
        <w:spacing w:before="200" w:after="0" w:line="260" w:lineRule="atLeast"/>
        <w:ind w:left="0" w:right="0" w:firstLine="0"/>
        <w:jc w:val="both"/>
      </w:pPr>
      <w:bookmarkStart w:id="124" w:name="Bookmark_para_37"/>
      <w:bookmarkEnd w:id="124"/>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45"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0" w:name="Bookmark_fnpara_1"/>
      <w:bookmarkEnd w:id="30"/>
      <w:bookmarkStart w:id="31" w:name="Bookmark_I67SHVR12SF7X00020000400"/>
      <w:bookmarkEnd w:id="31"/>
      <w:bookmarkStart w:id="32" w:name="Bookmark_I67SHVR12SF7X00040000400"/>
      <w:bookmarkEnd w:id="32"/>
      <w:r>
        <w:rPr>
          <w:rFonts w:ascii="arial" w:eastAsia="arial" w:hAnsi="arial" w:cs="arial"/>
          <w:b w:val="0"/>
          <w:i w:val="0"/>
          <w:strike w:val="0"/>
          <w:noProof w:val="0"/>
          <w:color w:val="000000"/>
          <w:position w:val="0"/>
          <w:sz w:val="18"/>
          <w:u w:val="none"/>
          <w:vertAlign w:val="baseline"/>
        </w:rPr>
        <w:t xml:space="preserve">In November 1996, Marin pleaded guilty to delivering or manufacturing marijuana, </w:t>
      </w:r>
      <w:hyperlink r:id="rId1" w:history="1">
        <w:r>
          <w:rPr>
            <w:rFonts w:ascii="arial" w:eastAsia="arial" w:hAnsi="arial" w:cs="arial"/>
            <w:b w:val="0"/>
            <w:i/>
            <w:strike w:val="0"/>
            <w:noProof w:val="0"/>
            <w:color w:val="0077CC"/>
            <w:position w:val="0"/>
            <w:sz w:val="18"/>
            <w:u w:val="single"/>
            <w:vertAlign w:val="baseline"/>
          </w:rPr>
          <w:t>Mich. Comp. Laws</w:t>
        </w:r>
      </w:hyperlink>
      <w:hyperlink r:id="rId1" w:history="1">
        <w:r>
          <w:rPr>
            <w:rFonts w:ascii="arial" w:eastAsia="arial" w:hAnsi="arial" w:cs="arial"/>
            <w:b w:val="0"/>
            <w:i/>
            <w:strike w:val="0"/>
            <w:noProof w:val="0"/>
            <w:color w:val="0077CC"/>
            <w:position w:val="0"/>
            <w:sz w:val="18"/>
            <w:u w:val="single"/>
            <w:vertAlign w:val="baseline"/>
          </w:rPr>
          <w:t xml:space="preserve"> § 333.7401(2)(c)</w:t>
        </w:r>
      </w:hyperlink>
      <w:r>
        <w:rPr>
          <w:rFonts w:ascii="arial" w:eastAsia="arial" w:hAnsi="arial" w:cs="arial"/>
          <w:b w:val="0"/>
          <w:i w:val="0"/>
          <w:strike w:val="0"/>
          <w:noProof w:val="0"/>
          <w:color w:val="000000"/>
          <w:position w:val="0"/>
          <w:sz w:val="18"/>
          <w:u w:val="none"/>
          <w:vertAlign w:val="baseline"/>
        </w:rPr>
        <w:t xml:space="preserve">. </w:t>
      </w:r>
      <w:bookmarkStart w:id="33" w:name="Bookmark_I67SHVR128T4B80030000400"/>
      <w:bookmarkEnd w:id="33"/>
      <w:bookmarkStart w:id="34" w:name="Bookmark_I67SHVR12SF7X00010000400"/>
      <w:bookmarkEnd w:id="34"/>
      <w:r>
        <w:rPr>
          <w:rFonts w:ascii="arial" w:eastAsia="arial" w:hAnsi="arial" w:cs="arial"/>
          <w:b w:val="0"/>
          <w:i/>
          <w:strike w:val="0"/>
          <w:noProof w:val="0"/>
          <w:color w:val="000000"/>
          <w:position w:val="0"/>
          <w:sz w:val="18"/>
          <w:u w:val="none"/>
          <w:vertAlign w:val="baseline"/>
        </w:rPr>
        <w:t>People v. Marin</w:t>
      </w:r>
      <w:r>
        <w:rPr>
          <w:rFonts w:ascii="arial" w:eastAsia="arial" w:hAnsi="arial" w:cs="arial"/>
          <w:b w:val="0"/>
          <w:i w:val="0"/>
          <w:strike w:val="0"/>
          <w:noProof w:val="0"/>
          <w:color w:val="000000"/>
          <w:position w:val="0"/>
          <w:sz w:val="18"/>
          <w:u w:val="none"/>
          <w:vertAlign w:val="baseline"/>
        </w:rPr>
        <w:t xml:space="preserve">, No. 96-011954-FH (Mich. 70th Cir. Ct. Saginaw Cnty. Apr. 1, 1999). In February 2012, he pleaded guilty to conducting a criminal enterprise (racketeering), </w:t>
      </w:r>
      <w:hyperlink r:id="rId2" w:history="1">
        <w:r>
          <w:rPr>
            <w:rFonts w:ascii="arial" w:eastAsia="arial" w:hAnsi="arial" w:cs="arial"/>
            <w:b w:val="0"/>
            <w:i/>
            <w:strike w:val="0"/>
            <w:noProof w:val="0"/>
            <w:color w:val="0077CC"/>
            <w:position w:val="0"/>
            <w:sz w:val="18"/>
            <w:u w:val="single"/>
            <w:vertAlign w:val="baseline"/>
          </w:rPr>
          <w:t>MICH. COMP. LAWS § 750.159i(1)</w:t>
        </w:r>
      </w:hyperlink>
      <w:r>
        <w:rPr>
          <w:rFonts w:ascii="arial" w:eastAsia="arial" w:hAnsi="arial" w:cs="arial"/>
          <w:b w:val="0"/>
          <w:i w:val="0"/>
          <w:strike w:val="0"/>
          <w:noProof w:val="0"/>
          <w:color w:val="000000"/>
          <w:position w:val="0"/>
          <w:sz w:val="18"/>
          <w:u w:val="none"/>
          <w:vertAlign w:val="baseline"/>
        </w:rPr>
        <w:t xml:space="preserve">, and a second offense of delivering or manufacturing at least 45 kilograms of marijuana, </w:t>
      </w:r>
      <w:hyperlink r:id="rId1" w:history="1">
        <w:r>
          <w:rPr>
            <w:rFonts w:ascii="arial" w:eastAsia="arial" w:hAnsi="arial" w:cs="arial"/>
            <w:b w:val="0"/>
            <w:i/>
            <w:strike w:val="0"/>
            <w:noProof w:val="0"/>
            <w:color w:val="0077CC"/>
            <w:position w:val="0"/>
            <w:sz w:val="18"/>
            <w:u w:val="single"/>
            <w:vertAlign w:val="baseline"/>
          </w:rPr>
          <w:t>MICH. COMP. LAWS § 333.7401(2)(d)(i)</w:t>
        </w:r>
      </w:hyperlink>
      <w:r>
        <w:rPr>
          <w:rFonts w:ascii="arial" w:eastAsia="arial" w:hAnsi="arial" w:cs="arial"/>
          <w:b w:val="0"/>
          <w:i w:val="0"/>
          <w:strike w:val="0"/>
          <w:noProof w:val="0"/>
          <w:color w:val="000000"/>
          <w:position w:val="0"/>
          <w:sz w:val="18"/>
          <w:u w:val="none"/>
          <w:vertAlign w:val="baseline"/>
        </w:rPr>
        <w:t xml:space="preserve">, for which he "was sentenced, as a fourth habitual offender, </w:t>
      </w:r>
      <w:hyperlink r:id="rId3" w:history="1">
        <w:r>
          <w:rPr>
            <w:rFonts w:ascii="arial" w:eastAsia="arial" w:hAnsi="arial" w:cs="arial"/>
            <w:b w:val="0"/>
            <w:i/>
            <w:strike w:val="0"/>
            <w:noProof w:val="0"/>
            <w:color w:val="0077CC"/>
            <w:position w:val="0"/>
            <w:sz w:val="18"/>
            <w:u w:val="single"/>
            <w:vertAlign w:val="baseline"/>
          </w:rPr>
          <w:t>MICH. COMP. LAWS § 769.12</w:t>
        </w:r>
      </w:hyperlink>
      <w:r>
        <w:rPr>
          <w:rFonts w:ascii="arial" w:eastAsia="arial" w:hAnsi="arial" w:cs="arial"/>
          <w:b w:val="0"/>
          <w:i w:val="0"/>
          <w:strike w:val="0"/>
          <w:noProof w:val="0"/>
          <w:color w:val="000000"/>
          <w:position w:val="0"/>
          <w:sz w:val="18"/>
          <w:u w:val="none"/>
          <w:vertAlign w:val="baseline"/>
        </w:rPr>
        <w:t xml:space="preserve">, to concurrent terms of 6 1/2 to 25 years." </w:t>
      </w:r>
      <w:bookmarkStart w:id="35" w:name="Bookmark_I67SHVR12SF7X00030000400"/>
      <w:bookmarkEnd w:id="35"/>
      <w:hyperlink r:id="rId4" w:history="1">
        <w:r>
          <w:rPr>
            <w:rFonts w:ascii="arial" w:eastAsia="arial" w:hAnsi="arial" w:cs="arial"/>
            <w:b w:val="0"/>
            <w:i/>
            <w:strike w:val="0"/>
            <w:noProof w:val="0"/>
            <w:color w:val="0077CC"/>
            <w:position w:val="0"/>
            <w:sz w:val="18"/>
            <w:u w:val="single"/>
            <w:vertAlign w:val="baseline"/>
          </w:rPr>
          <w:t>Marin v. Rapelje</w:t>
        </w:r>
      </w:hyperlink>
      <w:hyperlink r:id="rId4" w:history="1">
        <w:r>
          <w:rPr>
            <w:rFonts w:ascii="arial" w:eastAsia="arial" w:hAnsi="arial" w:cs="arial"/>
            <w:b w:val="0"/>
            <w:i/>
            <w:strike w:val="0"/>
            <w:noProof w:val="0"/>
            <w:color w:val="0077CC"/>
            <w:position w:val="0"/>
            <w:sz w:val="18"/>
            <w:u w:val="single"/>
            <w:vertAlign w:val="baseline"/>
          </w:rPr>
          <w:t>, No. 2:14-CV-11436, 2016 U.S. Dist. LEXIS 108176, 2016 WL 4362865, at *1 (E.D. Mich. Aug. 16, 2016)</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aff'd sub nom. </w:t>
      </w:r>
      <w:bookmarkStart w:id="36" w:name="Bookmark_I67SHVR12SF7X00050000400"/>
      <w:bookmarkEnd w:id="36"/>
      <w:hyperlink r:id="rId5" w:history="1">
        <w:r>
          <w:rPr>
            <w:rFonts w:ascii="arial" w:eastAsia="arial" w:hAnsi="arial" w:cs="arial"/>
            <w:b w:val="0"/>
            <w:i/>
            <w:strike w:val="0"/>
            <w:noProof w:val="0"/>
            <w:color w:val="0077CC"/>
            <w:position w:val="0"/>
            <w:sz w:val="18"/>
            <w:u w:val="single"/>
            <w:vertAlign w:val="baseline"/>
          </w:rPr>
          <w:t>Marin v. Brewer</w:t>
        </w:r>
      </w:hyperlink>
      <w:hyperlink r:id="rId5" w:history="1">
        <w:r>
          <w:rPr>
            <w:rFonts w:ascii="arial" w:eastAsia="arial" w:hAnsi="arial" w:cs="arial"/>
            <w:b w:val="0"/>
            <w:i/>
            <w:strike w:val="0"/>
            <w:noProof w:val="0"/>
            <w:color w:val="0077CC"/>
            <w:position w:val="0"/>
            <w:sz w:val="18"/>
            <w:u w:val="single"/>
            <w:vertAlign w:val="baseline"/>
          </w:rPr>
          <w:t>, No. 16-2420, 2017 U.S. App. LEXIS 27908, 2017 WL 4677506, at *1 (6th Cir. Apr. 28, 2017)</w:t>
        </w:r>
      </w:hyperlink>
      <w:r>
        <w:rPr>
          <w:rFonts w:ascii="arial" w:eastAsia="arial" w:hAnsi="arial" w:cs="arial"/>
          <w:b w:val="0"/>
          <w:i w:val="0"/>
          <w:strike w:val="0"/>
          <w:noProof w:val="0"/>
          <w:color w:val="000000"/>
          <w:position w:val="0"/>
          <w:sz w:val="18"/>
          <w:u w:val="none"/>
          <w:vertAlign w:val="baseline"/>
        </w:rPr>
        <w:t xml:space="preserve">. </w:t>
      </w:r>
      <w:bookmarkStart w:id="37" w:name="Bookmark_I67SHVR128T4B80030000400_2"/>
      <w:bookmarkEnd w:id="37"/>
      <w:r>
        <w:rPr>
          <w:rFonts w:ascii="arial" w:eastAsia="arial" w:hAnsi="arial" w:cs="arial"/>
          <w:b w:val="0"/>
          <w:i w:val="0"/>
          <w:strike w:val="0"/>
          <w:noProof w:val="0"/>
          <w:color w:val="000000"/>
          <w:position w:val="0"/>
          <w:sz w:val="18"/>
          <w:u w:val="none"/>
          <w:vertAlign w:val="baseline"/>
        </w:rPr>
        <w:t xml:space="preserve">Eleven months after his discharge from prison, he was arrested for possessing 25 grams or less of cocaine, </w:t>
      </w:r>
      <w:hyperlink r:id="rId6" w:history="1">
        <w:r>
          <w:rPr>
            <w:rFonts w:ascii="arial" w:eastAsia="arial" w:hAnsi="arial" w:cs="arial"/>
            <w:b w:val="0"/>
            <w:i/>
            <w:strike w:val="0"/>
            <w:noProof w:val="0"/>
            <w:color w:val="0077CC"/>
            <w:position w:val="0"/>
            <w:sz w:val="18"/>
            <w:u w:val="single"/>
            <w:vertAlign w:val="baseline"/>
          </w:rPr>
          <w:t>Mich. Comp. Laws</w:t>
        </w:r>
      </w:hyperlink>
      <w:hyperlink r:id="rId6" w:history="1">
        <w:r>
          <w:rPr>
            <w:rFonts w:ascii="arial" w:eastAsia="arial" w:hAnsi="arial" w:cs="arial"/>
            <w:b w:val="0"/>
            <w:i/>
            <w:strike w:val="0"/>
            <w:noProof w:val="0"/>
            <w:color w:val="0077CC"/>
            <w:position w:val="0"/>
            <w:sz w:val="18"/>
            <w:u w:val="single"/>
            <w:vertAlign w:val="baseline"/>
          </w:rPr>
          <w:t xml:space="preserve"> §§ 333.7403(2)(a)(5)</w:t>
        </w:r>
      </w:hyperlink>
      <w:r>
        <w:rPr>
          <w:rFonts w:ascii="arial" w:eastAsia="arial" w:hAnsi="arial" w:cs="arial"/>
          <w:b w:val="0"/>
          <w:i w:val="0"/>
          <w:strike w:val="0"/>
          <w:noProof w:val="0"/>
          <w:color w:val="000000"/>
          <w:position w:val="0"/>
          <w:sz w:val="18"/>
          <w:u w:val="none"/>
          <w:vertAlign w:val="baseline"/>
        </w:rPr>
        <w:t xml:space="preserve">, </w:t>
      </w:r>
      <w:hyperlink r:id="rId7" w:history="1">
        <w:r>
          <w:rPr>
            <w:rFonts w:ascii="arial" w:eastAsia="arial" w:hAnsi="arial" w:cs="arial"/>
            <w:b w:val="0"/>
            <w:i/>
            <w:strike w:val="0"/>
            <w:noProof w:val="0"/>
            <w:color w:val="0077CC"/>
            <w:position w:val="0"/>
            <w:sz w:val="18"/>
            <w:u w:val="single"/>
            <w:vertAlign w:val="baseline"/>
          </w:rPr>
          <w:t>333.7413(2)</w:t>
        </w:r>
      </w:hyperlink>
      <w:r>
        <w:rPr>
          <w:rFonts w:ascii="arial" w:eastAsia="arial" w:hAnsi="arial" w:cs="arial"/>
          <w:b w:val="0"/>
          <w:i w:val="0"/>
          <w:strike w:val="0"/>
          <w:noProof w:val="0"/>
          <w:color w:val="000000"/>
          <w:position w:val="0"/>
          <w:sz w:val="18"/>
          <w:u w:val="none"/>
          <w:vertAlign w:val="baseline"/>
        </w:rPr>
        <w:t xml:space="preserve">, to which he pleaded guilty,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Mich. Dep't of Corr.</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Biographical Information</w:t>
      </w:r>
      <w:r>
        <w:rPr>
          <w:rFonts w:ascii="arial" w:eastAsia="arial" w:hAnsi="arial" w:cs="arial"/>
          <w:b w:val="0"/>
          <w:i w:val="0"/>
          <w:strike w:val="0"/>
          <w:noProof w:val="0"/>
          <w:color w:val="000000"/>
          <w:position w:val="0"/>
          <w:sz w:val="18"/>
          <w:u w:val="none"/>
          <w:vertAlign w:val="baseline"/>
        </w:rPr>
        <w:t xml:space="preserve">, https://mdocweb.state.mi.us/otis2/otis2profile.aspx?mdocNumber=267821 [https://perma.cc/7PFK-D6L3]; </w:t>
      </w:r>
      <w:bookmarkStart w:id="38" w:name="Bookmark_I67SHVR128T4B80020000400"/>
      <w:bookmarkEnd w:id="38"/>
      <w:r>
        <w:rPr>
          <w:rFonts w:ascii="arial" w:eastAsia="arial" w:hAnsi="arial" w:cs="arial"/>
          <w:b w:val="0"/>
          <w:i/>
          <w:strike w:val="0"/>
          <w:noProof w:val="0"/>
          <w:color w:val="000000"/>
          <w:position w:val="0"/>
          <w:sz w:val="18"/>
          <w:u w:val="none"/>
          <w:vertAlign w:val="baseline"/>
        </w:rPr>
        <w:t>People v. Marin</w:t>
      </w:r>
      <w:r>
        <w:rPr>
          <w:rFonts w:ascii="arial" w:eastAsia="arial" w:hAnsi="arial" w:cs="arial"/>
          <w:b w:val="0"/>
          <w:i w:val="0"/>
          <w:strike w:val="0"/>
          <w:noProof w:val="0"/>
          <w:color w:val="000000"/>
          <w:position w:val="0"/>
          <w:sz w:val="18"/>
          <w:u w:val="none"/>
          <w:vertAlign w:val="baseline"/>
        </w:rPr>
        <w:t>, No. 19-043374-FH (Mich. 20th Cir. Ct. Ottawa Cnty. June 13, 2020)).</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4" w:name="Bookmark_fnpara_2"/>
      <w:bookmarkEnd w:id="44"/>
      <w:r>
        <w:rPr>
          <w:rFonts w:ascii="arial" w:eastAsia="arial" w:hAnsi="arial" w:cs="arial"/>
          <w:b w:val="0"/>
          <w:i w:val="0"/>
          <w:strike w:val="0"/>
          <w:noProof w:val="0"/>
          <w:color w:val="000000"/>
          <w:position w:val="0"/>
          <w:sz w:val="18"/>
          <w:u w:val="none"/>
          <w:vertAlign w:val="baseline"/>
        </w:rPr>
        <w:t xml:space="preserve">For a brief history of how the United States appropriated forfeiture from medieval England, see </w:t>
      </w:r>
      <w:bookmarkStart w:id="45" w:name="Bookmark_I67SHVR128T4B80040000400"/>
      <w:bookmarkEnd w:id="45"/>
      <w:hyperlink r:id="rId8" w:history="1">
        <w:r>
          <w:rPr>
            <w:rFonts w:ascii="arial" w:eastAsia="arial" w:hAnsi="arial" w:cs="arial"/>
            <w:b w:val="0"/>
            <w:i/>
            <w:strike w:val="0"/>
            <w:noProof w:val="0"/>
            <w:color w:val="0077CC"/>
            <w:position w:val="0"/>
            <w:sz w:val="18"/>
            <w:u w:val="single"/>
            <w:vertAlign w:val="baseline"/>
          </w:rPr>
          <w:t>Novak v. Federspiel</w:t>
        </w:r>
      </w:hyperlink>
      <w:hyperlink r:id="rId8" w:history="1">
        <w:r>
          <w:rPr>
            <w:rFonts w:ascii="arial" w:eastAsia="arial" w:hAnsi="arial" w:cs="arial"/>
            <w:b w:val="0"/>
            <w:i/>
            <w:strike w:val="0"/>
            <w:noProof w:val="0"/>
            <w:color w:val="0077CC"/>
            <w:position w:val="0"/>
            <w:sz w:val="18"/>
            <w:u w:val="single"/>
            <w:vertAlign w:val="baseline"/>
          </w:rPr>
          <w:t>, No. 1:21-CV-12008, 2022 U.S. Dist. LEXIS 236843, 2023 WL 1094545, at *11-12 (E.D. Mich. Jan. 27, 2023)</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55" w:name="Bookmark_fnpara_3"/>
      <w:bookmarkEnd w:id="55"/>
      <w:r>
        <w:rPr>
          <w:rFonts w:ascii="arial" w:eastAsia="arial" w:hAnsi="arial" w:cs="arial"/>
          <w:b w:val="0"/>
          <w:i w:val="0"/>
          <w:strike w:val="0"/>
          <w:noProof w:val="0"/>
          <w:color w:val="000000"/>
          <w:position w:val="0"/>
          <w:sz w:val="18"/>
          <w:u w:val="none"/>
          <w:vertAlign w:val="baseline"/>
        </w:rPr>
        <w:t xml:space="preserve">Although Marin's substantive argument will not be addressed at length because it is untimely, the affidavit upon which Magistrate Judge Curtis Ivy Jr. issued the seizure warrant demonstrates a direct nexus between the cashier's check and the alleged conspiracy. </w:t>
      </w:r>
      <w:r>
        <w:rPr>
          <w:rFonts w:ascii="arial" w:eastAsia="arial" w:hAnsi="arial" w:cs="arial"/>
          <w:b w:val="0"/>
          <w:i/>
          <w:strike w:val="0"/>
          <w:noProof w:val="0"/>
          <w:color w:val="000000"/>
          <w:position w:val="0"/>
          <w:sz w:val="18"/>
          <w:u w:val="none"/>
          <w:vertAlign w:val="baseline"/>
        </w:rPr>
        <w:t xml:space="preserve">See </w:t>
      </w:r>
      <w:bookmarkStart w:id="56" w:name="Bookmark_I67SHVR228T4BF0020000400"/>
      <w:bookmarkEnd w:id="56"/>
      <w:r>
        <w:rPr>
          <w:rFonts w:ascii="arial" w:eastAsia="arial" w:hAnsi="arial" w:cs="arial"/>
          <w:b w:val="0"/>
          <w:i/>
          <w:strike w:val="0"/>
          <w:noProof w:val="0"/>
          <w:color w:val="000000"/>
          <w:position w:val="0"/>
          <w:sz w:val="18"/>
          <w:u w:val="none"/>
          <w:vertAlign w:val="baseline"/>
        </w:rPr>
        <w:t>In re Seizure of All Funds on Deposit in Frankenmuth Credit Union Acct. No. 93875-110 up to &amp; Including $14,930</w:t>
      </w:r>
      <w:r>
        <w:rPr>
          <w:rFonts w:ascii="arial" w:eastAsia="arial" w:hAnsi="arial" w:cs="arial"/>
          <w:b w:val="0"/>
          <w:i w:val="0"/>
          <w:strike w:val="0"/>
          <w:noProof w:val="0"/>
          <w:color w:val="000000"/>
          <w:position w:val="0"/>
          <w:sz w:val="18"/>
          <w:u w:val="none"/>
          <w:vertAlign w:val="baseline"/>
        </w:rPr>
        <w:t>, No. 1:21-MC-50372 (E.D. Mich. Mar. 19, 2021), ECF No. 1 at PageID.2-11.</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Marin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56S-JXJ1-DYMS-62D2-00000-00&amp;context=1519360" TargetMode="External" /><Relationship Id="rId11" Type="http://schemas.openxmlformats.org/officeDocument/2006/relationships/hyperlink" Target="https://advance.lexis.com/api/document?collection=cases&amp;id=urn:contentItem:67RF-Y4F1-DY89-M3G4-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cases&amp;id=urn:contentItem:67RF-Y4F1-DY89-M3G4-00000-00&amp;context=1519360&amp;link=LNHNREFclscc2" TargetMode="External" /><Relationship Id="rId14" Type="http://schemas.openxmlformats.org/officeDocument/2006/relationships/hyperlink" Target="https://advance.lexis.com/api/document?collection=cases&amp;id=urn:contentItem:67RF-Y4F1-DY89-M3G4-00000-00&amp;context=1519360&amp;link=LNHNREFclscc3" TargetMode="External" /><Relationship Id="rId15" Type="http://schemas.openxmlformats.org/officeDocument/2006/relationships/hyperlink" Target="https://advance.lexis.com/api/document?collection=cases&amp;id=urn:contentItem:67RF-Y4F1-DY89-M3G4-00000-00&amp;context=1519360&amp;link=LNHNREFclscc4" TargetMode="External" /><Relationship Id="rId16" Type="http://schemas.openxmlformats.org/officeDocument/2006/relationships/hyperlink" Target="https://advance.lexis.com/api/document?collection=cases&amp;id=urn:contentItem:67RF-Y4F1-DY89-M3G4-00000-00&amp;context=1519360&amp;link=LNHNREFclscc5" TargetMode="External" /><Relationship Id="rId17" Type="http://schemas.openxmlformats.org/officeDocument/2006/relationships/hyperlink" Target="https://advance.lexis.com/api/document?collection=cases&amp;id=urn:contentItem:67RF-Y4F1-DY89-M3G4-00000-00&amp;context=1519360&amp;link=LNHNREFclscc6" TargetMode="External" /><Relationship Id="rId18" Type="http://schemas.openxmlformats.org/officeDocument/2006/relationships/hyperlink" Target="https://advance.lexis.com/api/document?collection=cases&amp;id=urn:contentItem:67RF-Y4F1-DY89-M3G4-00000-00&amp;context=1519360&amp;link=LNHNREFclscc7" TargetMode="External" /><Relationship Id="rId19" Type="http://schemas.openxmlformats.org/officeDocument/2006/relationships/hyperlink" Target="https://advance.lexis.com/api/document?collection=cases&amp;id=urn:contentItem:67RF-Y4F1-DY89-M3G4-00000-00&amp;context=1519360&amp;link=LNHNREFclscc8"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SDD-0C82-8T6X-73J2-00000-00&amp;context=1519360" TargetMode="External" /><Relationship Id="rId21" Type="http://schemas.openxmlformats.org/officeDocument/2006/relationships/hyperlink" Target="https://advance.lexis.com/api/document?collection=statutes-legislation&amp;id=urn:contentItem:8SG9-5032-D6RV-H4XK-00000-00&amp;context=1519360" TargetMode="External" /><Relationship Id="rId22" Type="http://schemas.openxmlformats.org/officeDocument/2006/relationships/hyperlink" Target="https://advance.lexis.com/api/document?collection=statutes-legislation&amp;id=urn:contentItem:8SDD-0C82-8T6X-73J7-00000-00&amp;context=1519360" TargetMode="External" /><Relationship Id="rId23" Type="http://schemas.openxmlformats.org/officeDocument/2006/relationships/hyperlink" Target="https://advance.lexis.com/api/document?collection=statutes-legislation&amp;id=urn:contentItem:8M4D-FWD2-8T6X-723H-00000-00&amp;context=1519360" TargetMode="External" /><Relationship Id="rId24" Type="http://schemas.openxmlformats.org/officeDocument/2006/relationships/hyperlink" Target="https://advance.lexis.com/api/document?collection=cases&amp;id=urn:contentItem:66KX-8111-FGY5-M3NN-00000-00&amp;context=1519360" TargetMode="External" /><Relationship Id="rId25" Type="http://schemas.openxmlformats.org/officeDocument/2006/relationships/hyperlink" Target="https://advance.lexis.com/api/document?collection=statutes-legislation&amp;id=urn:contentItem:5GYC-2731-FG36-13WX-00000-00&amp;context=1519360" TargetMode="External" /><Relationship Id="rId26" Type="http://schemas.openxmlformats.org/officeDocument/2006/relationships/hyperlink" Target="https://advance.lexis.com/api/document?collection=statutes-legislation&amp;id=urn:contentItem:8SG9-5042-D6RV-H076-00000-00&amp;context=1519360" TargetMode="External" /><Relationship Id="rId27" Type="http://schemas.openxmlformats.org/officeDocument/2006/relationships/hyperlink" Target="https://advance.lexis.com/api/document?collection=cases&amp;id=urn:contentItem:67H8-T8V1-JNCK-200Y-00000-00&amp;context=1519360" TargetMode="External" /><Relationship Id="rId28" Type="http://schemas.openxmlformats.org/officeDocument/2006/relationships/hyperlink" Target="https://advance.lexis.com/api/document?collection=cases&amp;id=urn:contentItem:67D3-7HW1-FBFS-S1VJ-00000-00&amp;context=1519360" TargetMode="External" /><Relationship Id="rId29" Type="http://schemas.openxmlformats.org/officeDocument/2006/relationships/hyperlink" Target="https://advance.lexis.com/api/document?collection=cases&amp;id=urn:contentItem:5WB8-5TF1-F528-G0WH-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7RF-Y4F1-DY89-M3G4-00000-00&amp;context=1519360&amp;link=clscc1" TargetMode="External" /><Relationship Id="rId31" Type="http://schemas.openxmlformats.org/officeDocument/2006/relationships/image" Target="media/image3.png" /><Relationship Id="rId32" Type="http://schemas.openxmlformats.org/officeDocument/2006/relationships/hyperlink" Target="https://advance.lexis.com/api/document?collection=cases&amp;id=urn:contentItem:5H1F-M9H1-F04C-T001-00000-00&amp;context=1519360" TargetMode="External" /><Relationship Id="rId33" Type="http://schemas.openxmlformats.org/officeDocument/2006/relationships/hyperlink" Target="https://advance.lexis.com/api/document?collection=cases&amp;id=urn:contentItem:67RF-Y4F1-DY89-M3G4-00000-00&amp;context=1519360&amp;link=clscc2" TargetMode="External" /><Relationship Id="rId34" Type="http://schemas.openxmlformats.org/officeDocument/2006/relationships/hyperlink" Target="https://advance.lexis.com/api/document?collection=cases&amp;id=urn:contentItem:5P0J-PCK1-F04K-V2DC-00000-00&amp;context=1519360" TargetMode="External" /><Relationship Id="rId35" Type="http://schemas.openxmlformats.org/officeDocument/2006/relationships/hyperlink" Target="https://advance.lexis.com/api/document?collection=cases&amp;id=urn:contentItem:65RW-P4D1-JXNB-64NN-00000-00&amp;context=1519360" TargetMode="External" /><Relationship Id="rId36" Type="http://schemas.openxmlformats.org/officeDocument/2006/relationships/hyperlink" Target="https://advance.lexis.com/api/document?collection=cases&amp;id=urn:contentItem:5CRK-CKK1-F04K-P0SK-00000-00&amp;context=1519360" TargetMode="External" /><Relationship Id="rId37" Type="http://schemas.openxmlformats.org/officeDocument/2006/relationships/hyperlink" Target="https://advance.lexis.com/api/document?collection=cases&amp;id=urn:contentItem:67RF-Y4F1-DY89-M3G4-00000-00&amp;context=1519360&amp;link=clscc3" TargetMode="External" /><Relationship Id="rId38" Type="http://schemas.openxmlformats.org/officeDocument/2006/relationships/hyperlink" Target="https://advance.lexis.com/api/document?collection=cases&amp;id=urn:contentItem:67RF-Y4F1-DY89-M3G4-00000-00&amp;context=1519360&amp;link=clscc4" TargetMode="External" /><Relationship Id="rId39" Type="http://schemas.openxmlformats.org/officeDocument/2006/relationships/hyperlink" Target="https://advance.lexis.com/api/document?collection=cases&amp;id=urn:contentItem:4360-XMB0-0038-Y1J2-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N-STF0-001T-62NP-00000-00&amp;context=1519360" TargetMode="External" /><Relationship Id="rId41" Type="http://schemas.openxmlformats.org/officeDocument/2006/relationships/hyperlink" Target="https://advance.lexis.com/api/document?collection=cases&amp;id=urn:contentItem:5VV9-5RP1-JWR6-S3K9-00000-00&amp;context=1519360" TargetMode="External" /><Relationship Id="rId42" Type="http://schemas.openxmlformats.org/officeDocument/2006/relationships/hyperlink" Target="https://advance.lexis.com/api/document?collection=statutes-legislation&amp;id=urn:contentItem:69J3-8WC3-RRWC-S408-00000-00&amp;context=1519360" TargetMode="External" /><Relationship Id="rId43" Type="http://schemas.openxmlformats.org/officeDocument/2006/relationships/hyperlink" Target="https://advance.lexis.com/api/document?collection=cases&amp;id=urn:contentItem:3S4X-H400-003B-S2NM-00000-00&amp;context=1519360" TargetMode="External" /><Relationship Id="rId44" Type="http://schemas.openxmlformats.org/officeDocument/2006/relationships/hyperlink" Target="https://advance.lexis.com/api/document?collection=cases&amp;id=urn:contentItem:3S4X-9V60-003B-S20C-00000-00&amp;context=1519360" TargetMode="External" /><Relationship Id="rId45" Type="http://schemas.openxmlformats.org/officeDocument/2006/relationships/hyperlink" Target="https://advance.lexis.com/api/document?collection=cases&amp;id=urn:contentItem:3S4X-9WR0-0039-N477-00000-00&amp;context=1519360" TargetMode="External" /><Relationship Id="rId46" Type="http://schemas.openxmlformats.org/officeDocument/2006/relationships/hyperlink" Target="https://advance.lexis.com/api/document?collection=cases&amp;id=urn:contentItem:3S4X-D9R0-003B-S4G7-00000-00&amp;context=1519360" TargetMode="External" /><Relationship Id="rId47" Type="http://schemas.openxmlformats.org/officeDocument/2006/relationships/hyperlink" Target="https://advance.lexis.com/api/document?collection=cases&amp;id=urn:contentItem:5XJP-96D1-DYMS-637R-00000-00&amp;context=1519360" TargetMode="External" /><Relationship Id="rId48" Type="http://schemas.openxmlformats.org/officeDocument/2006/relationships/hyperlink" Target="https://advance.lexis.com/api/document?collection=cases&amp;id=urn:contentItem:67RF-Y4F1-DY89-M3G4-00000-00&amp;context=1519360&amp;link=clscc5" TargetMode="External" /><Relationship Id="rId49" Type="http://schemas.openxmlformats.org/officeDocument/2006/relationships/hyperlink" Target="https://advance.lexis.com/api/document?collection=cases&amp;id=urn:contentItem:3S4W-XSS0-001B-K42D-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statutes-legislation&amp;id=urn:contentItem:8JD7-4G92-8T6X-702K-00000-00&amp;context=1519360" TargetMode="External" /><Relationship Id="rId51" Type="http://schemas.openxmlformats.org/officeDocument/2006/relationships/hyperlink" Target="https://advance.lexis.com/api/document?collection=cases&amp;id=urn:contentItem:3S4X-11D0-003B-53V4-00000-00&amp;context=1519360" TargetMode="External" /><Relationship Id="rId52" Type="http://schemas.openxmlformats.org/officeDocument/2006/relationships/hyperlink" Target="https://advance.lexis.com/api/document?collection=cases&amp;id=urn:contentItem:3S4X-9KS0-003B-S43C-00000-00&amp;context=1519360" TargetMode="External" /><Relationship Id="rId53" Type="http://schemas.openxmlformats.org/officeDocument/2006/relationships/hyperlink" Target="https://advance.lexis.com/api/document?collection=cases&amp;id=urn:contentItem:616J-53V1-JWBS-60MB-00000-00&amp;context=1519360" TargetMode="External" /><Relationship Id="rId54" Type="http://schemas.openxmlformats.org/officeDocument/2006/relationships/hyperlink" Target="https://advance.lexis.com/api/document?collection=statutes-legislation&amp;id=urn:contentItem:8SDD-0C82-8T6X-73MR-00000-00&amp;context=1519360" TargetMode="External" /><Relationship Id="rId55" Type="http://schemas.openxmlformats.org/officeDocument/2006/relationships/hyperlink" Target="https://advance.lexis.com/api/document?collection=statutes-legislation&amp;id=urn:contentItem:8SG9-5042-D6RV-H00J-00000-00&amp;context=1519360" TargetMode="External" /><Relationship Id="rId56" Type="http://schemas.openxmlformats.org/officeDocument/2006/relationships/hyperlink" Target="https://advance.lexis.com/api/document?collection=cases&amp;id=urn:contentItem:67RF-Y4F1-DY89-M3G4-00000-00&amp;context=1519360&amp;link=clscc6" TargetMode="External" /><Relationship Id="rId57" Type="http://schemas.openxmlformats.org/officeDocument/2006/relationships/hyperlink" Target="https://advance.lexis.com/api/document?collection=cases&amp;id=urn:contentItem:61MR-BMY1-F5DR-20FB-00000-00&amp;context=1519360" TargetMode="External" /><Relationship Id="rId58" Type="http://schemas.openxmlformats.org/officeDocument/2006/relationships/hyperlink" Target="https://advance.lexis.com/api/document?collection=cases&amp;id=urn:contentItem:5M34-VDW1-F04C-T008-00000-00&amp;context=1519360" TargetMode="External" /><Relationship Id="rId59" Type="http://schemas.openxmlformats.org/officeDocument/2006/relationships/hyperlink" Target="https://advance.lexis.com/api/document?collection=cases&amp;id=urn:contentItem:67RF-Y4F1-DY89-M3G4-00000-00&amp;context=1519360&amp;link=clscc7"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60RT-7JM1-JWR6-S22C-00000-00&amp;context=1519360" TargetMode="External" /><Relationship Id="rId61" Type="http://schemas.openxmlformats.org/officeDocument/2006/relationships/hyperlink" Target="https://advance.lexis.com/api/document?collection=cases&amp;id=urn:contentItem:67RF-Y4F1-DY89-M3G4-00000-00&amp;context=1519360&amp;link=clscc8" TargetMode="External" /><Relationship Id="rId62" Type="http://schemas.openxmlformats.org/officeDocument/2006/relationships/hyperlink" Target="https://advance.lexis.com/api/document?collection=statutes-legislation&amp;id=urn:contentItem:671G-RT33-CGX8-055W-00000-00&amp;context=1519360" TargetMode="External" /><Relationship Id="rId63" Type="http://schemas.openxmlformats.org/officeDocument/2006/relationships/hyperlink" Target="https://advance.lexis.com/api/document?collection=statutes-legislation&amp;id=urn:contentItem:8SDD-0C82-8T6X-73MS-00000-00&amp;context=1519360" TargetMode="External" /><Relationship Id="rId64" Type="http://schemas.openxmlformats.org/officeDocument/2006/relationships/theme" Target="theme/theme1.xml" /><Relationship Id="rId65"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RF-Y4F1-DY89-M3G4-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M4D-FWD2-8T6X-723H-00000-00&amp;context=1519360" TargetMode="External" /><Relationship Id="rId2" Type="http://schemas.openxmlformats.org/officeDocument/2006/relationships/hyperlink" Target="https://advance.lexis.com/api/document?collection=statutes-legislation&amp;id=urn:contentItem:56VF-9981-6RDJ-84K0-00000-00&amp;context=1519360" TargetMode="External" /><Relationship Id="rId3" Type="http://schemas.openxmlformats.org/officeDocument/2006/relationships/hyperlink" Target="https://advance.lexis.com/api/document?collection=statutes-legislation&amp;id=urn:contentItem:577X-PYF1-DXC8-04FS-00000-00&amp;context=1519360" TargetMode="External" /><Relationship Id="rId4" Type="http://schemas.openxmlformats.org/officeDocument/2006/relationships/hyperlink" Target="https://advance.lexis.com/api/document?collection=cases&amp;id=urn:contentItem:5KGD-H2M1-F04D-H4D6-00000-00&amp;context=1519360" TargetMode="External" /><Relationship Id="rId5" Type="http://schemas.openxmlformats.org/officeDocument/2006/relationships/hyperlink" Target="https://advance.lexis.com/api/document?collection=cases&amp;id=urn:contentItem:5SWH-PM01-JXG3-X4C2-00000-00&amp;context=1519360" TargetMode="External" /><Relationship Id="rId6" Type="http://schemas.openxmlformats.org/officeDocument/2006/relationships/hyperlink" Target="https://advance.lexis.com/api/document?collection=statutes-legislation&amp;id=urn:contentItem:8K9K-X542-D6RV-H22Y-00000-00&amp;context=1519360" TargetMode="External" /><Relationship Id="rId7" Type="http://schemas.openxmlformats.org/officeDocument/2006/relationships/hyperlink" Target="https://advance.lexis.com/api/document?collection=statutes-legislation&amp;id=urn:contentItem:8PR8-DY32-D6RV-H326-00000-00&amp;context=1519360" TargetMode="External" /><Relationship Id="rId8" Type="http://schemas.openxmlformats.org/officeDocument/2006/relationships/hyperlink" Target="https://advance.lexis.com/api/document?collection=cases&amp;id=urn:contentItem:67F5-3DN1-JN14-G370-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Marin, 660 F. Supp. 3d 693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70</vt:lpwstr>
  </property>
  <property fmtid="{D5CDD505-2E9C-101B-9397-08002B2CF9AE}" pid="3" name="LADocCount">
    <vt:lpwstr>1</vt:lpwstr>
  </property>
  <property fmtid="{D5CDD505-2E9C-101B-9397-08002B2CF9AE}" pid="4" name="LADocumentID:70">
    <vt:lpwstr>Doc::urn:hlct:5|contextualFeaturePermID::1519360</vt:lpwstr>
  </property>
  <property fmtid="{D5CDD505-2E9C-101B-9397-08002B2CF9AE}" pid="5" name="UserPermID">
    <vt:lpwstr>urn:user:PA186186280</vt:lpwstr>
  </property>
</Properties>
</file>