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Williams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Alabama, Northeastern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2023, Decided; August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5:22-cr-00377-LCB-HNJ</w:t>
      </w:r>
    </w:p>
    <w:p>
      <w:pPr>
        <w:keepNext w:val="0"/>
        <w:spacing w:after="0" w:line="240" w:lineRule="atLeast"/>
        <w:ind w:right="0"/>
        <w:jc w:val="both"/>
      </w:pPr>
      <w:bookmarkStart w:id="0" w:name="Bookmark_5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191547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BRETT RUSSELL WILLIAMS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Motion denied by </w:t>
      </w:r>
      <w:hyperlink r:id="rId10" w:history="1">
        <w:r>
          <w:rPr>
            <w:rFonts w:ascii="arial" w:eastAsia="arial" w:hAnsi="arial" w:cs="arial"/>
            <w:b w:val="0"/>
            <w:i/>
            <w:strike w:val="0"/>
            <w:noProof w:val="0"/>
            <w:color w:val="0077CC"/>
            <w:position w:val="0"/>
            <w:sz w:val="20"/>
            <w:u w:val="single"/>
            <w:vertAlign w:val="baseline"/>
          </w:rPr>
          <w:t>United States v. Williams, 2023 U.S. Dist. LEXIS 190727 (N.D. Ala., Oct. 24,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rifle, silencer, search warrant, law enforcement, law enforcement personnel, documents, package, premises, seized, shelf, master bathroom, containers, garage, plain view, searched, protective sweep, cocaine, spouse, bag, firearms, conceal, kitchen, objects, storage, floor, vent, object of the search, plain view doctrine, probable cause, authorizes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Brett Russell Williams, Defendant: Deanna L Oswald, LEAD ATTORNEY, OFFICE OF THE FEDERAL PUBLIC DEFENDER, Huntsville, Al; Erin Sabina Atkins, LEAD ATTORNEY, FEDERAL PUBLIC DEFENDER'S OFFICE, Huntsville, AL; Kevin L Butler, LEAD ATTORNEY, FEDERAL PUBLIC DEFENDER, Northern District of Alabama, Birmingham,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Prim F. Escalona, US Attorney, LEAD ATTORNEY, US ATTORNEY'S OFFICE, Birmingham, AL USA; US Probation, LEAD ATTORNEY, UNITED STATES PROBATION OFFICE, Robert Vance Bldg., Birmingham, AL; USM, LEAD ATTORNEY, UNITED STATES MARSHAL, Birmingham, AL; Mary Stuart Burrell, LEAD ATTORNEY, US ATTORNEY'S OFFICE, Huntsville, AL.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HERMAN N. JOHNSON, JR.,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HERMAN N. JOHNSON,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case proceeds before the court on Defendant Brett Russell Williams's Motion to Suppress Evidence. (Doc. 14). Williams seeks to suppress all evidence obtained as a result of law enforcement purportedly exceeding the scope of a warrant issued for the search of his residence.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As the evidence will portray, the Bureau of Alcohol, Tobacco, Firearms and Explosives executed an anticipatory warrant at Williams's residence to search for and seize a packaged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silencer, documents portraying who occupied the residence, and documents pertaining to the procurement of the silencer. ATF knew Williams was a felon based upon their investigation before obtaining the warrant.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Upon executing the search warrant, law enforcement personnel conducted an initial protective sweep of Williams's residence and observed in plain view drugs and drug paraphernalia in the master bathroom, drug paraphernalia in the kitchen, and a .22 rifle hanging on a garage wall. Thereafter during the search pursuant to the warrant, law enforcement personnel discovered methamphetamine in the kitchen, Williams's mail demonstrating his occupancy of the residence, and an air rifle on a workbench in the garage with a silencer attached to it. In addition, law enforcement personnel moved a storage shelf in the master bathroom exposing a floor air vent which contained a bag of cocaine.</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Based upon the foregoing facts, law enforcement personnel did not exceed the scope of the warrant. Although law enforcement personnel found the packaged silencer and mail addressed to Williams at the outset of the search, they still retained authority to search areas of the residence where documents pertaining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the procurement of the silencer reasonably could be located. Hence, law enforcement personnel did not conduct a generalized search of William's residence.</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Furthermore, law enforcement personnel properly discovered and seized the .22 rifle and bag of cocaine under the plain view doctrine. As for the .22 rifle, law enforcement personnel sustained a lawful presence in the garage because they reasonably could have located the items listed in the search warrant there. The .22 rifle also exhibited an immediately apparent, incriminating character because law enforcement personnel discerned during the search that the two other adults in the residence retained no knowledge of the firearm.</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As for the bag of cocaine, law enforcement personnel sustained a lawful presence in the master bathroom because they reasonably could have found the items listed in the warrant there, including in the air vent. Therefore, law enforcement lawfully moved the storage shelf in search of documents pertaining to the procurement of the silencer. And of course, the bag of cocaine exhibited an immediately apparent, incriminating character.</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Therefore,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the court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Williams's Motion to Suppress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On February 23, 2021, United States Customs and Border Protection ("CBP") agents at the John F. Kennedy International Airport Mail Center conducted an examination of an inbound United States Postal Service package shipped from China. (Doc. 28-1 at 3). The package bore a label identifying Defendant Brett Russell Williams as the addressee and his residence as the recipient's address.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examination resulted in the discovery of a silencer.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CBP agents contacted Homeland Security's Huntsville Office, and that agency's personnel contacted Brett Turner, a Special Agent with the Bureau of Alcohol, Tobacco, Firearms and Explosives ("ATF"), about the silencer destined for Williams. (Doc. 29 at 8-10). Turner notified Phil Sangster, a Special Agent with the ATF, about the package and its contents.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8, 10). The ATF agents also received information that Williams carried a felony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10). Agent Sangster conducted a background check and confirmed Williams indeed shouldered a prior felony.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In coordination with other law enforcement agencies, Agent Sangster formulated a plan to obtain an anticipatory search warrant for the package's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address and conduct a controlled delivery of the package.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On March 16, 2021, this court issued Agent Sangster an anticipatory warrant authorizing a search and seizure of the following items:</w:t>
      </w:r>
    </w:p>
    <w:p>
      <w:pPr>
        <w:keepNext w:val="0"/>
        <w:spacing w:before="200" w:after="0" w:line="260" w:lineRule="atLeast"/>
        <w:ind w:left="400" w:right="0" w:firstLine="0"/>
        <w:jc w:val="both"/>
      </w:pPr>
      <w:bookmarkStart w:id="19" w:name="Bookmark_para_11"/>
      <w:bookmarkEnd w:id="19"/>
      <w:r>
        <w:rPr>
          <w:rFonts w:ascii="arial" w:eastAsia="arial" w:hAnsi="arial" w:cs="arial"/>
          <w:b/>
          <w:i w:val="0"/>
          <w:strike w:val="0"/>
          <w:noProof w:val="0"/>
          <w:color w:val="000000"/>
          <w:position w:val="0"/>
          <w:sz w:val="20"/>
          <w:u w:val="none"/>
          <w:vertAlign w:val="baseline"/>
        </w:rPr>
        <w:t>DESCRIPTION OF EVIDENCE TO BE SEARCHED FOR AND SEIZED</w:t>
      </w:r>
    </w:p>
    <w:p>
      <w:pPr>
        <w:keepNext w:val="0"/>
        <w:spacing w:after="0" w:line="260" w:lineRule="atLeast"/>
        <w:ind w:left="80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1. The silencer, and any documents indicating the possession, sale, receipt, purchase or barter for items in exchange for firearms (silencer) or property, specifically, containers, labels, receipts, and other items pertaining to the possession of firearms (silencer).</w:t>
      </w:r>
    </w:p>
    <w:p>
      <w:pPr>
        <w:keepNext w:val="0"/>
        <w:spacing w:after="0" w:line="260" w:lineRule="atLeast"/>
        <w:ind w:left="80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2. Records that establish the persons who have control, possession, custody or dominion over the property and vehicles searched and from which evidence is seized, such as: personal mail, checkbooks, personal identification, notes, other correspondence, utility bills, rent receipts, payment receipts, financial documents, keys, photographs (developed or undeveloped), leases, mortgage bills, and vehicle registration information or ownership warranties, receipts for vehicle parts and repairs and telephone answering machine introductions and fingerprints.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28-2 at 5).</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On March 18, 2021, Agent Sangster, with the assistance of other law enforcement personnel, executed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controlled delivery. (Doc. 28-2 at 2; Doc. 28-4 at 3-4; Doc. 29 at 12). A United States Postal Services Investigator, dressed in a postal services uniform, delivered the package to the target address's mailbox.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29 at 10, 12). While surveilling the premises, Agent Sangster observed Williams's spouse retrieve the package from the mailbox and walk back into the target residence via its front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As Agent Sangster and other officers approached the residence's front door, he noticed an open garage door on the residence and a surveillance camera pointed towards the driveway and front porch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15-17). The law enforcement personnel knocked and announced themselves, but no one answered.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17). Law enforcement proceeded to enter the residence through the unlocked front door and conducted a protective sweep.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18-22).</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During the sweep, law enforcement encountered Williams, Williams's spouse, Williams's mother, and two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 In addition, as Agent Sangster swept the master bathroom, he observed in plain view small plastic bags, two small digital scales, and a white, powdery residue coating a ripped, plastic bag and bespattering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toilet, wall, and floor. (Doc. 28-10 at 13:02:15-13:02:27; Doc. 29 at 36-39). Based on those circumstances in the master bathroom, Agent Sangster suspected someone attempted to quickly flush drugs down the toilet. (Doc. 28-11 at 13:32:14-13:32:47; Doc. 29 at 39). Law enforcement personnel also discovered small plastic bags and a small digital scale in the kitchen in plain view, and a .22 rifle hanging on a wall in the garage. (Doc. 29 at 30-32, 40-41, 50, 86-88).</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After the protective sweep, law enforcement detained Williams and placed him in a patrol vehicle. (Doc. 28-9; Doc. 29 at 22-23). They placed the other occupants outside on the driveway. (Doc. 28-10 at 12:52:19-12:54:120; Doc. 29 at 22-23). Law enforcement then recorded a walk-through video of Williams's residence to display the state of the home prior to their search. (Doc. 28-13; Doc. 29 at 62-63). In this initial, pre-search footage, it appeared that a white storage shelf behind the master bathroom door stood adjacent to a wall, with a small space in between, during the walk-through. (Doc. 28-5; Doc. 28-13 at 2:02; Doc. 29 at 62-63).</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As the search of the residence commenced, Agent Sangster interviewed Williams and questioned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him about the package containing the silencer. (Doc. 28-9 at 12:42:10-12:43:00; Doc. 29 at 22-24, 72, 82). Williams claimed he did not have knowledge of the package. (Doc. 28-9 at 12:42:31-12:43:00; Doc. 29 at 24). Williams also asserted he has never purchased a silencer, but he has used fake "cans" on his air rifles. (Doc. 28-9 at 12:43:00-12:45:33; Doc. 29 at 24-25).</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Law enforcement retrieved the package from Williams's couch and showed him the label with his name and address. (Doc. 28-9 at 12:44:13-12:44:29, 12:45:32-12:46:01; Doc. 29 at 24, 82-83).</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Agent Sangster continued to query Williams about the package, upon which Williams asked for an attorney. (Doc. 28-9 at 12:44:29-12:48:22; Doc. 29 at 25).</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Agent Sangster then initiated an interview with Williams's spouse on the driveway. (Doc. 28-10 at 12:54:19; Doc. 29 at 25-26). Agent Sangster explained to her the basis for the search warrant. (Doc. 28-10 at 12:54:39-12:55:20). During the interview, Williams's spouse remarked that Williams possessed multiple air rifles and enjoyed shooting birds. (Doc. 28-10 at 12:55:13-12:55:39; Doc. 29 at 33-34). Agent Sangster pointed to the .22 rifle hanging on the garage wall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asked Williams's spouse about it. (Doc. 28-10 at 12:58:24-12:59:20; Doc. 29 at 30-31, 86-87).</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She claimed to have no knowledge of the rifle. (Doc. 28-10 at 12:58:43-12:59:20, 13:04:01-13:04:21, 13:13:37-13:13:45; Doc. 29 at 31).</w:t>
      </w:r>
    </w:p>
    <w:p>
      <w:pPr>
        <w:keepNext w:val="0"/>
        <w:spacing w:before="200" w:after="0" w:line="260" w:lineRule="atLeast"/>
        <w:ind w:left="0" w:right="0" w:firstLine="0"/>
        <w:jc w:val="both"/>
      </w:pPr>
      <w:bookmarkStart w:id="32" w:name="Bookmark_para_19"/>
      <w:bookmarkEnd w:id="32"/>
      <w:r>
        <w:rPr>
          <w:rFonts w:ascii="arial" w:eastAsia="arial" w:hAnsi="arial" w:cs="arial"/>
          <w:b w:val="0"/>
          <w:i w:val="0"/>
          <w:strike w:val="0"/>
          <w:noProof w:val="0"/>
          <w:color w:val="000000"/>
          <w:position w:val="0"/>
          <w:sz w:val="20"/>
          <w:u w:val="none"/>
          <w:vertAlign w:val="baseline"/>
        </w:rPr>
        <w:t>Agent Sangster momentarily stopped interviewing Williams's spouse to take her, Williams's mother, and the two children into the living room. (Doc. 28-10 at 12:59:20-13:03:13; Doc. 29 at 34-35). While in the living room, Williams's mother claimed to have no knowledge of the .22 rifle as well. (Doc. 28-10 at 13:04:07-13:04:16). Agent Sangster took Williams's spouse back outside on the front porch and questioned her about whether the home possessed any firearms, firearm accessories and parts, drugs, or drug paraphernalia. (Doc. 28-10 at 13:07:07-13:14:23; Doc. 29 at 36, 39-40, 42). Agent Sangster and Williams's spouse then headed back into the residence. (Doc. 28-10 at 13:14:23-13:14:36).</w:t>
      </w:r>
    </w:p>
    <w:p>
      <w:pPr>
        <w:keepNext w:val="0"/>
        <w:spacing w:before="200" w:after="0" w:line="260" w:lineRule="atLeast"/>
        <w:ind w:left="0" w:right="0" w:firstLine="0"/>
        <w:jc w:val="both"/>
      </w:pPr>
      <w:bookmarkStart w:id="33" w:name="Bookmark_para_20"/>
      <w:bookmarkEnd w:id="33"/>
      <w:r>
        <w:rPr>
          <w:rFonts w:ascii="arial" w:eastAsia="arial" w:hAnsi="arial" w:cs="arial"/>
          <w:b w:val="0"/>
          <w:i w:val="0"/>
          <w:strike w:val="0"/>
          <w:noProof w:val="0"/>
          <w:color w:val="000000"/>
          <w:position w:val="0"/>
          <w:sz w:val="20"/>
          <w:u w:val="none"/>
          <w:vertAlign w:val="baseline"/>
        </w:rPr>
        <w:t>Thereafter, Agent Sangster discerned the kitchen floor contained methamphetamine in plain view. (Doc. 29 at 35-36, 40-43).</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Agent Sangster took Williams's spouse back to the front porch and questioned her about the methamphetamine. (Doc. 28-11 at 13:25:44-13:30:38; Doc. 29</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at 43). She claimed to have no knowledge of the substance's presence. (Doc. 28-11 at 13:25:44-13:30:38; Doc. 29 at 44-45). Agent Sangster then guided Williams's spouse to the master bathroom to show her the white residue and drug paraphernalia discerned previously during the sweep. (Doc. 28-11 at 13:30:38-13:33:44; Doc. 29 at 45-46).</w:t>
      </w:r>
    </w:p>
    <w:p>
      <w:pPr>
        <w:keepNext w:val="0"/>
        <w:spacing w:before="200" w:after="0" w:line="260" w:lineRule="atLeast"/>
        <w:ind w:left="0" w:right="0" w:firstLine="0"/>
        <w:jc w:val="both"/>
      </w:pPr>
      <w:bookmarkStart w:id="35" w:name="Bookmark_para_21"/>
      <w:bookmarkEnd w:id="35"/>
      <w:r>
        <w:rPr>
          <w:rFonts w:ascii="arial" w:eastAsia="arial" w:hAnsi="arial" w:cs="arial"/>
          <w:b w:val="0"/>
          <w:i w:val="0"/>
          <w:strike w:val="0"/>
          <w:noProof w:val="0"/>
          <w:color w:val="000000"/>
          <w:position w:val="0"/>
          <w:sz w:val="20"/>
          <w:u w:val="none"/>
          <w:vertAlign w:val="baseline"/>
        </w:rPr>
        <w:t>While questioning Williams's spouse in the master bathroom, Agent Sangster noticed a spoon on the floor that contained a white powdery residue, and a bag in a floor vent containing a white substance. (Doc. 28-11 at 13:33:44-13:34:15; Doc. 29 at 46-48). The vent occupied a space between the afore-mentioned storage shelf and a wall, and the video footage appears to portray law enforcement had moved the shelf from over the vent during the search. (Doc. 28-6; Doc. 28-11 at 13:31:17-13:34:58, 13:37:14-13:37:38; Doc. 29 at 65).</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substance in the bag later tested positive for cocaine. (Doc. 29 at 49).</w:t>
      </w:r>
    </w:p>
    <w:p>
      <w:pPr>
        <w:keepNext w:val="0"/>
        <w:spacing w:before="200" w:after="0" w:line="260" w:lineRule="atLeast"/>
        <w:ind w:left="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Agent Sangster briefly left Williams's spouse in the bathroom with Captain Caleb Durden with Limestone County Sheriff's Department. (Doc 28-11 at 13:34:45-13:36:36; Doc. 29 at 49). Upon returning to the bathroom, Agent Sangster received confirmation from</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Officer Durden that state authorities commenced efforts to obtain a state search warrant based on the presence of narcotics and paraphernalia in the residence. (Doc. 28-4 at 3-4; 28-11 at 13:36:36-13:36:54; Doc. 29 at 49, 54).</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40" w:name="Bookmark_para_23"/>
      <w:bookmarkEnd w:id="40"/>
      <w:r>
        <w:rPr>
          <w:rFonts w:ascii="arial" w:eastAsia="arial" w:hAnsi="arial" w:cs="arial"/>
          <w:b w:val="0"/>
          <w:i w:val="0"/>
          <w:strike w:val="0"/>
          <w:noProof w:val="0"/>
          <w:color w:val="000000"/>
          <w:position w:val="0"/>
          <w:sz w:val="20"/>
          <w:u w:val="none"/>
          <w:vertAlign w:val="baseline"/>
        </w:rPr>
        <w:t>State authorities eventually obtained and executed a state search warrant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during the search a canine alerted to drugs in the master bathroom floor vent, the kitchen, and the kitchen door leading to the garage. (Doc. 28-4 at 3-4; Doc. 29 at 51). Law enforcement found additional narcotics and paraphernalia in and around those areas. (Doc. 28-4 at 3-4; Doc. 28-12 at 15:41:58-15:42:11).</w:t>
      </w:r>
    </w:p>
    <w:p>
      <w:pPr>
        <w:keepNext w:val="0"/>
        <w:spacing w:before="200" w:after="0" w:line="260" w:lineRule="atLeast"/>
        <w:ind w:left="0" w:right="0" w:firstLine="0"/>
        <w:jc w:val="both"/>
      </w:pPr>
      <w:bookmarkStart w:id="42" w:name="Bookmark_para_24"/>
      <w:bookmarkEnd w:id="42"/>
      <w:r>
        <w:rPr>
          <w:rFonts w:ascii="arial" w:eastAsia="arial" w:hAnsi="arial" w:cs="arial"/>
          <w:b w:val="0"/>
          <w:i w:val="0"/>
          <w:strike w:val="0"/>
          <w:noProof w:val="0"/>
          <w:color w:val="000000"/>
          <w:position w:val="0"/>
          <w:sz w:val="20"/>
          <w:u w:val="none"/>
          <w:vertAlign w:val="baseline"/>
        </w:rPr>
        <w:t>As recounted, ATF's search resulted in the recovery of the interdicted silencer and the discovery and seizure of mail in the kitchen demonstrating Williams's occupancy of the residence; a .22 rifle; and an air rifle with a silencer attached to it on a garage workbench. (Doc. 28-2 at 2; Doc. 28-3; Doc. 29 at 50-52, 83). ATF, however, did not locate any other evidence indicating ownership or any documentation regarding the procurement of the interdicted silencer (or any silencer for that matter). (Doc. 28-2 at 2; Doc. 28-3; Doc. 29 at 51-52).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43" w:name="Bookmark_para_25"/>
      <w:bookmarkEnd w:id="43"/>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that "[t]he right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the people to be secure in their persons, houses, papers, and effects, against unreasonable searches and seizures, shall not be violated." </w:t>
      </w:r>
      <w:hyperlink r:id="rId11"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The </w:t>
      </w:r>
      <w:hyperlink r:id="rId11"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text "expressly imposes two requirements. First, all searches and seizures must be reasonable. Second, a warrant may not be issued unless probable cause is properly established and the scope of the authorized search is set out with particularity." </w:t>
      </w:r>
      <w:hyperlink r:id="rId12" w:history="1">
        <w:r>
          <w:rPr>
            <w:rFonts w:ascii="arial" w:eastAsia="arial" w:hAnsi="arial" w:cs="arial"/>
            <w:b w:val="0"/>
            <w:i/>
            <w:strike w:val="0"/>
            <w:noProof w:val="0"/>
            <w:color w:val="0077CC"/>
            <w:position w:val="0"/>
            <w:sz w:val="20"/>
            <w:u w:val="single"/>
            <w:vertAlign w:val="baseline"/>
          </w:rPr>
          <w:t>Kentucky v. King</w:t>
        </w:r>
      </w:hyperlink>
      <w:hyperlink r:id="rId12" w:history="1">
        <w:r>
          <w:rPr>
            <w:rFonts w:ascii="arial" w:eastAsia="arial" w:hAnsi="arial" w:cs="arial"/>
            <w:b w:val="0"/>
            <w:i/>
            <w:strike w:val="0"/>
            <w:noProof w:val="0"/>
            <w:color w:val="0077CC"/>
            <w:position w:val="0"/>
            <w:sz w:val="20"/>
            <w:u w:val="single"/>
            <w:vertAlign w:val="baseline"/>
          </w:rPr>
          <w:t>, 563 U.S. 452, 459, 131 S. Ct. 1849, 179 L. Ed. 2d 865 (2011)</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Protective Sweep Permits Admissibility of Some of the Evidence</w:t>
      </w:r>
    </w:p>
    <w:p>
      <w:pPr>
        <w:keepNext w:val="0"/>
        <w:spacing w:before="240" w:after="0" w:line="260" w:lineRule="atLeast"/>
        <w:ind w:left="0" w:right="0" w:firstLine="0"/>
        <w:jc w:val="both"/>
      </w:pPr>
      <w:bookmarkStart w:id="44" w:name="Bookmark_para_26"/>
      <w:bookmarkEnd w:id="44"/>
      <w:r>
        <w:rPr>
          <w:rFonts w:ascii="arial" w:eastAsia="arial" w:hAnsi="arial" w:cs="arial"/>
          <w:b w:val="0"/>
          <w:i w:val="0"/>
          <w:strike w:val="0"/>
          <w:noProof w:val="0"/>
          <w:color w:val="000000"/>
          <w:position w:val="0"/>
          <w:sz w:val="20"/>
          <w:u w:val="none"/>
          <w:vertAlign w:val="baseline"/>
        </w:rPr>
        <w:t xml:space="preserve">In the first instance, the propriety of the protective sweep permits the seizure of some of the evidence at issue.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permits a properly limited protective sweep in conjunction with an in-home arrest when the searching officer possesses a reasonable belief based on specific and articulable facts that the area to be swept harbors an individual posing a danger to those on the arrest scene." </w:t>
      </w:r>
      <w:hyperlink r:id="rId13" w:history="1">
        <w:r>
          <w:rPr>
            <w:rFonts w:ascii="arial" w:eastAsia="arial" w:hAnsi="arial" w:cs="arial"/>
            <w:b w:val="0"/>
            <w:i/>
            <w:strike w:val="0"/>
            <w:noProof w:val="0"/>
            <w:color w:val="0077CC"/>
            <w:position w:val="0"/>
            <w:sz w:val="20"/>
            <w:u w:val="single"/>
            <w:vertAlign w:val="baseline"/>
          </w:rPr>
          <w:t>Maryland v. Buie</w:t>
        </w:r>
      </w:hyperlink>
      <w:hyperlink r:id="rId13" w:history="1">
        <w:r>
          <w:rPr>
            <w:rFonts w:ascii="arial" w:eastAsia="arial" w:hAnsi="arial" w:cs="arial"/>
            <w:b w:val="0"/>
            <w:i/>
            <w:strike w:val="0"/>
            <w:noProof w:val="0"/>
            <w:color w:val="0077CC"/>
            <w:position w:val="0"/>
            <w:sz w:val="20"/>
            <w:u w:val="single"/>
            <w:vertAlign w:val="baseline"/>
          </w:rPr>
          <w:t>, 494 U.S. 325, 337, 110 S. Ct. 1093, 108 L. Ed. 2d 276 (1990)</w:t>
        </w:r>
      </w:hyperlink>
      <w:r>
        <w:rPr>
          <w:rFonts w:ascii="arial" w:eastAsia="arial" w:hAnsi="arial" w:cs="arial"/>
          <w:b w:val="0"/>
          <w:i w:val="0"/>
          <w:strike w:val="0"/>
          <w:noProof w:val="0"/>
          <w:color w:val="000000"/>
          <w:position w:val="0"/>
          <w:sz w:val="20"/>
          <w:u w:val="none"/>
          <w:vertAlign w:val="baseline"/>
        </w:rPr>
        <w:t xml:space="preserve">. A protective sweep comprises "a quick and limited search of premises, incident to an arrest[,] . . . conducted to protect the safety of police officers or others," and "narrowly confined to a cursory visual inspection of those places in which a person might be hiding." </w:t>
      </w:r>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327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27"/>
      <w:bookmarkEnd w:id="45"/>
      <w:r>
        <w:rPr>
          <w:rFonts w:ascii="arial" w:eastAsia="arial" w:hAnsi="arial" w:cs="arial"/>
          <w:b w:val="0"/>
          <w:i w:val="0"/>
          <w:strike w:val="0"/>
          <w:noProof w:val="0"/>
          <w:color w:val="000000"/>
          <w:position w:val="0"/>
          <w:sz w:val="20"/>
          <w:u w:val="none"/>
          <w:vertAlign w:val="baseline"/>
        </w:rPr>
        <w:t>Officers may conduct a protective sweep without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 arrest warrant so long as they sustain a lawful presence on the subject premises. </w:t>
      </w:r>
      <w:r>
        <w:rPr>
          <w:rFonts w:ascii="arial" w:eastAsia="arial" w:hAnsi="arial" w:cs="arial"/>
          <w:b w:val="0"/>
          <w:i/>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United States v. Timmann</w:t>
        </w:r>
      </w:hyperlink>
      <w:hyperlink r:id="rId14" w:history="1">
        <w:r>
          <w:rPr>
            <w:rFonts w:ascii="arial" w:eastAsia="arial" w:hAnsi="arial" w:cs="arial"/>
            <w:b w:val="0"/>
            <w:i/>
            <w:strike w:val="0"/>
            <w:noProof w:val="0"/>
            <w:color w:val="0077CC"/>
            <w:position w:val="0"/>
            <w:sz w:val="20"/>
            <w:u w:val="single"/>
            <w:vertAlign w:val="baseline"/>
          </w:rPr>
          <w:t>, 741 F.3d 1170, 1181 (11th Cir. 2013)</w:t>
        </w:r>
      </w:hyperlink>
      <w:r>
        <w:rPr>
          <w:rFonts w:ascii="arial" w:eastAsia="arial" w:hAnsi="arial" w:cs="arial"/>
          <w:b w:val="0"/>
          <w:i w:val="0"/>
          <w:strike w:val="0"/>
          <w:noProof w:val="0"/>
          <w:color w:val="000000"/>
          <w:position w:val="0"/>
          <w:sz w:val="20"/>
          <w:u w:val="none"/>
          <w:vertAlign w:val="baseline"/>
        </w:rPr>
        <w:t xml:space="preserve"> (citing </w:t>
      </w:r>
      <w:hyperlink r:id="rId15" w:history="1">
        <w:r>
          <w:rPr>
            <w:rFonts w:ascii="arial" w:eastAsia="arial" w:hAnsi="arial" w:cs="arial"/>
            <w:b w:val="0"/>
            <w:i/>
            <w:strike w:val="0"/>
            <w:noProof w:val="0"/>
            <w:color w:val="0077CC"/>
            <w:position w:val="0"/>
            <w:sz w:val="20"/>
            <w:u w:val="single"/>
            <w:vertAlign w:val="baseline"/>
          </w:rPr>
          <w:t>United States v. Caraballo</w:t>
        </w:r>
      </w:hyperlink>
      <w:hyperlink r:id="rId15" w:history="1">
        <w:r>
          <w:rPr>
            <w:rFonts w:ascii="arial" w:eastAsia="arial" w:hAnsi="arial" w:cs="arial"/>
            <w:b w:val="0"/>
            <w:i/>
            <w:strike w:val="0"/>
            <w:noProof w:val="0"/>
            <w:color w:val="0077CC"/>
            <w:position w:val="0"/>
            <w:sz w:val="20"/>
            <w:u w:val="single"/>
            <w:vertAlign w:val="baseline"/>
          </w:rPr>
          <w:t>, 595 F.3d 1214, 1224-25 (11th Cir. 2010)</w:t>
        </w:r>
      </w:hyperlink>
      <w:r>
        <w:rPr>
          <w:rFonts w:ascii="arial" w:eastAsia="arial" w:hAnsi="arial" w:cs="arial"/>
          <w:b w:val="0"/>
          <w:i w:val="0"/>
          <w:strike w:val="0"/>
          <w:noProof w:val="0"/>
          <w:color w:val="000000"/>
          <w:position w:val="0"/>
          <w:sz w:val="20"/>
          <w:u w:val="none"/>
          <w:vertAlign w:val="baseline"/>
        </w:rPr>
        <w:t xml:space="preserve"> (finding an officer who had probable cause to search a boat lawfully conducted a protective sweep));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3 Wayne R. LaFave, Search &amp; Seizure § 7.4(i) (6th ed.) ("By analogy to </w:t>
      </w:r>
      <w:hyperlink r:id="rId13" w:history="1">
        <w:r>
          <w:rPr>
            <w:rFonts w:ascii="arial" w:eastAsia="arial" w:hAnsi="arial" w:cs="arial"/>
            <w:b w:val="0"/>
            <w:i/>
            <w:strike w:val="0"/>
            <w:noProof w:val="0"/>
            <w:color w:val="0077CC"/>
            <w:position w:val="0"/>
            <w:sz w:val="20"/>
            <w:u w:val="single"/>
            <w:vertAlign w:val="baseline"/>
          </w:rPr>
          <w:t>Buie</w:t>
        </w:r>
      </w:hyperlink>
      <w:r>
        <w:rPr>
          <w:rFonts w:ascii="arial" w:eastAsia="arial" w:hAnsi="arial" w:cs="arial"/>
          <w:b w:val="0"/>
          <w:i w:val="0"/>
          <w:strike w:val="0"/>
          <w:noProof w:val="0"/>
          <w:color w:val="000000"/>
          <w:position w:val="0"/>
          <w:sz w:val="20"/>
          <w:u w:val="none"/>
          <w:vertAlign w:val="baseline"/>
        </w:rPr>
        <w:t xml:space="preserve">, it has sometimes been recognized that such protective sweeps are permissible incident to police activities other than arrests."). And while lawfully in an area, officers may inspect items in plain view because such observation does not "involve any invasion of privacy." </w:t>
      </w:r>
      <w:hyperlink r:id="rId16" w:history="1">
        <w:r>
          <w:rPr>
            <w:rFonts w:ascii="arial" w:eastAsia="arial" w:hAnsi="arial" w:cs="arial"/>
            <w:b w:val="0"/>
            <w:i/>
            <w:strike w:val="0"/>
            <w:noProof w:val="0"/>
            <w:color w:val="0077CC"/>
            <w:position w:val="0"/>
            <w:sz w:val="20"/>
            <w:u w:val="single"/>
            <w:vertAlign w:val="baseline"/>
          </w:rPr>
          <w:t>Horton v. California</w:t>
        </w:r>
      </w:hyperlink>
      <w:hyperlink r:id="rId16" w:history="1">
        <w:r>
          <w:rPr>
            <w:rFonts w:ascii="arial" w:eastAsia="arial" w:hAnsi="arial" w:cs="arial"/>
            <w:b w:val="0"/>
            <w:i/>
            <w:strike w:val="0"/>
            <w:noProof w:val="0"/>
            <w:color w:val="0077CC"/>
            <w:position w:val="0"/>
            <w:sz w:val="20"/>
            <w:u w:val="single"/>
            <w:vertAlign w:val="baseline"/>
          </w:rPr>
          <w:t>, 496 U.S. 128, 133-34, 137, 110 S. Ct. 2301, 110 L. Ed. 2d 112 &amp; n.5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28"/>
      <w:bookmarkEnd w:id="46"/>
      <w:r>
        <w:rPr>
          <w:rFonts w:ascii="arial" w:eastAsia="arial" w:hAnsi="arial" w:cs="arial"/>
          <w:b w:val="0"/>
          <w:i w:val="0"/>
          <w:strike w:val="0"/>
          <w:noProof w:val="0"/>
          <w:color w:val="000000"/>
          <w:position w:val="0"/>
          <w:sz w:val="20"/>
          <w:u w:val="none"/>
          <w:vertAlign w:val="baseline"/>
        </w:rPr>
        <w:t>Williams does not challenge the propriety of the protective sweep. During the sweep, Agent Sangster testified he observed in plain view small plastic bags and two small digital scales—items he commonly associates with drugs—on the master bathroom counter. Agent Sangster also perceived in plain view a white powdery residue coating a ripped, plastic bag and bespattering the toilet, wall, and floor. In addition, Agent Sangster testified other officers discerned in plain view small plastic bags and a small digital scale in the kitchen, and a .22 rifle in the garage. Although the garage contained air rifles that closely resembled the .22 rifle,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court finds it reasonable law enforcement recognized the .22 rifle during the sweep based on their experience and the distinguishing features of the air rifles, i.e., the CO2 cannisters attached to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Law Enforcement Personnel Did Not Exceed the Scope of the Search Warrant</w:t>
      </w:r>
    </w:p>
    <w:p>
      <w:pPr>
        <w:keepNext w:val="0"/>
        <w:spacing w:before="200" w:after="0" w:line="260" w:lineRule="atLeast"/>
        <w:ind w:left="0" w:right="0" w:firstLine="0"/>
        <w:jc w:val="both"/>
      </w:pPr>
      <w:bookmarkStart w:id="47" w:name="Bookmark_para_29"/>
      <w:bookmarkEnd w:id="47"/>
      <w:r>
        <w:rPr>
          <w:rFonts w:ascii="arial" w:eastAsia="arial" w:hAnsi="arial" w:cs="arial"/>
          <w:b w:val="0"/>
          <w:i w:val="0"/>
          <w:strike w:val="0"/>
          <w:noProof w:val="0"/>
          <w:color w:val="000000"/>
          <w:position w:val="0"/>
          <w:sz w:val="20"/>
          <w:u w:val="none"/>
          <w:vertAlign w:val="baseline"/>
        </w:rPr>
        <w:t>Pursuant to his Motion to Suppress, Williams argues law enforcement exceeded the scope of the warrant by conducting a generalized search of his residence after discovering the package containing the silencer in the living room and his mail in the kitchen. (Doc. 31 at 6-7). The undersigned disagrees.</w:t>
      </w:r>
    </w:p>
    <w:p>
      <w:pPr>
        <w:keepNext w:val="0"/>
        <w:spacing w:before="240" w:after="0" w:line="260" w:lineRule="atLeast"/>
        <w:ind w:left="0" w:right="0" w:firstLine="0"/>
        <w:jc w:val="both"/>
      </w:pPr>
      <w:bookmarkStart w:id="48" w:name="Bookmark_para_30"/>
      <w:bookmarkEnd w:id="48"/>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that search warrants "particularly describ[e] the place to be searched, and the persons or things to be seized." </w:t>
      </w:r>
      <w:hyperlink r:id="rId11"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"This particularity requirement exists 'to protect individuals from being subjected to general, exploratory searches.'" </w:t>
      </w:r>
      <w:hyperlink r:id="rId17" w:history="1">
        <w:r>
          <w:rPr>
            <w:rFonts w:ascii="arial" w:eastAsia="arial" w:hAnsi="arial" w:cs="arial"/>
            <w:b w:val="0"/>
            <w:i/>
            <w:strike w:val="0"/>
            <w:noProof w:val="0"/>
            <w:color w:val="0077CC"/>
            <w:position w:val="0"/>
            <w:sz w:val="20"/>
            <w:u w:val="single"/>
            <w:vertAlign w:val="baseline"/>
          </w:rPr>
          <w:t>United States v. Moon</w:t>
        </w:r>
      </w:hyperlink>
      <w:hyperlink r:id="rId17" w:history="1">
        <w:r>
          <w:rPr>
            <w:rFonts w:ascii="arial" w:eastAsia="arial" w:hAnsi="arial" w:cs="arial"/>
            <w:b w:val="0"/>
            <w:i/>
            <w:strike w:val="0"/>
            <w:noProof w:val="0"/>
            <w:color w:val="0077CC"/>
            <w:position w:val="0"/>
            <w:sz w:val="20"/>
            <w:u w:val="single"/>
            <w:vertAlign w:val="baseline"/>
          </w:rPr>
          <w:t>, 33 F.4th 1284, 1296 (11th Cir. 2022)</w:t>
        </w:r>
      </w:hyperlink>
      <w:r>
        <w:rPr>
          <w:rFonts w:ascii="arial" w:eastAsia="arial" w:hAnsi="arial" w:cs="arial"/>
          <w:b w:val="0"/>
          <w:i w:val="0"/>
          <w:strike w:val="0"/>
          <w:noProof w:val="0"/>
          <w:color w:val="000000"/>
          <w:position w:val="0"/>
          <w:sz w:val="20"/>
          <w:u w:val="none"/>
          <w:vertAlign w:val="baseline"/>
        </w:rPr>
        <w:t xml:space="preserve"> (quoting </w:t>
      </w:r>
      <w:hyperlink r:id="rId18" w:history="1">
        <w:r>
          <w:rPr>
            <w:rFonts w:ascii="arial" w:eastAsia="arial" w:hAnsi="arial" w:cs="arial"/>
            <w:b w:val="0"/>
            <w:i/>
            <w:strike w:val="0"/>
            <w:noProof w:val="0"/>
            <w:color w:val="0077CC"/>
            <w:position w:val="0"/>
            <w:sz w:val="20"/>
            <w:u w:val="single"/>
            <w:vertAlign w:val="baseline"/>
          </w:rPr>
          <w:t>United States v. Khanani</w:t>
        </w:r>
      </w:hyperlink>
      <w:hyperlink r:id="rId18" w:history="1">
        <w:r>
          <w:rPr>
            <w:rFonts w:ascii="arial" w:eastAsia="arial" w:hAnsi="arial" w:cs="arial"/>
            <w:b w:val="0"/>
            <w:i/>
            <w:strike w:val="0"/>
            <w:noProof w:val="0"/>
            <w:color w:val="0077CC"/>
            <w:position w:val="0"/>
            <w:sz w:val="20"/>
            <w:u w:val="single"/>
            <w:vertAlign w:val="baseline"/>
          </w:rPr>
          <w:t>, 502 F.3d 1281, 1289 (11th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376 (2022)</w:t>
      </w:r>
      <w:r>
        <w:rPr>
          <w:rFonts w:ascii="arial" w:eastAsia="arial" w:hAnsi="arial" w:cs="arial"/>
          <w:b w:val="0"/>
          <w:i w:val="0"/>
          <w:strike w:val="0"/>
          <w:noProof w:val="0"/>
          <w:color w:val="000000"/>
          <w:position w:val="0"/>
          <w:sz w:val="20"/>
          <w:u w:val="none"/>
          <w:vertAlign w:val="baseline"/>
        </w:rPr>
        <w:t xml:space="preserve">. "The permissible scope of a search is governed by the terms of the warrant, and the search may be 'as extensive as reasonably required to locate the items described in the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9" w:history="1">
        <w:r>
          <w:rPr>
            <w:rFonts w:ascii="arial" w:eastAsia="arial" w:hAnsi="arial" w:cs="arial"/>
            <w:b w:val="0"/>
            <w:i/>
            <w:strike w:val="0"/>
            <w:noProof w:val="0"/>
            <w:color w:val="0077CC"/>
            <w:position w:val="0"/>
            <w:sz w:val="20"/>
            <w:u w:val="single"/>
            <w:vertAlign w:val="baseline"/>
          </w:rPr>
          <w:t>United States v. Wuagneux</w:t>
        </w:r>
      </w:hyperlink>
      <w:hyperlink r:id="rId19" w:history="1">
        <w:r>
          <w:rPr>
            <w:rFonts w:ascii="arial" w:eastAsia="arial" w:hAnsi="arial" w:cs="arial"/>
            <w:b w:val="0"/>
            <w:i/>
            <w:strike w:val="0"/>
            <w:noProof w:val="0"/>
            <w:color w:val="0077CC"/>
            <w:position w:val="0"/>
            <w:sz w:val="20"/>
            <w:u w:val="single"/>
            <w:vertAlign w:val="baseline"/>
          </w:rPr>
          <w:t>, 683 F.2d 1343, 1352 (11th Cir. 1982)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31"/>
      <w:bookmarkEnd w:id="49"/>
      <w:r>
        <w:rPr>
          <w:rFonts w:ascii="arial" w:eastAsia="arial" w:hAnsi="arial" w:cs="arial"/>
          <w:b w:val="0"/>
          <w:i w:val="0"/>
          <w:strike w:val="0"/>
          <w:noProof w:val="0"/>
          <w:color w:val="000000"/>
          <w:position w:val="0"/>
          <w:sz w:val="20"/>
          <w:u w:val="none"/>
          <w:vertAlign w:val="baseline"/>
        </w:rPr>
        <w:t>"A lawful search of fixed premises generally extends to the entire area in which the object of the search may be found and is not limited by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possibility that separate acts of entry or opening may be required to complete the search." </w:t>
      </w:r>
      <w:hyperlink r:id="rId20" w:history="1">
        <w:r>
          <w:rPr>
            <w:rFonts w:ascii="arial" w:eastAsia="arial" w:hAnsi="arial" w:cs="arial"/>
            <w:b w:val="0"/>
            <w:i/>
            <w:strike w:val="0"/>
            <w:noProof w:val="0"/>
            <w:color w:val="0077CC"/>
            <w:position w:val="0"/>
            <w:sz w:val="20"/>
            <w:u w:val="single"/>
            <w:vertAlign w:val="baseline"/>
          </w:rPr>
          <w:t>United States v. Ross</w:t>
        </w:r>
      </w:hyperlink>
      <w:hyperlink r:id="rId20" w:history="1">
        <w:r>
          <w:rPr>
            <w:rFonts w:ascii="arial" w:eastAsia="arial" w:hAnsi="arial" w:cs="arial"/>
            <w:b w:val="0"/>
            <w:i/>
            <w:strike w:val="0"/>
            <w:noProof w:val="0"/>
            <w:color w:val="0077CC"/>
            <w:position w:val="0"/>
            <w:sz w:val="20"/>
            <w:u w:val="single"/>
            <w:vertAlign w:val="baseline"/>
          </w:rPr>
          <w:t>, 456 U.S. 798, 820-21, 102 S. Ct. 2157, 72 L. Ed. 2d 572 (1982)</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50" w:name="Bookmark_para_32"/>
      <w:bookmarkEnd w:id="50"/>
      <w:r>
        <w:rPr>
          <w:rFonts w:ascii="arial" w:eastAsia="arial" w:hAnsi="arial" w:cs="arial"/>
          <w:b w:val="0"/>
          <w:i w:val="0"/>
          <w:strike w:val="0"/>
          <w:noProof w:val="0"/>
          <w:color w:val="000000"/>
          <w:position w:val="0"/>
          <w:sz w:val="20"/>
          <w:u w:val="none"/>
          <w:vertAlign w:val="baseline"/>
        </w:rPr>
        <w:t>Thus, a warrant that authorizes an officer to search a home for illegal weapons also provides authority to open closets, chests, drawers, and containers in which the weapon might be found. A warrant to open a footlocker to search for marihuana would also authorize the opening of packages found inside. A warrant to search a vehicle would support a search of every part of the vehicle that might contain the object of the search. When a legitimate search is under way, and when its purpose and its limits have been precisely defined, nice distinctions between closets, drawers, and containers, in the case of a home, or between glove compartments, upholstered seats, trunks, and wrapped packages, in the case of a vehicle, must give way to the interest in the prompt and efficient completion of the task at hand.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(footnotes omitted).</w:t>
      </w:r>
    </w:p>
    <w:p>
      <w:pPr>
        <w:keepNext w:val="0"/>
        <w:spacing w:before="240" w:after="0" w:line="260" w:lineRule="atLeast"/>
        <w:ind w:left="0" w:right="0" w:firstLine="0"/>
        <w:jc w:val="both"/>
      </w:pPr>
      <w:bookmarkStart w:id="51" w:name="Bookmark_para_33"/>
      <w:bookmarkEnd w:id="51"/>
      <w:r>
        <w:rPr>
          <w:rFonts w:ascii="arial" w:eastAsia="arial" w:hAnsi="arial" w:cs="arial"/>
          <w:b w:val="0"/>
          <w:i w:val="0"/>
          <w:strike w:val="0"/>
          <w:noProof w:val="0"/>
          <w:color w:val="000000"/>
          <w:position w:val="0"/>
          <w:sz w:val="20"/>
          <w:u w:val="none"/>
          <w:vertAlign w:val="baseline"/>
        </w:rPr>
        <w:t xml:space="preserve">The authority of a search ends when its purpose has been carried out.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Horton</w:t>
        </w:r>
      </w:hyperlink>
      <w:hyperlink r:id="rId16" w:history="1">
        <w:r>
          <w:rPr>
            <w:rFonts w:ascii="arial" w:eastAsia="arial" w:hAnsi="arial" w:cs="arial"/>
            <w:b w:val="0"/>
            <w:i/>
            <w:strike w:val="0"/>
            <w:noProof w:val="0"/>
            <w:color w:val="0077CC"/>
            <w:position w:val="0"/>
            <w:sz w:val="20"/>
            <w:u w:val="single"/>
            <w:vertAlign w:val="baseline"/>
          </w:rPr>
          <w:t>, 496 U.S. at 141</w:t>
        </w:r>
      </w:hyperlink>
      <w:r>
        <w:rPr>
          <w:rFonts w:ascii="arial" w:eastAsia="arial" w:hAnsi="arial" w:cs="arial"/>
          <w:b w:val="0"/>
          <w:i w:val="0"/>
          <w:strike w:val="0"/>
          <w:noProof w:val="0"/>
          <w:color w:val="000000"/>
          <w:position w:val="0"/>
          <w:sz w:val="20"/>
          <w:u w:val="none"/>
          <w:vertAlign w:val="baseline"/>
        </w:rPr>
        <w:t xml:space="preserve">. In </w:t>
      </w:r>
      <w:hyperlink r:id="rId16" w:history="1">
        <w:r>
          <w:rPr>
            <w:rFonts w:ascii="arial" w:eastAsia="arial" w:hAnsi="arial" w:cs="arial"/>
            <w:b w:val="0"/>
            <w:i/>
            <w:strike w:val="0"/>
            <w:noProof w:val="0"/>
            <w:color w:val="0077CC"/>
            <w:position w:val="0"/>
            <w:sz w:val="20"/>
            <w:u w:val="single"/>
            <w:vertAlign w:val="baseline"/>
          </w:rPr>
          <w:t>Horton</w:t>
        </w:r>
      </w:hyperlink>
      <w:r>
        <w:rPr>
          <w:rFonts w:ascii="arial" w:eastAsia="arial" w:hAnsi="arial" w:cs="arial"/>
          <w:b w:val="0"/>
          <w:i w:val="0"/>
          <w:strike w:val="0"/>
          <w:noProof w:val="0"/>
          <w:color w:val="000000"/>
          <w:position w:val="0"/>
          <w:sz w:val="20"/>
          <w:u w:val="none"/>
          <w:vertAlign w:val="baseline"/>
        </w:rPr>
        <w:t xml:space="preserve"> the Supreme Court stated "if the . . . items named in the warrant had been found at the outset—or if petitioner had them in his possession and had responded to the warrant by producing them immediately—no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[further] search . . . could have taken place."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("Police with a warrant for a rifle may search only places where rifles might be and must terminate the search once the rifle is found . . . ." (internal quotation marks omitted) (quoting </w:t>
      </w:r>
      <w:hyperlink r:id="rId21" w:history="1">
        <w:r>
          <w:rPr>
            <w:rFonts w:ascii="arial" w:eastAsia="arial" w:hAnsi="arial" w:cs="arial"/>
            <w:b w:val="0"/>
            <w:i/>
            <w:strike w:val="0"/>
            <w:noProof w:val="0"/>
            <w:color w:val="0077CC"/>
            <w:position w:val="0"/>
            <w:sz w:val="20"/>
            <w:u w:val="single"/>
            <w:vertAlign w:val="baseline"/>
          </w:rPr>
          <w:t>Coolidge v. New Hampshire</w:t>
        </w:r>
      </w:hyperlink>
      <w:hyperlink r:id="rId21" w:history="1">
        <w:r>
          <w:rPr>
            <w:rFonts w:ascii="arial" w:eastAsia="arial" w:hAnsi="arial" w:cs="arial"/>
            <w:b w:val="0"/>
            <w:i/>
            <w:strike w:val="0"/>
            <w:noProof w:val="0"/>
            <w:color w:val="0077CC"/>
            <w:position w:val="0"/>
            <w:sz w:val="20"/>
            <w:u w:val="single"/>
            <w:vertAlign w:val="baseline"/>
          </w:rPr>
          <w:t>, 403 U.S. 443, 517, 91 S. Ct. 2022, 29 L. Ed. 2d 564 (1971)</w:t>
        </w:r>
      </w:hyperlink>
      <w:r>
        <w:rPr>
          <w:rFonts w:ascii="arial" w:eastAsia="arial" w:hAnsi="arial" w:cs="arial"/>
          <w:b w:val="0"/>
          <w:i w:val="0"/>
          <w:strike w:val="0"/>
          <w:noProof w:val="0"/>
          <w:color w:val="000000"/>
          <w:position w:val="0"/>
          <w:sz w:val="20"/>
          <w:u w:val="none"/>
          <w:vertAlign w:val="baseline"/>
        </w:rPr>
        <w:t xml:space="preserve"> (White, J., concurring and dissenting))).</w:t>
      </w:r>
    </w:p>
    <w:p>
      <w:pPr>
        <w:keepNext w:val="0"/>
        <w:spacing w:before="200" w:after="0" w:line="260" w:lineRule="atLeast"/>
        <w:ind w:left="0" w:right="0" w:firstLine="0"/>
        <w:jc w:val="both"/>
      </w:pPr>
      <w:bookmarkStart w:id="52" w:name="Bookmark_para_34"/>
      <w:bookmarkEnd w:id="52"/>
      <w:r>
        <w:rPr>
          <w:rFonts w:ascii="arial" w:eastAsia="arial" w:hAnsi="arial" w:cs="arial"/>
          <w:b w:val="0"/>
          <w:i w:val="0"/>
          <w:strike w:val="0"/>
          <w:noProof w:val="0"/>
          <w:color w:val="000000"/>
          <w:position w:val="0"/>
          <w:sz w:val="20"/>
          <w:u w:val="none"/>
          <w:vertAlign w:val="baseline"/>
        </w:rPr>
        <w:t xml:space="preserve">Yet there exists "no legal support for the proposition that, when there is probable cause that a location contains contraband, law enforcement officers . . . must stop searching once they find some contraband, even if the officers have not located all the items identified in the warrant." </w:t>
      </w:r>
      <w:r>
        <w:rPr>
          <w:rFonts w:ascii="arial" w:eastAsia="arial" w:hAnsi="arial" w:cs="arial"/>
          <w:b w:val="0"/>
          <w:i/>
          <w:strike w:val="0"/>
          <w:noProof w:val="0"/>
          <w:color w:val="000000"/>
          <w:position w:val="0"/>
          <w:sz w:val="20"/>
          <w:u w:val="none"/>
          <w:vertAlign w:val="baseline"/>
        </w:rPr>
        <w:t>United States v. Reeves</w:t>
      </w:r>
      <w:r>
        <w:rPr>
          <w:rFonts w:ascii="arial" w:eastAsia="arial" w:hAnsi="arial" w:cs="arial"/>
          <w:b w:val="0"/>
          <w:i/>
          <w:strike w:val="0"/>
          <w:noProof w:val="0"/>
          <w:color w:val="000000"/>
          <w:position w:val="0"/>
          <w:sz w:val="20"/>
          <w:u w:val="none"/>
          <w:vertAlign w:val="baseline"/>
        </w:rPr>
        <w:t>, 647 F. App'x 942, 946 (11th Cir. 2016)</w:t>
      </w:r>
      <w:r>
        <w:rPr>
          <w:rFonts w:ascii="arial" w:eastAsia="arial" w:hAnsi="arial" w:cs="arial"/>
          <w:b w:val="0"/>
          <w:i w:val="0"/>
          <w:strike w:val="0"/>
          <w:noProof w:val="0"/>
          <w:color w:val="000000"/>
          <w:position w:val="0"/>
          <w:sz w:val="20"/>
          <w:u w:val="none"/>
          <w:vertAlign w:val="baseline"/>
        </w:rPr>
        <w:t xml:space="preserve">. Furthermore, when a warrant authorizes the search for an unknown quantity of items, officers may conduct the search until they have covered the entire premises targeted by the warrant.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United States v. Edwards</w:t>
        </w:r>
      </w:hyperlink>
      <w:hyperlink r:id="rId22" w:history="1">
        <w:r>
          <w:rPr>
            <w:rFonts w:ascii="arial" w:eastAsia="arial" w:hAnsi="arial" w:cs="arial"/>
            <w:b w:val="0"/>
            <w:i/>
            <w:strike w:val="0"/>
            <w:noProof w:val="0"/>
            <w:color w:val="0077CC"/>
            <w:position w:val="0"/>
            <w:sz w:val="20"/>
            <w:u w:val="single"/>
            <w:vertAlign w:val="baseline"/>
          </w:rPr>
          <w:t>, 343 F. App'x 468, 471 (11th Cir. 2009)</w:t>
        </w:r>
      </w:hyperlink>
      <w:r>
        <w:rPr>
          <w:rFonts w:ascii="arial" w:eastAsia="arial" w:hAnsi="arial" w:cs="arial"/>
          <w:b w:val="0"/>
          <w:i w:val="0"/>
          <w:strike w:val="0"/>
          <w:noProof w:val="0"/>
          <w:color w:val="000000"/>
          <w:position w:val="0"/>
          <w:sz w:val="20"/>
          <w:u w:val="none"/>
          <w:vertAlign w:val="baseline"/>
        </w:rPr>
        <w:t xml:space="preserve"> ("Even assuming the officers had recovered a shotgun prior to opening the safe, it was permissible for them to continue to search for other firearms." (citing </w:t>
      </w:r>
      <w:hyperlink r:id="rId23" w:history="1">
        <w:r>
          <w:rPr>
            <w:rFonts w:ascii="arial" w:eastAsia="arial" w:hAnsi="arial" w:cs="arial"/>
            <w:b w:val="0"/>
            <w:i/>
            <w:strike w:val="0"/>
            <w:noProof w:val="0"/>
            <w:color w:val="0077CC"/>
            <w:position w:val="0"/>
            <w:sz w:val="20"/>
            <w:u w:val="single"/>
            <w:vertAlign w:val="baseline"/>
          </w:rPr>
          <w:t>United States v. Jackson</w:t>
        </w:r>
      </w:hyperlink>
      <w:hyperlink r:id="rId23" w:history="1">
        <w:r>
          <w:rPr>
            <w:rFonts w:ascii="arial" w:eastAsia="arial" w:hAnsi="arial" w:cs="arial"/>
            <w:b w:val="0"/>
            <w:i/>
            <w:strike w:val="0"/>
            <w:noProof w:val="0"/>
            <w:color w:val="0077CC"/>
            <w:position w:val="0"/>
            <w:sz w:val="20"/>
            <w:u w:val="single"/>
            <w:vertAlign w:val="baseline"/>
          </w:rPr>
          <w:t>, 120 F.3d 1226, 1228 (11th Cir. 1997)</w:t>
        </w:r>
      </w:hyperlink>
      <w:r>
        <w:rPr>
          <w:rFonts w:ascii="arial" w:eastAsia="arial" w:hAnsi="arial" w:cs="arial"/>
          <w:b w:val="0"/>
          <w:i w:val="0"/>
          <w:strike w:val="0"/>
          <w:noProof w:val="0"/>
          <w:color w:val="000000"/>
          <w:position w:val="0"/>
          <w:sz w:val="20"/>
          <w:u w:val="none"/>
          <w:vertAlign w:val="baseline"/>
        </w:rPr>
        <w:t xml:space="preserve"> (per curiam) ("Although [the officers] had located some cocaine in the bathroom, it was within the scope of the warrant to continue the search."), </w:t>
      </w:r>
      <w:r>
        <w:rPr>
          <w:rFonts w:ascii="arial" w:eastAsia="arial" w:hAnsi="arial" w:cs="arial"/>
          <w:b w:val="0"/>
          <w:i/>
          <w:strike w:val="0"/>
          <w:noProof w:val="0"/>
          <w:color w:val="000000"/>
          <w:position w:val="0"/>
          <w:sz w:val="20"/>
          <w:u w:val="none"/>
          <w:vertAlign w:val="baseline"/>
        </w:rPr>
        <w:t xml:space="preserve">abrogated on other grounds by </w:t>
      </w:r>
      <w:hyperlink r:id="rId24" w:history="1">
        <w:r>
          <w:rPr>
            <w:rFonts w:ascii="arial" w:eastAsia="arial" w:hAnsi="arial" w:cs="arial"/>
            <w:b w:val="0"/>
            <w:i/>
            <w:strike w:val="0"/>
            <w:noProof w:val="0"/>
            <w:color w:val="0077CC"/>
            <w:position w:val="0"/>
            <w:sz w:val="20"/>
            <w:u w:val="single"/>
            <w:vertAlign w:val="baseline"/>
          </w:rPr>
          <w:t>Rehaif v. United States</w:t>
        </w:r>
      </w:hyperlink>
      <w:hyperlink r:id="rId24" w:history="1">
        <w:r>
          <w:rPr>
            <w:rFonts w:ascii="arial" w:eastAsia="arial" w:hAnsi="arial" w:cs="arial"/>
            <w:b w:val="0"/>
            <w:i/>
            <w:strike w:val="0"/>
            <w:noProof w:val="0"/>
            <w:color w:val="0077CC"/>
            <w:position w:val="0"/>
            <w:sz w:val="20"/>
            <w:u w:val="single"/>
            <w:vertAlign w:val="baseline"/>
          </w:rPr>
          <w:t>, 139 S. Ct. 2191, 204 L. Ed. 2d 594 (2019)</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United States v. Menon</w:t>
        </w:r>
      </w:hyperlink>
      <w:hyperlink r:id="rId25" w:history="1">
        <w:r>
          <w:rPr>
            <w:rFonts w:ascii="arial" w:eastAsia="arial" w:hAnsi="arial" w:cs="arial"/>
            <w:b w:val="0"/>
            <w:i/>
            <w:strike w:val="0"/>
            <w:noProof w:val="0"/>
            <w:color w:val="0077CC"/>
            <w:position w:val="0"/>
            <w:sz w:val="20"/>
            <w:u w:val="single"/>
            <w:vertAlign w:val="baseline"/>
          </w:rPr>
          <w:t>, 24 F.3d 550, 560 (3d Cir. 1994)</w:t>
        </w:r>
      </w:hyperlink>
      <w:r>
        <w:rPr>
          <w:rFonts w:ascii="arial" w:eastAsia="arial" w:hAnsi="arial" w:cs="arial"/>
          <w:b w:val="0"/>
          <w:i w:val="0"/>
          <w:strike w:val="0"/>
          <w:noProof w:val="0"/>
          <w:color w:val="000000"/>
          <w:position w:val="0"/>
          <w:sz w:val="20"/>
          <w:u w:val="none"/>
          <w:vertAlign w:val="baseline"/>
        </w:rPr>
        <w:t xml:space="preserve"> ("[T]he warrant gave the government the authority to search the desk for Abad documents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it was reasonable for Almeida to continue to do so even after finding the Abad file. Any reasonable agent looking for evidence in a clearly circumscribed area would continue the search until she was certain that no more evidence existed which could not happen until the entire desk was searched."); </w:t>
      </w:r>
      <w:hyperlink r:id="rId26" w:history="1">
        <w:r>
          <w:rPr>
            <w:rFonts w:ascii="arial" w:eastAsia="arial" w:hAnsi="arial" w:cs="arial"/>
            <w:b w:val="0"/>
            <w:i/>
            <w:strike w:val="0"/>
            <w:noProof w:val="0"/>
            <w:color w:val="0077CC"/>
            <w:position w:val="0"/>
            <w:sz w:val="20"/>
            <w:u w:val="single"/>
            <w:vertAlign w:val="baseline"/>
          </w:rPr>
          <w:t>United States v. Buckley</w:t>
        </w:r>
      </w:hyperlink>
      <w:hyperlink r:id="rId26" w:history="1">
        <w:r>
          <w:rPr>
            <w:rFonts w:ascii="arial" w:eastAsia="arial" w:hAnsi="arial" w:cs="arial"/>
            <w:b w:val="0"/>
            <w:i/>
            <w:strike w:val="0"/>
            <w:noProof w:val="0"/>
            <w:color w:val="0077CC"/>
            <w:position w:val="0"/>
            <w:sz w:val="20"/>
            <w:u w:val="single"/>
            <w:vertAlign w:val="baseline"/>
          </w:rPr>
          <w:t>, 4 F.3d 552, 557 (7th Cir. 1993)</w:t>
        </w:r>
      </w:hyperlink>
      <w:r>
        <w:rPr>
          <w:rFonts w:ascii="arial" w:eastAsia="arial" w:hAnsi="arial" w:cs="arial"/>
          <w:b w:val="0"/>
          <w:i w:val="0"/>
          <w:strike w:val="0"/>
          <w:noProof w:val="0"/>
          <w:color w:val="000000"/>
          <w:position w:val="0"/>
          <w:sz w:val="20"/>
          <w:u w:val="none"/>
          <w:vertAlign w:val="baseline"/>
        </w:rPr>
        <w:t xml:space="preserve"> ("Where a warrant permits the search for firearms, the officers need not stop just because they found one."); LaFave,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 4.10(d) ("Under some circumstances, such as where the warrant authorizes search for 'an unknown quantity of narcotics,' the police apparently have a free hand—notwithstanding the quantity of the described item already found—to continue with the search until the entire premises have been covered." (footnote omitted)).</w:t>
      </w:r>
    </w:p>
    <w:p>
      <w:pPr>
        <w:keepNext w:val="0"/>
        <w:spacing w:before="200" w:after="0" w:line="260" w:lineRule="atLeast"/>
        <w:ind w:left="0" w:right="0" w:firstLine="0"/>
        <w:jc w:val="both"/>
      </w:pPr>
      <w:bookmarkStart w:id="53" w:name="Bookmark_para_35"/>
      <w:bookmarkEnd w:id="53"/>
      <w:r>
        <w:rPr>
          <w:rFonts w:ascii="arial" w:eastAsia="arial" w:hAnsi="arial" w:cs="arial"/>
          <w:b w:val="0"/>
          <w:i w:val="0"/>
          <w:strike w:val="0"/>
          <w:noProof w:val="0"/>
          <w:color w:val="000000"/>
          <w:position w:val="0"/>
          <w:sz w:val="20"/>
          <w:u w:val="none"/>
          <w:vertAlign w:val="baseline"/>
        </w:rPr>
        <w:t>The warrant here allowed law enforcement personnel to search for the silencer, documents or items pertaining to the possession or purchase of the silencer, and documents establishing who had control and/or possession of the subject premises. Although law enforcement discovered the silencer and mail establishing Williams's control and possession of the residence, law enforcement did not find any documentation pertaining to the possession or purchase of the silencer. Hence,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even if law enforcement personnel found the silencer and Williams's mail at the outset of the search, they maintained authority to continue searching areas of the residence that could reasonably contain documents or items relating to the silencer. And of course, the dwelling's occupants could have placed documents or items pertaining to the possession or purchase of the silencer in the kitchen, garage, or bathroom, and thus, law enforcement sustained authority to search those areas. To the extent the label on the interdicted package qualifies as a document evincing the possession or purchase of the silencer, officers retained authority to continue searching for additional documents related to the silencer. Thus, law enforcement did not conduct a general, exploratory search of Williams's residence.</w:t>
      </w:r>
    </w:p>
    <w:p>
      <w:pPr>
        <w:keepNext w:val="0"/>
        <w:spacing w:before="200" w:after="0" w:line="260" w:lineRule="atLeast"/>
        <w:ind w:left="0" w:right="0" w:firstLine="0"/>
        <w:jc w:val="both"/>
      </w:pPr>
      <w:bookmarkStart w:id="54" w:name="Bookmark_para_36"/>
      <w:bookmarkEnd w:id="54"/>
      <w:r>
        <w:rPr>
          <w:rFonts w:ascii="arial" w:eastAsia="arial" w:hAnsi="arial" w:cs="arial"/>
          <w:b w:val="0"/>
          <w:i w:val="0"/>
          <w:strike w:val="0"/>
          <w:noProof w:val="0"/>
          <w:color w:val="000000"/>
          <w:position w:val="0"/>
          <w:sz w:val="20"/>
          <w:u w:val="none"/>
          <w:vertAlign w:val="baseline"/>
        </w:rPr>
        <w:t>In another challenge to the search, Williams contends the plain view doctrine does not warrant the seizure of the .22 rifle. (Doc. 31 at 7-8). The undersigned disagrees.</w:t>
      </w:r>
    </w:p>
    <w:p>
      <w:pPr>
        <w:keepNext w:val="0"/>
        <w:spacing w:before="240" w:after="0" w:line="260" w:lineRule="atLeast"/>
        <w:ind w:left="0" w:right="0" w:firstLine="0"/>
        <w:jc w:val="both"/>
      </w:pPr>
      <w:bookmarkStart w:id="55" w:name="Bookmark_para_37"/>
      <w:bookmarkEnd w:id="55"/>
      <w:r>
        <w:rPr>
          <w:rFonts w:ascii="arial" w:eastAsia="arial" w:hAnsi="arial" w:cs="arial"/>
          <w:b w:val="0"/>
          <w:i w:val="0"/>
          <w:strike w:val="0"/>
          <w:noProof w:val="0"/>
          <w:color w:val="000000"/>
          <w:position w:val="0"/>
          <w:sz w:val="20"/>
          <w:u w:val="none"/>
          <w:vertAlign w:val="baseline"/>
        </w:rPr>
        <w:t>"The 'plain view' doctrine permits a warrantless seizure where (1) an officer is lawfully located in the place from which the seized object could be plainly viewed and [has] a lawful right of access to the object itself; and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(2) the incriminating character of the item is immediately apparent." </w:t>
      </w:r>
      <w:hyperlink r:id="rId27" w:history="1">
        <w:r>
          <w:rPr>
            <w:rFonts w:ascii="arial" w:eastAsia="arial" w:hAnsi="arial" w:cs="arial"/>
            <w:b w:val="0"/>
            <w:i/>
            <w:strike w:val="0"/>
            <w:noProof w:val="0"/>
            <w:color w:val="0077CC"/>
            <w:position w:val="0"/>
            <w:sz w:val="20"/>
            <w:u w:val="single"/>
            <w:vertAlign w:val="baseline"/>
          </w:rPr>
          <w:t>United States v. Smith</w:t>
        </w:r>
      </w:hyperlink>
      <w:hyperlink r:id="rId27" w:history="1">
        <w:r>
          <w:rPr>
            <w:rFonts w:ascii="arial" w:eastAsia="arial" w:hAnsi="arial" w:cs="arial"/>
            <w:b w:val="0"/>
            <w:i/>
            <w:strike w:val="0"/>
            <w:noProof w:val="0"/>
            <w:color w:val="0077CC"/>
            <w:position w:val="0"/>
            <w:sz w:val="20"/>
            <w:u w:val="single"/>
            <w:vertAlign w:val="baseline"/>
          </w:rPr>
          <w:t>, 459 F.3d 1276, 1290 (11th Cir. 2006)</w:t>
        </w:r>
      </w:hyperlink>
      <w:r>
        <w:rPr>
          <w:rFonts w:ascii="arial" w:eastAsia="arial" w:hAnsi="arial" w:cs="arial"/>
          <w:b w:val="0"/>
          <w:i w:val="0"/>
          <w:strike w:val="0"/>
          <w:noProof w:val="0"/>
          <w:color w:val="000000"/>
          <w:position w:val="0"/>
          <w:sz w:val="20"/>
          <w:u w:val="none"/>
          <w:vertAlign w:val="baseline"/>
        </w:rPr>
        <w:t xml:space="preserve"> (citing </w:t>
      </w:r>
      <w:hyperlink r:id="rId16" w:history="1">
        <w:r>
          <w:rPr>
            <w:rFonts w:ascii="arial" w:eastAsia="arial" w:hAnsi="arial" w:cs="arial"/>
            <w:b w:val="0"/>
            <w:i/>
            <w:strike w:val="0"/>
            <w:noProof w:val="0"/>
            <w:color w:val="0077CC"/>
            <w:position w:val="0"/>
            <w:sz w:val="20"/>
            <w:u w:val="single"/>
            <w:vertAlign w:val="baseline"/>
          </w:rPr>
          <w:t>Horton</w:t>
        </w:r>
      </w:hyperlink>
      <w:hyperlink r:id="rId16" w:history="1">
        <w:r>
          <w:rPr>
            <w:rFonts w:ascii="arial" w:eastAsia="arial" w:hAnsi="arial" w:cs="arial"/>
            <w:b w:val="0"/>
            <w:i/>
            <w:strike w:val="0"/>
            <w:noProof w:val="0"/>
            <w:color w:val="0077CC"/>
            <w:position w:val="0"/>
            <w:sz w:val="20"/>
            <w:u w:val="single"/>
            <w:vertAlign w:val="baseline"/>
          </w:rPr>
          <w:t>, 496 U.S. at 136-37</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United States v. Hromada</w:t>
        </w:r>
      </w:hyperlink>
      <w:hyperlink r:id="rId28" w:history="1">
        <w:r>
          <w:rPr>
            <w:rFonts w:ascii="arial" w:eastAsia="arial" w:hAnsi="arial" w:cs="arial"/>
            <w:b w:val="0"/>
            <w:i/>
            <w:strike w:val="0"/>
            <w:noProof w:val="0"/>
            <w:color w:val="0077CC"/>
            <w:position w:val="0"/>
            <w:sz w:val="20"/>
            <w:u w:val="single"/>
            <w:vertAlign w:val="baseline"/>
          </w:rPr>
          <w:t>, 49 F.3d 685, 690 n. 11 (11th Cir.1995)</w:t>
        </w:r>
      </w:hyperlink>
      <w:r>
        <w:rPr>
          <w:rFonts w:ascii="arial" w:eastAsia="arial" w:hAnsi="arial" w:cs="arial"/>
          <w:b w:val="0"/>
          <w:i w:val="0"/>
          <w:strike w:val="0"/>
          <w:noProof w:val="0"/>
          <w:color w:val="000000"/>
          <w:position w:val="0"/>
          <w:sz w:val="20"/>
          <w:u w:val="none"/>
          <w:vertAlign w:val="baseline"/>
        </w:rPr>
        <w:t xml:space="preserve">). "The officers, however, must have probable cause to believe that the object in plain view is contraband" or evidence of a crime. </w:t>
      </w:r>
      <w:hyperlink r:id="rId27" w:history="1">
        <w:r>
          <w:rPr>
            <w:rFonts w:ascii="arial" w:eastAsia="arial" w:hAnsi="arial" w:cs="arial"/>
            <w:b w:val="0"/>
            <w:i/>
            <w:strike w:val="0"/>
            <w:noProof w:val="0"/>
            <w:color w:val="0077CC"/>
            <w:position w:val="0"/>
            <w:sz w:val="20"/>
            <w:u w:val="single"/>
            <w:vertAlign w:val="baseline"/>
          </w:rPr>
          <w:t>United States v. Smith</w:t>
        </w:r>
      </w:hyperlink>
      <w:hyperlink r:id="rId27" w:history="1">
        <w:r>
          <w:rPr>
            <w:rFonts w:ascii="arial" w:eastAsia="arial" w:hAnsi="arial" w:cs="arial"/>
            <w:b w:val="0"/>
            <w:i/>
            <w:strike w:val="0"/>
            <w:noProof w:val="0"/>
            <w:color w:val="0077CC"/>
            <w:position w:val="0"/>
            <w:sz w:val="20"/>
            <w:u w:val="single"/>
            <w:vertAlign w:val="baseline"/>
          </w:rPr>
          <w:t>, 459 F.3d 1276, 1290 (11th Cir. 2006)</w:t>
        </w:r>
      </w:hyperlink>
      <w:r>
        <w:rPr>
          <w:rFonts w:ascii="arial" w:eastAsia="arial" w:hAnsi="arial" w:cs="arial"/>
          <w:b w:val="0"/>
          <w:i w:val="0"/>
          <w:strike w:val="0"/>
          <w:noProof w:val="0"/>
          <w:color w:val="000000"/>
          <w:position w:val="0"/>
          <w:sz w:val="20"/>
          <w:u w:val="none"/>
          <w:vertAlign w:val="baseline"/>
        </w:rPr>
        <w:t xml:space="preserve"> (citing </w:t>
      </w:r>
      <w:hyperlink r:id="rId29" w:history="1">
        <w:r>
          <w:rPr>
            <w:rFonts w:ascii="arial" w:eastAsia="arial" w:hAnsi="arial" w:cs="arial"/>
            <w:b w:val="0"/>
            <w:i/>
            <w:strike w:val="0"/>
            <w:noProof w:val="0"/>
            <w:color w:val="0077CC"/>
            <w:position w:val="0"/>
            <w:sz w:val="20"/>
            <w:u w:val="single"/>
            <w:vertAlign w:val="baseline"/>
          </w:rPr>
          <w:t>Minnesota v. Dickerson</w:t>
        </w:r>
      </w:hyperlink>
      <w:hyperlink r:id="rId29" w:history="1">
        <w:r>
          <w:rPr>
            <w:rFonts w:ascii="arial" w:eastAsia="arial" w:hAnsi="arial" w:cs="arial"/>
            <w:b w:val="0"/>
            <w:i/>
            <w:strike w:val="0"/>
            <w:noProof w:val="0"/>
            <w:color w:val="0077CC"/>
            <w:position w:val="0"/>
            <w:sz w:val="20"/>
            <w:u w:val="single"/>
            <w:vertAlign w:val="baseline"/>
          </w:rPr>
          <w:t>, 508 U.S. 366, 375, 113 S. Ct. 2130, 124 L. Ed. 2d 334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38"/>
      <w:bookmarkEnd w:id="56"/>
      <w:r>
        <w:rPr>
          <w:rFonts w:ascii="arial" w:eastAsia="arial" w:hAnsi="arial" w:cs="arial"/>
          <w:b w:val="0"/>
          <w:i w:val="0"/>
          <w:strike w:val="0"/>
          <w:noProof w:val="0"/>
          <w:color w:val="000000"/>
          <w:position w:val="0"/>
          <w:sz w:val="20"/>
          <w:u w:val="none"/>
          <w:vertAlign w:val="baseline"/>
        </w:rPr>
        <w:t xml:space="preserve">"[P]robable cause exists when the facts, considering the totality of the circumstances and viewed from the perspective of a reasonable officer, establish 'a probability or substantial chance of criminal activity.'" </w:t>
      </w:r>
      <w:hyperlink r:id="rId30" w:history="1">
        <w:r>
          <w:rPr>
            <w:rFonts w:ascii="arial" w:eastAsia="arial" w:hAnsi="arial" w:cs="arial"/>
            <w:b w:val="0"/>
            <w:i/>
            <w:strike w:val="0"/>
            <w:noProof w:val="0"/>
            <w:color w:val="0077CC"/>
            <w:position w:val="0"/>
            <w:sz w:val="20"/>
            <w:u w:val="single"/>
            <w:vertAlign w:val="baseline"/>
          </w:rPr>
          <w:t>Washington v. Howard</w:t>
        </w:r>
      </w:hyperlink>
      <w:hyperlink r:id="rId30" w:history="1">
        <w:r>
          <w:rPr>
            <w:rFonts w:ascii="arial" w:eastAsia="arial" w:hAnsi="arial" w:cs="arial"/>
            <w:b w:val="0"/>
            <w:i/>
            <w:strike w:val="0"/>
            <w:noProof w:val="0"/>
            <w:color w:val="0077CC"/>
            <w:position w:val="0"/>
            <w:sz w:val="20"/>
            <w:u w:val="single"/>
            <w:vertAlign w:val="baseline"/>
          </w:rPr>
          <w:t>, 25 F.4th 891, 898 (11th Cir. 2022)</w:t>
        </w:r>
      </w:hyperlink>
      <w:r>
        <w:rPr>
          <w:rFonts w:ascii="arial" w:eastAsia="arial" w:hAnsi="arial" w:cs="arial"/>
          <w:b w:val="0"/>
          <w:i w:val="0"/>
          <w:strike w:val="0"/>
          <w:noProof w:val="0"/>
          <w:color w:val="000000"/>
          <w:position w:val="0"/>
          <w:sz w:val="20"/>
          <w:u w:val="none"/>
          <w:vertAlign w:val="baseline"/>
        </w:rPr>
        <w:t xml:space="preserve"> (quoting </w:t>
      </w:r>
      <w:hyperlink r:id="rId31" w:history="1">
        <w:r>
          <w:rPr>
            <w:rFonts w:ascii="arial" w:eastAsia="arial" w:hAnsi="arial" w:cs="arial"/>
            <w:b w:val="0"/>
            <w:i/>
            <w:strike w:val="0"/>
            <w:noProof w:val="0"/>
            <w:color w:val="0077CC"/>
            <w:position w:val="0"/>
            <w:sz w:val="20"/>
            <w:u w:val="single"/>
            <w:vertAlign w:val="baseline"/>
          </w:rPr>
          <w:t>District of Columbia v. Wesby</w:t>
        </w:r>
      </w:hyperlink>
      <w:hyperlink r:id="rId31" w:history="1">
        <w:r>
          <w:rPr>
            <w:rFonts w:ascii="arial" w:eastAsia="arial" w:hAnsi="arial" w:cs="arial"/>
            <w:b w:val="0"/>
            <w:i/>
            <w:strike w:val="0"/>
            <w:noProof w:val="0"/>
            <w:color w:val="0077CC"/>
            <w:position w:val="0"/>
            <w:sz w:val="20"/>
            <w:u w:val="single"/>
            <w:vertAlign w:val="baseline"/>
          </w:rPr>
          <w:t>, 583 U.S. 48, 138 S. Ct. 577, 586, 199 L. Ed. 2d 453 (2018)</w:t>
        </w:r>
      </w:hyperlink>
      <w:r>
        <w:rPr>
          <w:rFonts w:ascii="arial" w:eastAsia="arial" w:hAnsi="arial" w:cs="arial"/>
          <w:b w:val="0"/>
          <w:i w:val="0"/>
          <w:strike w:val="0"/>
          <w:noProof w:val="0"/>
          <w:color w:val="000000"/>
          <w:position w:val="0"/>
          <w:sz w:val="20"/>
          <w:u w:val="none"/>
          <w:vertAlign w:val="baseline"/>
        </w:rPr>
        <w:t xml:space="preserve">). "Probable cause does not require conclusive evidence and 'is not a high bar.'" </w:t>
      </w:r>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899</w:t>
        </w:r>
      </w:hyperlink>
      <w:r>
        <w:rPr>
          <w:rFonts w:ascii="arial" w:eastAsia="arial" w:hAnsi="arial" w:cs="arial"/>
          <w:b w:val="0"/>
          <w:i w:val="0"/>
          <w:strike w:val="0"/>
          <w:noProof w:val="0"/>
          <w:color w:val="000000"/>
          <w:position w:val="0"/>
          <w:sz w:val="20"/>
          <w:u w:val="none"/>
          <w:vertAlign w:val="baseline"/>
        </w:rPr>
        <w:t xml:space="preserve"> (quoting </w:t>
      </w:r>
      <w:hyperlink r:id="rId31" w:history="1">
        <w:r>
          <w:rPr>
            <w:rFonts w:ascii="arial" w:eastAsia="arial" w:hAnsi="arial" w:cs="arial"/>
            <w:b w:val="0"/>
            <w:i/>
            <w:strike w:val="0"/>
            <w:noProof w:val="0"/>
            <w:color w:val="0077CC"/>
            <w:position w:val="0"/>
            <w:sz w:val="20"/>
            <w:u w:val="single"/>
            <w:vertAlign w:val="baseline"/>
          </w:rPr>
          <w:t>Wesby</w:t>
        </w:r>
      </w:hyperlink>
      <w:hyperlink r:id="rId31" w:history="1">
        <w:r>
          <w:rPr>
            <w:rFonts w:ascii="arial" w:eastAsia="arial" w:hAnsi="arial" w:cs="arial"/>
            <w:b w:val="0"/>
            <w:i/>
            <w:strike w:val="0"/>
            <w:noProof w:val="0"/>
            <w:color w:val="0077CC"/>
            <w:position w:val="0"/>
            <w:sz w:val="20"/>
            <w:u w:val="single"/>
            <w:vertAlign w:val="baseline"/>
          </w:rPr>
          <w:t>, 138 S. Ct. at 586</w:t>
        </w:r>
      </w:hyperlink>
      <w:r>
        <w:rPr>
          <w:rFonts w:ascii="arial" w:eastAsia="arial" w:hAnsi="arial" w:cs="arial"/>
          <w:b w:val="0"/>
          <w:i w:val="0"/>
          <w:strike w:val="0"/>
          <w:noProof w:val="0"/>
          <w:color w:val="000000"/>
          <w:position w:val="0"/>
          <w:sz w:val="20"/>
          <w:u w:val="none"/>
          <w:vertAlign w:val="baseline"/>
        </w:rPr>
        <w:t xml:space="preserve">). "A reviewing court must simply ask 'whether a reasonable officer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conclude . . . that there was a substantial chance of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and alteration in original) (quoting </w:t>
      </w:r>
      <w:hyperlink r:id="rId31" w:history="1">
        <w:r>
          <w:rPr>
            <w:rFonts w:ascii="arial" w:eastAsia="arial" w:hAnsi="arial" w:cs="arial"/>
            <w:b w:val="0"/>
            <w:i/>
            <w:strike w:val="0"/>
            <w:noProof w:val="0"/>
            <w:color w:val="0077CC"/>
            <w:position w:val="0"/>
            <w:sz w:val="20"/>
            <w:u w:val="single"/>
            <w:vertAlign w:val="baseline"/>
          </w:rPr>
          <w:t>Wesby</w:t>
        </w:r>
      </w:hyperlink>
      <w:hyperlink r:id="rId31" w:history="1">
        <w:r>
          <w:rPr>
            <w:rFonts w:ascii="arial" w:eastAsia="arial" w:hAnsi="arial" w:cs="arial"/>
            <w:b w:val="0"/>
            <w:i/>
            <w:strike w:val="0"/>
            <w:noProof w:val="0"/>
            <w:color w:val="0077CC"/>
            <w:position w:val="0"/>
            <w:sz w:val="20"/>
            <w:u w:val="single"/>
            <w:vertAlign w:val="baseline"/>
          </w:rPr>
          <w:t>, 138 S. Ct. at 586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39"/>
      <w:bookmarkEnd w:id="57"/>
      <w:r>
        <w:rPr>
          <w:rFonts w:ascii="arial" w:eastAsia="arial" w:hAnsi="arial" w:cs="arial"/>
          <w:b w:val="0"/>
          <w:i w:val="0"/>
          <w:strike w:val="0"/>
          <w:noProof w:val="0"/>
          <w:color w:val="000000"/>
          <w:position w:val="0"/>
          <w:sz w:val="20"/>
          <w:u w:val="none"/>
          <w:vertAlign w:val="baseline"/>
        </w:rPr>
        <w:t xml:space="preserve">If officers satisfy those strictures, the plain view doctrine "allows police officers to seize any contraband in plain view."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(quoting </w:t>
      </w:r>
      <w:hyperlink r:id="rId32" w:history="1">
        <w:r>
          <w:rPr>
            <w:rFonts w:ascii="arial" w:eastAsia="arial" w:hAnsi="arial" w:cs="arial"/>
            <w:b w:val="0"/>
            <w:i/>
            <w:strike w:val="0"/>
            <w:noProof w:val="0"/>
            <w:color w:val="0077CC"/>
            <w:position w:val="0"/>
            <w:sz w:val="20"/>
            <w:u w:val="single"/>
            <w:vertAlign w:val="baseline"/>
          </w:rPr>
          <w:t>United States v. Rodgers</w:t>
        </w:r>
      </w:hyperlink>
      <w:hyperlink r:id="rId32" w:history="1">
        <w:r>
          <w:rPr>
            <w:rFonts w:ascii="arial" w:eastAsia="arial" w:hAnsi="arial" w:cs="arial"/>
            <w:b w:val="0"/>
            <w:i/>
            <w:strike w:val="0"/>
            <w:noProof w:val="0"/>
            <w:color w:val="0077CC"/>
            <w:position w:val="0"/>
            <w:sz w:val="20"/>
            <w:u w:val="single"/>
            <w:vertAlign w:val="baseline"/>
          </w:rPr>
          <w:t>, 924 F.2d 219, 221 (11th Cir. 1991)</w:t>
        </w:r>
      </w:hyperlink>
      <w:r>
        <w:rPr>
          <w:rFonts w:ascii="arial" w:eastAsia="arial" w:hAnsi="arial" w:cs="arial"/>
          <w:b w:val="0"/>
          <w:i w:val="0"/>
          <w:strike w:val="0"/>
          <w:noProof w:val="0"/>
          <w:color w:val="000000"/>
          <w:position w:val="0"/>
          <w:sz w:val="20"/>
          <w:u w:val="none"/>
          <w:vertAlign w:val="baseline"/>
        </w:rPr>
        <w:t xml:space="preserve">). Generally, the plain view doctrine applies when "the police have a warrant to search a given area for specified objects, and in the course of the search come across some other article of incriminating character."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(quoting </w:t>
      </w:r>
      <w:hyperlink r:id="rId16" w:history="1">
        <w:r>
          <w:rPr>
            <w:rFonts w:ascii="arial" w:eastAsia="arial" w:hAnsi="arial" w:cs="arial"/>
            <w:b w:val="0"/>
            <w:i/>
            <w:strike w:val="0"/>
            <w:noProof w:val="0"/>
            <w:color w:val="0077CC"/>
            <w:position w:val="0"/>
            <w:sz w:val="20"/>
            <w:u w:val="single"/>
            <w:vertAlign w:val="baseline"/>
          </w:rPr>
          <w:t>Horton</w:t>
        </w:r>
      </w:hyperlink>
      <w:hyperlink r:id="rId16" w:history="1">
        <w:r>
          <w:rPr>
            <w:rFonts w:ascii="arial" w:eastAsia="arial" w:hAnsi="arial" w:cs="arial"/>
            <w:b w:val="0"/>
            <w:i/>
            <w:strike w:val="0"/>
            <w:noProof w:val="0"/>
            <w:color w:val="0077CC"/>
            <w:position w:val="0"/>
            <w:sz w:val="20"/>
            <w:u w:val="single"/>
            <w:vertAlign w:val="baseline"/>
          </w:rPr>
          <w:t>, 496 U.S. at 135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3" w:history="1">
        <w:r>
          <w:rPr>
            <w:rFonts w:ascii="arial" w:eastAsia="arial" w:hAnsi="arial" w:cs="arial"/>
            <w:b w:val="0"/>
            <w:i/>
            <w:strike w:val="0"/>
            <w:noProof w:val="0"/>
            <w:color w:val="0077CC"/>
            <w:position w:val="0"/>
            <w:sz w:val="20"/>
            <w:u w:val="single"/>
            <w:vertAlign w:val="baseline"/>
          </w:rPr>
          <w:t>Jackson</w:t>
        </w:r>
      </w:hyperlink>
      <w:hyperlink r:id="rId23" w:history="1">
        <w:r>
          <w:rPr>
            <w:rFonts w:ascii="arial" w:eastAsia="arial" w:hAnsi="arial" w:cs="arial"/>
            <w:b w:val="0"/>
            <w:i/>
            <w:strike w:val="0"/>
            <w:noProof w:val="0"/>
            <w:color w:val="0077CC"/>
            <w:position w:val="0"/>
            <w:sz w:val="20"/>
            <w:u w:val="single"/>
            <w:vertAlign w:val="baseline"/>
          </w:rPr>
          <w:t>, 120 F.3d at 1229</w:t>
        </w:r>
      </w:hyperlink>
      <w:r>
        <w:rPr>
          <w:rFonts w:ascii="arial" w:eastAsia="arial" w:hAnsi="arial" w:cs="arial"/>
          <w:b w:val="0"/>
          <w:i w:val="0"/>
          <w:strike w:val="0"/>
          <w:noProof w:val="0"/>
          <w:color w:val="000000"/>
          <w:position w:val="0"/>
          <w:sz w:val="20"/>
          <w:u w:val="none"/>
          <w:vertAlign w:val="baseline"/>
        </w:rPr>
        <w:t xml:space="preserve"> (concluding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officers did not exceed the scope of a search warrant for cocaine when they opened a closet door, found a firearm instead of drugs, and seized it); 2 LaFave,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 4.10(d) ("[T]he fact that prior to the discovery of the named items other incriminating evidence has been found . . . in no way broadens the authority of the police under the search warrant." (footnote omitted) (citing </w:t>
      </w:r>
      <w:hyperlink r:id="rId33" w:history="1">
        <w:r>
          <w:rPr>
            <w:rFonts w:ascii="arial" w:eastAsia="arial" w:hAnsi="arial" w:cs="arial"/>
            <w:b w:val="0"/>
            <w:i/>
            <w:strike w:val="0"/>
            <w:noProof w:val="0"/>
            <w:color w:val="0077CC"/>
            <w:position w:val="0"/>
            <w:sz w:val="20"/>
            <w:u w:val="single"/>
            <w:vertAlign w:val="baseline"/>
          </w:rPr>
          <w:t>United States v. Lazar</w:t>
        </w:r>
      </w:hyperlink>
      <w:hyperlink r:id="rId33" w:history="1">
        <w:r>
          <w:rPr>
            <w:rFonts w:ascii="arial" w:eastAsia="arial" w:hAnsi="arial" w:cs="arial"/>
            <w:b w:val="0"/>
            <w:i/>
            <w:strike w:val="0"/>
            <w:noProof w:val="0"/>
            <w:color w:val="0077CC"/>
            <w:position w:val="0"/>
            <w:sz w:val="20"/>
            <w:u w:val="single"/>
            <w:vertAlign w:val="baseline"/>
          </w:rPr>
          <w:t>, 347 F. Supp. 225, 229 (E.D. Pa. 1972)</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inadvertent</w:t>
      </w:r>
      <w:r>
        <w:rPr>
          <w:rFonts w:ascii="arial" w:eastAsia="arial" w:hAnsi="arial" w:cs="arial"/>
          <w:b w:val="0"/>
          <w:i w:val="0"/>
          <w:strike w:val="0"/>
          <w:noProof w:val="0"/>
          <w:color w:val="000000"/>
          <w:position w:val="0"/>
          <w:sz w:val="20"/>
          <w:u w:val="none"/>
          <w:vertAlign w:val="baseline"/>
        </w:rPr>
        <w:t xml:space="preserve"> discovery of incriminating evidence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specified [items in the warrant] were found allowed seizure of such evidence under th[e] [plain view] doctrine." (emphasis in original)))); </w:t>
      </w:r>
      <w:r>
        <w:rPr>
          <w:rFonts w:ascii="arial" w:eastAsia="arial" w:hAnsi="arial" w:cs="arial"/>
          <w:b w:val="0"/>
          <w:i/>
          <w:strike w:val="0"/>
          <w:noProof w:val="0"/>
          <w:color w:val="000000"/>
          <w:position w:val="0"/>
          <w:sz w:val="20"/>
          <w:u w:val="none"/>
          <w:vertAlign w:val="baseline"/>
        </w:rPr>
        <w:t xml:space="preserve">cf. </w:t>
      </w:r>
      <w:hyperlink r:id="rId16" w:history="1">
        <w:r>
          <w:rPr>
            <w:rFonts w:ascii="arial" w:eastAsia="arial" w:hAnsi="arial" w:cs="arial"/>
            <w:b w:val="0"/>
            <w:i/>
            <w:strike w:val="0"/>
            <w:noProof w:val="0"/>
            <w:color w:val="0077CC"/>
            <w:position w:val="0"/>
            <w:sz w:val="20"/>
            <w:u w:val="single"/>
            <w:vertAlign w:val="baseline"/>
          </w:rPr>
          <w:t>Horton</w:t>
        </w:r>
      </w:hyperlink>
      <w:hyperlink r:id="rId16" w:history="1">
        <w:r>
          <w:rPr>
            <w:rFonts w:ascii="arial" w:eastAsia="arial" w:hAnsi="arial" w:cs="arial"/>
            <w:b w:val="0"/>
            <w:i/>
            <w:strike w:val="0"/>
            <w:noProof w:val="0"/>
            <w:color w:val="0077CC"/>
            <w:position w:val="0"/>
            <w:sz w:val="20"/>
            <w:u w:val="single"/>
            <w:vertAlign w:val="baseline"/>
          </w:rPr>
          <w:t>, 496 U.S. 128 at 139</w:t>
        </w:r>
      </w:hyperlink>
      <w:r>
        <w:rPr>
          <w:rFonts w:ascii="arial" w:eastAsia="arial" w:hAnsi="arial" w:cs="arial"/>
          <w:b w:val="0"/>
          <w:i w:val="0"/>
          <w:strike w:val="0"/>
          <w:noProof w:val="0"/>
          <w:color w:val="000000"/>
          <w:position w:val="0"/>
          <w:sz w:val="20"/>
          <w:u w:val="none"/>
          <w:vertAlign w:val="baseline"/>
        </w:rPr>
        <w:t xml:space="preserve"> ("[I]f [an officer] has a valid warrant to search for one item and merely a suspicion concerning the second, . . . we fail to see why that suspicion should immunize the second item from seizure if it is found during a lawful search for the first.").</w:t>
      </w:r>
    </w:p>
    <w:p>
      <w:pPr>
        <w:keepNext w:val="0"/>
        <w:spacing w:before="200" w:after="0" w:line="260" w:lineRule="atLeast"/>
        <w:ind w:left="0" w:right="0" w:firstLine="0"/>
        <w:jc w:val="both"/>
      </w:pPr>
      <w:bookmarkStart w:id="58" w:name="Bookmark_para_40"/>
      <w:bookmarkEnd w:id="58"/>
      <w:r>
        <w:rPr>
          <w:rFonts w:ascii="arial" w:eastAsia="arial" w:hAnsi="arial" w:cs="arial"/>
          <w:b w:val="0"/>
          <w:i w:val="0"/>
          <w:strike w:val="0"/>
          <w:noProof w:val="0"/>
          <w:color w:val="000000"/>
          <w:position w:val="0"/>
          <w:sz w:val="20"/>
          <w:u w:val="none"/>
          <w:vertAlign w:val="baseline"/>
        </w:rPr>
        <w:t>Law enforcement reasonably would have discovered the .22 rifle hanging on the garage wall in plain view during the execution of the search warrant, even if they did not notice it during the protective sweep. There ensues no issue with the first prong of the plain view analysis: law enforcement sustained both a lawful presence in the garage and lawful access to the .22 rifle due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the search warrant.</w:t>
      </w:r>
    </w:p>
    <w:p>
      <w:pPr>
        <w:keepNext w:val="0"/>
        <w:spacing w:before="240" w:after="0" w:line="260" w:lineRule="atLeast"/>
        <w:ind w:left="0" w:right="0" w:firstLine="0"/>
        <w:jc w:val="both"/>
      </w:pPr>
      <w:bookmarkStart w:id="59" w:name="Bookmark_para_41"/>
      <w:bookmarkEnd w:id="59"/>
      <w:r>
        <w:rPr>
          <w:rFonts w:ascii="arial" w:eastAsia="arial" w:hAnsi="arial" w:cs="arial"/>
          <w:b w:val="0"/>
          <w:i w:val="0"/>
          <w:strike w:val="0"/>
          <w:noProof w:val="0"/>
          <w:color w:val="000000"/>
          <w:position w:val="0"/>
          <w:sz w:val="20"/>
          <w:u w:val="none"/>
          <w:vertAlign w:val="baseline"/>
        </w:rPr>
        <w:t xml:space="preserve">Regarding the second prong, Williams argues that although law enforcement knew he carried a prior felony, the .22 rifle did not have an immediately apparent, incriminating character because at least two other adults and two children resided on the premises. (Doc. 31 at 8). Contrary to Williams's contentions, the other adults present claimed they had no knowledge about the .22 rifle, and the assertion as to the children requires scant consideration. Hence, law enforcement could reasonably believe Williams owned the .22 rifle, and thus, his possession thereof constituted evidence of a crime given his status. </w:t>
      </w:r>
      <w:r>
        <w:rPr>
          <w:rFonts w:ascii="arial" w:eastAsia="arial" w:hAnsi="arial" w:cs="arial"/>
          <w:b w:val="0"/>
          <w:i/>
          <w:strike w:val="0"/>
          <w:noProof w:val="0"/>
          <w:color w:val="000000"/>
          <w:position w:val="0"/>
          <w:sz w:val="20"/>
          <w:u w:val="none"/>
          <w:vertAlign w:val="baseline"/>
        </w:rPr>
        <w:t xml:space="preserve">See </w:t>
      </w:r>
      <w:hyperlink r:id="rId34" w:history="1">
        <w:r>
          <w:rPr>
            <w:rFonts w:ascii="arial" w:eastAsia="arial" w:hAnsi="arial" w:cs="arial"/>
            <w:b w:val="0"/>
            <w:i/>
            <w:strike w:val="0"/>
            <w:noProof w:val="0"/>
            <w:color w:val="0077CC"/>
            <w:position w:val="0"/>
            <w:sz w:val="20"/>
            <w:u w:val="single"/>
            <w:vertAlign w:val="baseline"/>
          </w:rPr>
          <w:t>United States v. Folk</w:t>
        </w:r>
      </w:hyperlink>
      <w:hyperlink r:id="rId34" w:history="1">
        <w:r>
          <w:rPr>
            <w:rFonts w:ascii="arial" w:eastAsia="arial" w:hAnsi="arial" w:cs="arial"/>
            <w:b w:val="0"/>
            <w:i/>
            <w:strike w:val="0"/>
            <w:noProof w:val="0"/>
            <w:color w:val="0077CC"/>
            <w:position w:val="0"/>
            <w:sz w:val="20"/>
            <w:u w:val="single"/>
            <w:vertAlign w:val="baseline"/>
          </w:rPr>
          <w:t>, 754 F.3d 905, 912 (11th Cir. 2014)</w:t>
        </w:r>
      </w:hyperlink>
      <w:r>
        <w:rPr>
          <w:rFonts w:ascii="arial" w:eastAsia="arial" w:hAnsi="arial" w:cs="arial"/>
          <w:b w:val="0"/>
          <w:i w:val="0"/>
          <w:strike w:val="0"/>
          <w:noProof w:val="0"/>
          <w:color w:val="000000"/>
          <w:position w:val="0"/>
          <w:sz w:val="20"/>
          <w:u w:val="none"/>
          <w:vertAlign w:val="baseline"/>
        </w:rPr>
        <w:t xml:space="preserve"> ("A firearm that reasonably appears to be in the possession of a convicted felon qualifies as contraband—and is therefore subject to seizure under the plain view doctrine."). Therefore, law enforcement properly seized the .22 rifle under the plain view doctrine.</w:t>
      </w:r>
    </w:p>
    <w:p>
      <w:pPr>
        <w:keepNext w:val="0"/>
        <w:spacing w:before="200" w:after="0" w:line="260" w:lineRule="atLeast"/>
        <w:ind w:left="0" w:right="0" w:firstLine="0"/>
        <w:jc w:val="both"/>
      </w:pPr>
      <w:bookmarkStart w:id="60" w:name="Bookmark_para_42"/>
      <w:bookmarkEnd w:id="60"/>
      <w:r>
        <w:rPr>
          <w:rFonts w:ascii="arial" w:eastAsia="arial" w:hAnsi="arial" w:cs="arial"/>
          <w:b w:val="0"/>
          <w:i w:val="0"/>
          <w:strike w:val="0"/>
          <w:noProof w:val="0"/>
          <w:color w:val="000000"/>
          <w:position w:val="0"/>
          <w:sz w:val="20"/>
          <w:u w:val="none"/>
          <w:vertAlign w:val="baseline"/>
        </w:rPr>
        <w:t>Williams also contends the discovery of the bag of cocaine found in the master bathroom floor vent resulted from law enforcement exceeding the scope of the warrant. Based upon the undersigned's review of the evidence, law enforcement moved a storage shelf in the master bathroom during the execution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the search warrant. The movement of the storage shelf gave Agent Sangster a direct line of sight into a floor vent containing the bag of cocaine.</w:t>
      </w:r>
    </w:p>
    <w:p>
      <w:pPr>
        <w:keepNext w:val="0"/>
        <w:spacing w:before="200" w:after="0" w:line="260" w:lineRule="atLeast"/>
        <w:ind w:left="0" w:right="0" w:firstLine="0"/>
        <w:jc w:val="both"/>
      </w:pPr>
      <w:bookmarkStart w:id="61" w:name="Bookmark_para_43"/>
      <w:bookmarkEnd w:id="61"/>
      <w:r>
        <w:rPr>
          <w:rFonts w:ascii="arial" w:eastAsia="arial" w:hAnsi="arial" w:cs="arial"/>
          <w:b w:val="0"/>
          <w:i w:val="0"/>
          <w:strike w:val="0"/>
          <w:noProof w:val="0"/>
          <w:color w:val="000000"/>
          <w:position w:val="0"/>
          <w:sz w:val="20"/>
          <w:u w:val="none"/>
          <w:vertAlign w:val="baseline"/>
        </w:rPr>
        <w:t>Because these circumstances resulted in Agent Sangster's discovery of the bagged cocaine, Williams argues law enforcement personnel did not have lawful access to the space behind and below the storage shelf in the master bathroom because they had to move the shelf to access such spaces; they lacked reason to believe they would find any additional evidence behind and below the shelf; and, they did not possess lawful access to the air vent revealed by displacement of the shelf. (Doc. 30 at 13; Doc. 31 at 8). The undersigned disagrees.</w:t>
      </w:r>
    </w:p>
    <w:p>
      <w:pPr>
        <w:keepNext w:val="0"/>
        <w:spacing w:before="240" w:after="0" w:line="260" w:lineRule="atLeast"/>
        <w:ind w:left="0" w:right="0" w:firstLine="0"/>
        <w:jc w:val="both"/>
      </w:pPr>
      <w:bookmarkStart w:id="62" w:name="Bookmark_para_44"/>
      <w:bookmarkEnd w:id="62"/>
      <w:r>
        <w:rPr>
          <w:rFonts w:ascii="arial" w:eastAsia="arial" w:hAnsi="arial" w:cs="arial"/>
          <w:b w:val="0"/>
          <w:i w:val="0"/>
          <w:strike w:val="0"/>
          <w:noProof w:val="0"/>
          <w:color w:val="000000"/>
          <w:position w:val="0"/>
          <w:sz w:val="20"/>
          <w:u w:val="none"/>
          <w:vertAlign w:val="baseline"/>
        </w:rPr>
        <w:t xml:space="preserve">As an initial matter, executing a lawful search does not allow law enforcement personnel to impermissibly move or manipulate items that venture beyond the scope of the search's propriety. </w:t>
      </w:r>
      <w:r>
        <w:rPr>
          <w:rFonts w:ascii="arial" w:eastAsia="arial" w:hAnsi="arial" w:cs="arial"/>
          <w:b w:val="0"/>
          <w:i/>
          <w:strike w:val="0"/>
          <w:noProof w:val="0"/>
          <w:color w:val="000000"/>
          <w:position w:val="0"/>
          <w:sz w:val="20"/>
          <w:u w:val="none"/>
          <w:vertAlign w:val="baseline"/>
        </w:rPr>
        <w:t xml:space="preserve">See </w:t>
      </w:r>
      <w:hyperlink r:id="rId35" w:history="1">
        <w:r>
          <w:rPr>
            <w:rFonts w:ascii="arial" w:eastAsia="arial" w:hAnsi="arial" w:cs="arial"/>
            <w:b w:val="0"/>
            <w:i/>
            <w:strike w:val="0"/>
            <w:noProof w:val="0"/>
            <w:color w:val="0077CC"/>
            <w:position w:val="0"/>
            <w:sz w:val="20"/>
            <w:u w:val="single"/>
            <w:vertAlign w:val="baseline"/>
          </w:rPr>
          <w:t>Arizona v. Hicks</w:t>
        </w:r>
      </w:hyperlink>
      <w:hyperlink r:id="rId35" w:history="1">
        <w:r>
          <w:rPr>
            <w:rFonts w:ascii="arial" w:eastAsia="arial" w:hAnsi="arial" w:cs="arial"/>
            <w:b w:val="0"/>
            <w:i/>
            <w:strike w:val="0"/>
            <w:noProof w:val="0"/>
            <w:color w:val="0077CC"/>
            <w:position w:val="0"/>
            <w:sz w:val="20"/>
            <w:u w:val="single"/>
            <w:vertAlign w:val="baseline"/>
          </w:rPr>
          <w:t>, 480 U.S. 321, 325-328, 107 S. Ct. 1149, 94 L. Ed. 2d 347 (1987)</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Dickerson</w:t>
        </w:r>
      </w:hyperlink>
      <w:hyperlink r:id="rId29" w:history="1">
        <w:r>
          <w:rPr>
            <w:rFonts w:ascii="arial" w:eastAsia="arial" w:hAnsi="arial" w:cs="arial"/>
            <w:b w:val="0"/>
            <w:i/>
            <w:strike w:val="0"/>
            <w:noProof w:val="0"/>
            <w:color w:val="0077CC"/>
            <w:position w:val="0"/>
            <w:sz w:val="20"/>
            <w:u w:val="single"/>
            <w:vertAlign w:val="baseline"/>
          </w:rPr>
          <w:t>, 508 U.S. at 375 (1993)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As provided previously, however, the "permissible scope of a search is governed by the terms of [a] warrant, and the search may be 'as extensive as reasonably required to locate the items described in the warrant.'" </w:t>
      </w:r>
      <w:hyperlink r:id="rId17" w:history="1">
        <w:r>
          <w:rPr>
            <w:rFonts w:ascii="arial" w:eastAsia="arial" w:hAnsi="arial" w:cs="arial"/>
            <w:b w:val="0"/>
            <w:i/>
            <w:strike w:val="0"/>
            <w:noProof w:val="0"/>
            <w:color w:val="0077CC"/>
            <w:position w:val="0"/>
            <w:sz w:val="20"/>
            <w:u w:val="single"/>
            <w:vertAlign w:val="baseline"/>
          </w:rPr>
          <w:t>Moon</w:t>
        </w:r>
      </w:hyperlink>
      <w:hyperlink r:id="rId17" w:history="1">
        <w:r>
          <w:rPr>
            <w:rFonts w:ascii="arial" w:eastAsia="arial" w:hAnsi="arial" w:cs="arial"/>
            <w:b w:val="0"/>
            <w:i/>
            <w:strike w:val="0"/>
            <w:noProof w:val="0"/>
            <w:color w:val="0077CC"/>
            <w:position w:val="0"/>
            <w:sz w:val="20"/>
            <w:u w:val="single"/>
            <w:vertAlign w:val="baseline"/>
          </w:rPr>
          <w:t>, 33 F.4th at 1296</w:t>
        </w:r>
      </w:hyperlink>
      <w:r>
        <w:rPr>
          <w:rFonts w:ascii="arial" w:eastAsia="arial" w:hAnsi="arial" w:cs="arial"/>
          <w:b w:val="0"/>
          <w:i w:val="0"/>
          <w:strike w:val="0"/>
          <w:noProof w:val="0"/>
          <w:color w:val="000000"/>
          <w:position w:val="0"/>
          <w:sz w:val="20"/>
          <w:u w:val="none"/>
          <w:vertAlign w:val="baseline"/>
        </w:rPr>
        <w:t xml:space="preserve"> (quoting </w:t>
      </w:r>
      <w:hyperlink r:id="rId19" w:history="1">
        <w:r>
          <w:rPr>
            <w:rFonts w:ascii="arial" w:eastAsia="arial" w:hAnsi="arial" w:cs="arial"/>
            <w:b w:val="0"/>
            <w:i/>
            <w:strike w:val="0"/>
            <w:noProof w:val="0"/>
            <w:color w:val="0077CC"/>
            <w:position w:val="0"/>
            <w:sz w:val="20"/>
            <w:u w:val="single"/>
            <w:vertAlign w:val="baseline"/>
          </w:rPr>
          <w:t>Wuagneux</w:t>
        </w:r>
      </w:hyperlink>
      <w:hyperlink r:id="rId19" w:history="1">
        <w:r>
          <w:rPr>
            <w:rFonts w:ascii="arial" w:eastAsia="arial" w:hAnsi="arial" w:cs="arial"/>
            <w:b w:val="0"/>
            <w:i/>
            <w:strike w:val="0"/>
            <w:noProof w:val="0"/>
            <w:color w:val="0077CC"/>
            <w:position w:val="0"/>
            <w:sz w:val="20"/>
            <w:u w:val="single"/>
            <w:vertAlign w:val="baseline"/>
          </w:rPr>
          <w:t>, 683 at 1352</w:t>
        </w:r>
      </w:hyperlink>
      <w:r>
        <w:rPr>
          <w:rFonts w:ascii="arial" w:eastAsia="arial" w:hAnsi="arial" w:cs="arial"/>
          <w:b w:val="0"/>
          <w:i w:val="0"/>
          <w:strike w:val="0"/>
          <w:noProof w:val="0"/>
          <w:color w:val="000000"/>
          <w:position w:val="0"/>
          <w:sz w:val="20"/>
          <w:u w:val="none"/>
          <w:vertAlign w:val="baseline"/>
        </w:rPr>
        <w:t>). Therefore, the reasonableness of a search's scope in this regard pivots on whether it is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confined to the area capable of concealing the objects of the search. </w:t>
      </w:r>
      <w:r>
        <w:rPr>
          <w:rFonts w:ascii="arial" w:eastAsia="arial" w:hAnsi="arial" w:cs="arial"/>
          <w:b w:val="0"/>
          <w:i/>
          <w:strike w:val="0"/>
          <w:noProof w:val="0"/>
          <w:color w:val="000000"/>
          <w:position w:val="0"/>
          <w:sz w:val="20"/>
          <w:u w:val="none"/>
          <w:vertAlign w:val="baseline"/>
        </w:rPr>
        <w:t xml:space="preserve">See, e.g., </w:t>
      </w:r>
      <w:hyperlink r:id="rId36" w:history="1">
        <w:r>
          <w:rPr>
            <w:rFonts w:ascii="arial" w:eastAsia="arial" w:hAnsi="arial" w:cs="arial"/>
            <w:b w:val="0"/>
            <w:i/>
            <w:strike w:val="0"/>
            <w:noProof w:val="0"/>
            <w:color w:val="0077CC"/>
            <w:position w:val="0"/>
            <w:sz w:val="20"/>
            <w:u w:val="single"/>
            <w:vertAlign w:val="baseline"/>
          </w:rPr>
          <w:t>Wyoming v. Houghton</w:t>
        </w:r>
      </w:hyperlink>
      <w:hyperlink r:id="rId36" w:history="1">
        <w:r>
          <w:rPr>
            <w:rFonts w:ascii="arial" w:eastAsia="arial" w:hAnsi="arial" w:cs="arial"/>
            <w:b w:val="0"/>
            <w:i/>
            <w:strike w:val="0"/>
            <w:noProof w:val="0"/>
            <w:color w:val="0077CC"/>
            <w:position w:val="0"/>
            <w:sz w:val="20"/>
            <w:u w:val="single"/>
            <w:vertAlign w:val="baseline"/>
          </w:rPr>
          <w:t>, 526 U.S. 295, 307, 119 S. Ct. 1297, 143 L. Ed. 2d 408 (1999)</w:t>
        </w:r>
      </w:hyperlink>
      <w:r>
        <w:rPr>
          <w:rFonts w:ascii="arial" w:eastAsia="arial" w:hAnsi="arial" w:cs="arial"/>
          <w:b w:val="0"/>
          <w:i w:val="0"/>
          <w:strike w:val="0"/>
          <w:noProof w:val="0"/>
          <w:color w:val="000000"/>
          <w:position w:val="0"/>
          <w:sz w:val="20"/>
          <w:u w:val="none"/>
          <w:vertAlign w:val="baseline"/>
        </w:rPr>
        <w:t xml:space="preserve"> (holding police officers "may inspect passengers' belongings found in the car that are capable of concealing the object of the search"); </w:t>
      </w:r>
      <w:hyperlink r:id="rId37" w:history="1">
        <w:r>
          <w:rPr>
            <w:rFonts w:ascii="arial" w:eastAsia="arial" w:hAnsi="arial" w:cs="arial"/>
            <w:b w:val="0"/>
            <w:i/>
            <w:strike w:val="0"/>
            <w:noProof w:val="0"/>
            <w:color w:val="0077CC"/>
            <w:position w:val="0"/>
            <w:sz w:val="20"/>
            <w:u w:val="single"/>
            <w:vertAlign w:val="baseline"/>
          </w:rPr>
          <w:t>Florida v. Jimeno</w:t>
        </w:r>
      </w:hyperlink>
      <w:hyperlink r:id="rId37" w:history="1">
        <w:r>
          <w:rPr>
            <w:rFonts w:ascii="arial" w:eastAsia="arial" w:hAnsi="arial" w:cs="arial"/>
            <w:b w:val="0"/>
            <w:i/>
            <w:strike w:val="0"/>
            <w:noProof w:val="0"/>
            <w:color w:val="0077CC"/>
            <w:position w:val="0"/>
            <w:sz w:val="20"/>
            <w:u w:val="single"/>
            <w:vertAlign w:val="baseline"/>
          </w:rPr>
          <w:t>, 500 U.S. 248, 251, 111 S. Ct. 1801, 114 L. Ed. 2d 297 (1991)</w:t>
        </w:r>
      </w:hyperlink>
      <w:r>
        <w:rPr>
          <w:rFonts w:ascii="arial" w:eastAsia="arial" w:hAnsi="arial" w:cs="arial"/>
          <w:b w:val="0"/>
          <w:i w:val="0"/>
          <w:strike w:val="0"/>
          <w:noProof w:val="0"/>
          <w:color w:val="000000"/>
          <w:position w:val="0"/>
          <w:sz w:val="20"/>
          <w:u w:val="none"/>
          <w:vertAlign w:val="baseline"/>
        </w:rPr>
        <w:t xml:space="preserve"> ("The scope of a search is generally defined by its expressed object"); </w:t>
      </w:r>
      <w:hyperlink r:id="rId38" w:history="1">
        <w:r>
          <w:rPr>
            <w:rFonts w:ascii="arial" w:eastAsia="arial" w:hAnsi="arial" w:cs="arial"/>
            <w:b w:val="0"/>
            <w:i/>
            <w:strike w:val="0"/>
            <w:noProof w:val="0"/>
            <w:color w:val="0077CC"/>
            <w:position w:val="0"/>
            <w:sz w:val="20"/>
            <w:u w:val="single"/>
            <w:vertAlign w:val="baseline"/>
          </w:rPr>
          <w:t>United States v. Johns</w:t>
        </w:r>
      </w:hyperlink>
      <w:hyperlink r:id="rId38" w:history="1">
        <w:r>
          <w:rPr>
            <w:rFonts w:ascii="arial" w:eastAsia="arial" w:hAnsi="arial" w:cs="arial"/>
            <w:b w:val="0"/>
            <w:i/>
            <w:strike w:val="0"/>
            <w:noProof w:val="0"/>
            <w:color w:val="0077CC"/>
            <w:position w:val="0"/>
            <w:sz w:val="20"/>
            <w:u w:val="single"/>
            <w:vertAlign w:val="baseline"/>
          </w:rPr>
          <w:t>, 469 U.S. 478, 487, 105 S. Ct. 881, 83 L. Ed. 2d 890 (1985)</w:t>
        </w:r>
      </w:hyperlink>
      <w:r>
        <w:rPr>
          <w:rFonts w:ascii="arial" w:eastAsia="arial" w:hAnsi="arial" w:cs="arial"/>
          <w:b w:val="0"/>
          <w:i w:val="0"/>
          <w:strike w:val="0"/>
          <w:noProof w:val="0"/>
          <w:color w:val="000000"/>
          <w:position w:val="0"/>
          <w:sz w:val="20"/>
          <w:u w:val="none"/>
          <w:vertAlign w:val="baseline"/>
        </w:rPr>
        <w:t xml:space="preserve"> (finding a search reasonable because "there is no plausible argument that the object of the search could not have been concealed in the packages"); </w:t>
      </w:r>
      <w:hyperlink r:id="rId20" w:history="1">
        <w:r>
          <w:rPr>
            <w:rFonts w:ascii="arial" w:eastAsia="arial" w:hAnsi="arial" w:cs="arial"/>
            <w:b w:val="0"/>
            <w:i/>
            <w:strike w:val="0"/>
            <w:noProof w:val="0"/>
            <w:color w:val="0077CC"/>
            <w:position w:val="0"/>
            <w:sz w:val="20"/>
            <w:u w:val="single"/>
            <w:vertAlign w:val="baseline"/>
          </w:rPr>
          <w:t>Ross</w:t>
        </w:r>
      </w:hyperlink>
      <w:hyperlink r:id="rId20" w:history="1">
        <w:r>
          <w:rPr>
            <w:rFonts w:ascii="arial" w:eastAsia="arial" w:hAnsi="arial" w:cs="arial"/>
            <w:b w:val="0"/>
            <w:i/>
            <w:strike w:val="0"/>
            <w:noProof w:val="0"/>
            <w:color w:val="0077CC"/>
            <w:position w:val="0"/>
            <w:sz w:val="20"/>
            <w:u w:val="single"/>
            <w:vertAlign w:val="baseline"/>
          </w:rPr>
          <w:t>, 456 U.S. at 820</w:t>
        </w:r>
      </w:hyperlink>
      <w:r>
        <w:rPr>
          <w:rFonts w:ascii="arial" w:eastAsia="arial" w:hAnsi="arial" w:cs="arial"/>
          <w:b w:val="0"/>
          <w:i w:val="0"/>
          <w:strike w:val="0"/>
          <w:noProof w:val="0"/>
          <w:color w:val="000000"/>
          <w:position w:val="0"/>
          <w:sz w:val="20"/>
          <w:u w:val="none"/>
          <w:vertAlign w:val="baseline"/>
        </w:rPr>
        <w:t xml:space="preserve"> ("A lawful search of fixed premises generally extends to the entire area in which the object of the search may be found." </w:t>
      </w:r>
      <w:hyperlink r:id="rId20" w:history="1">
        <w:r>
          <w:rPr>
            <w:rFonts w:ascii="arial" w:eastAsia="arial" w:hAnsi="arial" w:cs="arial"/>
            <w:b w:val="0"/>
            <w:i/>
            <w:strike w:val="0"/>
            <w:noProof w:val="0"/>
            <w:color w:val="0077CC"/>
            <w:position w:val="0"/>
            <w:sz w:val="20"/>
            <w:u w:val="single"/>
            <w:vertAlign w:val="baseline"/>
          </w:rPr>
          <w:t>Ross</w:t>
        </w:r>
      </w:hyperlink>
      <w:hyperlink r:id="rId20" w:history="1">
        <w:r>
          <w:rPr>
            <w:rFonts w:ascii="arial" w:eastAsia="arial" w:hAnsi="arial" w:cs="arial"/>
            <w:b w:val="0"/>
            <w:i/>
            <w:strike w:val="0"/>
            <w:noProof w:val="0"/>
            <w:color w:val="0077CC"/>
            <w:position w:val="0"/>
            <w:sz w:val="20"/>
            <w:u w:val="single"/>
            <w:vertAlign w:val="baseline"/>
          </w:rPr>
          <w:t>, 456 U.S. at 820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("Thus, a warrant that authorizes an officer to search a home for illegal weapons also provides authority to open closets, chests, drawers, and containers in which the weapon might be found."); </w:t>
      </w:r>
      <w:hyperlink r:id="rId16" w:history="1">
        <w:r>
          <w:rPr>
            <w:rFonts w:ascii="arial" w:eastAsia="arial" w:hAnsi="arial" w:cs="arial"/>
            <w:b w:val="0"/>
            <w:i/>
            <w:strike w:val="0"/>
            <w:noProof w:val="0"/>
            <w:color w:val="0077CC"/>
            <w:position w:val="0"/>
            <w:sz w:val="20"/>
            <w:u w:val="single"/>
            <w:vertAlign w:val="baseline"/>
          </w:rPr>
          <w:t>Horton</w:t>
        </w:r>
      </w:hyperlink>
      <w:hyperlink r:id="rId16" w:history="1">
        <w:r>
          <w:rPr>
            <w:rFonts w:ascii="arial" w:eastAsia="arial" w:hAnsi="arial" w:cs="arial"/>
            <w:b w:val="0"/>
            <w:i/>
            <w:strike w:val="0"/>
            <w:noProof w:val="0"/>
            <w:color w:val="0077CC"/>
            <w:position w:val="0"/>
            <w:sz w:val="20"/>
            <w:u w:val="single"/>
            <w:vertAlign w:val="baseline"/>
          </w:rPr>
          <w:t>, 496 U.S. at 141</w:t>
        </w:r>
      </w:hyperlink>
      <w:r>
        <w:rPr>
          <w:rFonts w:ascii="arial" w:eastAsia="arial" w:hAnsi="arial" w:cs="arial"/>
          <w:b w:val="0"/>
          <w:i w:val="0"/>
          <w:strike w:val="0"/>
          <w:noProof w:val="0"/>
          <w:color w:val="000000"/>
          <w:position w:val="0"/>
          <w:sz w:val="20"/>
          <w:u w:val="none"/>
          <w:vertAlign w:val="baseline"/>
        </w:rPr>
        <w:t xml:space="preserve"> ("Police with a warrant for a rifle may search only places where rifles might be . . . ." (internal quotation marks omitted) (quoting </w:t>
      </w:r>
      <w:hyperlink r:id="rId21" w:history="1">
        <w:r>
          <w:rPr>
            <w:rFonts w:ascii="arial" w:eastAsia="arial" w:hAnsi="arial" w:cs="arial"/>
            <w:b w:val="0"/>
            <w:i/>
            <w:strike w:val="0"/>
            <w:noProof w:val="0"/>
            <w:color w:val="0077CC"/>
            <w:position w:val="0"/>
            <w:sz w:val="20"/>
            <w:u w:val="single"/>
            <w:vertAlign w:val="baseline"/>
          </w:rPr>
          <w:t>Coolidge v. New Hampshire</w:t>
        </w:r>
      </w:hyperlink>
      <w:hyperlink r:id="rId21" w:history="1">
        <w:r>
          <w:rPr>
            <w:rFonts w:ascii="arial" w:eastAsia="arial" w:hAnsi="arial" w:cs="arial"/>
            <w:b w:val="0"/>
            <w:i/>
            <w:strike w:val="0"/>
            <w:noProof w:val="0"/>
            <w:color w:val="0077CC"/>
            <w:position w:val="0"/>
            <w:sz w:val="20"/>
            <w:u w:val="single"/>
            <w:vertAlign w:val="baseline"/>
          </w:rPr>
          <w:t>, 403 U.S. 443, 517, 91 S. Ct. 2022, 29 L. Ed. 2d 564 (1971)</w:t>
        </w:r>
      </w:hyperlink>
      <w:r>
        <w:rPr>
          <w:rFonts w:ascii="arial" w:eastAsia="arial" w:hAnsi="arial" w:cs="arial"/>
          <w:b w:val="0"/>
          <w:i w:val="0"/>
          <w:strike w:val="0"/>
          <w:noProof w:val="0"/>
          <w:color w:val="000000"/>
          <w:position w:val="0"/>
          <w:sz w:val="20"/>
          <w:u w:val="none"/>
          <w:vertAlign w:val="baseline"/>
        </w:rPr>
        <w:t xml:space="preserve"> (White, J., concurring and dissenting))); </w:t>
      </w:r>
      <w:r>
        <w:rPr>
          <w:rFonts w:ascii="arial" w:eastAsia="arial" w:hAnsi="arial" w:cs="arial"/>
          <w:b w:val="0"/>
          <w:i/>
          <w:strike w:val="0"/>
          <w:noProof w:val="0"/>
          <w:color w:val="000000"/>
          <w:position w:val="0"/>
          <w:sz w:val="20"/>
          <w:u w:val="none"/>
          <w:vertAlign w:val="baseline"/>
        </w:rPr>
        <w:t xml:space="preserve">cf. </w:t>
      </w:r>
      <w:hyperlink r:id="rId20" w:history="1">
        <w:r>
          <w:rPr>
            <w:rFonts w:ascii="arial" w:eastAsia="arial" w:hAnsi="arial" w:cs="arial"/>
            <w:b w:val="0"/>
            <w:i/>
            <w:strike w:val="0"/>
            <w:noProof w:val="0"/>
            <w:color w:val="0077CC"/>
            <w:position w:val="0"/>
            <w:sz w:val="20"/>
            <w:u w:val="single"/>
            <w:vertAlign w:val="baseline"/>
          </w:rPr>
          <w:t>Ross</w:t>
        </w:r>
      </w:hyperlink>
      <w:hyperlink r:id="rId20" w:history="1">
        <w:r>
          <w:rPr>
            <w:rFonts w:ascii="arial" w:eastAsia="arial" w:hAnsi="arial" w:cs="arial"/>
            <w:b w:val="0"/>
            <w:i/>
            <w:strike w:val="0"/>
            <w:noProof w:val="0"/>
            <w:color w:val="0077CC"/>
            <w:position w:val="0"/>
            <w:sz w:val="20"/>
            <w:u w:val="single"/>
            <w:vertAlign w:val="baseline"/>
          </w:rPr>
          <w:t>, 456 U.S. at 820</w:t>
        </w:r>
      </w:hyperlink>
      <w:r>
        <w:rPr>
          <w:rFonts w:ascii="arial" w:eastAsia="arial" w:hAnsi="arial" w:cs="arial"/>
          <w:b w:val="0"/>
          <w:i w:val="0"/>
          <w:strike w:val="0"/>
          <w:noProof w:val="0"/>
          <w:color w:val="000000"/>
          <w:position w:val="0"/>
          <w:sz w:val="20"/>
          <w:u w:val="none"/>
          <w:vertAlign w:val="baseline"/>
        </w:rPr>
        <w:t xml:space="preserve"> ("If probable cause justifies the search of a lawfully stopped vehicle, it justifies the search of every part of the vehicle and its contents that may conceal the object of the search.").</w:t>
      </w:r>
    </w:p>
    <w:p>
      <w:pPr>
        <w:keepNext w:val="0"/>
        <w:spacing w:before="200" w:after="0" w:line="260" w:lineRule="atLeast"/>
        <w:ind w:left="0" w:right="0" w:firstLine="0"/>
        <w:jc w:val="both"/>
      </w:pPr>
      <w:bookmarkStart w:id="64" w:name="Bookmark_para_45"/>
      <w:bookmarkEnd w:id="64"/>
      <w:r>
        <w:rPr>
          <w:rFonts w:ascii="arial" w:eastAsia="arial" w:hAnsi="arial" w:cs="arial"/>
          <w:b w:val="0"/>
          <w:i w:val="0"/>
          <w:strike w:val="0"/>
          <w:noProof w:val="0"/>
          <w:color w:val="000000"/>
          <w:position w:val="0"/>
          <w:sz w:val="20"/>
          <w:u w:val="none"/>
          <w:vertAlign w:val="baseline"/>
        </w:rPr>
        <w:t xml:space="preserve">To be sure, a portion of the Supreme Court's </w:t>
      </w:r>
      <w:r>
        <w:rPr>
          <w:rFonts w:ascii="arial" w:eastAsia="arial" w:hAnsi="arial" w:cs="arial"/>
          <w:b w:val="0"/>
          <w:i/>
          <w:strike w:val="0"/>
          <w:noProof w:val="0"/>
          <w:color w:val="000000"/>
          <w:position w:val="0"/>
          <w:sz w:val="20"/>
          <w:u w:val="none"/>
          <w:vertAlign w:val="baseline"/>
        </w:rPr>
        <w:t>Ross</w:t>
      </w:r>
      <w:r>
        <w:rPr>
          <w:rFonts w:ascii="arial" w:eastAsia="arial" w:hAnsi="arial" w:cs="arial"/>
          <w:b w:val="0"/>
          <w:i w:val="0"/>
          <w:strike w:val="0"/>
          <w:noProof w:val="0"/>
          <w:color w:val="000000"/>
          <w:position w:val="0"/>
          <w:sz w:val="20"/>
          <w:u w:val="none"/>
          <w:vertAlign w:val="baseline"/>
        </w:rPr>
        <w:t xml:space="preserve"> decision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invites consideration whether the scope of a search encompasses discernment whether an individual may have reasonably placed a targeted object in a particular area: the scope of a search "is defined by the object of the search and the places in which there is probable cause to believe that it may be found." </w:t>
      </w:r>
      <w:hyperlink r:id="rId20" w:history="1">
        <w:r>
          <w:rPr>
            <w:rFonts w:ascii="arial" w:eastAsia="arial" w:hAnsi="arial" w:cs="arial"/>
            <w:b w:val="0"/>
            <w:i/>
            <w:strike w:val="0"/>
            <w:noProof w:val="0"/>
            <w:color w:val="0077CC"/>
            <w:position w:val="0"/>
            <w:sz w:val="20"/>
            <w:u w:val="single"/>
            <w:vertAlign w:val="baseline"/>
          </w:rPr>
          <w:t>Ross</w:t>
        </w:r>
      </w:hyperlink>
      <w:hyperlink r:id="rId20" w:history="1">
        <w:r>
          <w:rPr>
            <w:rFonts w:ascii="arial" w:eastAsia="arial" w:hAnsi="arial" w:cs="arial"/>
            <w:b w:val="0"/>
            <w:i/>
            <w:strike w:val="0"/>
            <w:noProof w:val="0"/>
            <w:color w:val="0077CC"/>
            <w:position w:val="0"/>
            <w:sz w:val="20"/>
            <w:u w:val="single"/>
            <w:vertAlign w:val="baseline"/>
          </w:rPr>
          <w:t>, 456 U.S. at 824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39" w:history="1">
        <w:r>
          <w:rPr>
            <w:rFonts w:ascii="arial" w:eastAsia="arial" w:hAnsi="arial" w:cs="arial"/>
            <w:b w:val="0"/>
            <w:i/>
            <w:strike w:val="0"/>
            <w:noProof w:val="0"/>
            <w:color w:val="0077CC"/>
            <w:position w:val="0"/>
            <w:sz w:val="20"/>
            <w:u w:val="single"/>
            <w:vertAlign w:val="baseline"/>
          </w:rPr>
          <w:t>United States v. Jones</w:t>
        </w:r>
      </w:hyperlink>
      <w:hyperlink r:id="rId39" w:history="1">
        <w:r>
          <w:rPr>
            <w:rFonts w:ascii="arial" w:eastAsia="arial" w:hAnsi="arial" w:cs="arial"/>
            <w:b w:val="0"/>
            <w:i/>
            <w:strike w:val="0"/>
            <w:noProof w:val="0"/>
            <w:color w:val="0077CC"/>
            <w:position w:val="0"/>
            <w:sz w:val="20"/>
            <w:u w:val="single"/>
            <w:vertAlign w:val="baseline"/>
          </w:rPr>
          <w:t>, 952 F.3d 153, 158-59 (4th Cir. 2020)</w:t>
        </w:r>
      </w:hyperlink>
      <w:r>
        <w:rPr>
          <w:rFonts w:ascii="arial" w:eastAsia="arial" w:hAnsi="arial" w:cs="arial"/>
          <w:b w:val="0"/>
          <w:i w:val="0"/>
          <w:strike w:val="0"/>
          <w:noProof w:val="0"/>
          <w:color w:val="000000"/>
          <w:position w:val="0"/>
          <w:sz w:val="20"/>
          <w:u w:val="none"/>
          <w:vertAlign w:val="baseline"/>
        </w:rPr>
        <w:t xml:space="preserve"> ("The geographical scope of a warrant complies with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in light of 'common-sense conclusions about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behavior,' . . . there is a 'fair probability that contraband or evidence of a crime' will be found in the areas delineated by the warrant . . . ." (citations omitted)).</w:t>
      </w:r>
    </w:p>
    <w:p>
      <w:pPr>
        <w:keepNext w:val="0"/>
        <w:spacing w:before="240" w:after="0" w:line="260" w:lineRule="atLeast"/>
        <w:ind w:left="0" w:right="0" w:firstLine="0"/>
        <w:jc w:val="both"/>
      </w:pPr>
      <w:bookmarkStart w:id="65" w:name="Bookmark_para_46"/>
      <w:bookmarkEnd w:id="65"/>
      <w:r>
        <w:rPr>
          <w:rFonts w:ascii="arial" w:eastAsia="arial" w:hAnsi="arial" w:cs="arial"/>
          <w:b w:val="0"/>
          <w:i w:val="0"/>
          <w:strike w:val="0"/>
          <w:noProof w:val="0"/>
          <w:color w:val="000000"/>
          <w:position w:val="0"/>
          <w:sz w:val="20"/>
          <w:u w:val="none"/>
          <w:vertAlign w:val="baseline"/>
        </w:rPr>
        <w:t xml:space="preserve">No such limitation persists, however, as evidenced by the Supreme Court's extensive review of </w:t>
      </w:r>
      <w:r>
        <w:rPr>
          <w:rFonts w:ascii="arial" w:eastAsia="arial" w:hAnsi="arial" w:cs="arial"/>
          <w:b w:val="0"/>
          <w:i/>
          <w:strike w:val="0"/>
          <w:noProof w:val="0"/>
          <w:color w:val="000000"/>
          <w:position w:val="0"/>
          <w:sz w:val="20"/>
          <w:u w:val="none"/>
          <w:vertAlign w:val="baseline"/>
        </w:rPr>
        <w:t>Ross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 xml:space="preserve">Wyoming v. Houghton. See </w:t>
      </w:r>
      <w:hyperlink r:id="rId36" w:history="1">
        <w:r>
          <w:rPr>
            <w:rFonts w:ascii="arial" w:eastAsia="arial" w:hAnsi="arial" w:cs="arial"/>
            <w:b w:val="0"/>
            <w:i/>
            <w:strike w:val="0"/>
            <w:noProof w:val="0"/>
            <w:color w:val="0077CC"/>
            <w:position w:val="0"/>
            <w:sz w:val="20"/>
            <w:u w:val="single"/>
            <w:vertAlign w:val="baseline"/>
          </w:rPr>
          <w:t>Houghton</w:t>
        </w:r>
      </w:hyperlink>
      <w:hyperlink r:id="rId36" w:history="1">
        <w:r>
          <w:rPr>
            <w:rFonts w:ascii="arial" w:eastAsia="arial" w:hAnsi="arial" w:cs="arial"/>
            <w:b w:val="0"/>
            <w:i/>
            <w:strike w:val="0"/>
            <w:noProof w:val="0"/>
            <w:color w:val="0077CC"/>
            <w:position w:val="0"/>
            <w:sz w:val="20"/>
            <w:u w:val="single"/>
            <w:vertAlign w:val="baseline"/>
          </w:rPr>
          <w:t>, 526 U.S. at 301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Ross</w:t>
      </w:r>
      <w:r>
        <w:rPr>
          <w:rFonts w:ascii="arial" w:eastAsia="arial" w:hAnsi="arial" w:cs="arial"/>
          <w:b w:val="0"/>
          <w:i w:val="0"/>
          <w:strike w:val="0"/>
          <w:noProof w:val="0"/>
          <w:color w:val="000000"/>
          <w:position w:val="0"/>
          <w:sz w:val="20"/>
          <w:u w:val="none"/>
          <w:vertAlign w:val="baseline"/>
        </w:rPr>
        <w:t xml:space="preserve"> summarized its holding as follows: 'If probable cause justifies the search of a lawfully stopped vehicle, it justifies the search of </w:t>
      </w:r>
      <w:r>
        <w:rPr>
          <w:rFonts w:ascii="arial" w:eastAsia="arial" w:hAnsi="arial" w:cs="arial"/>
          <w:b w:val="0"/>
          <w:i/>
          <w:strike w:val="0"/>
          <w:noProof w:val="0"/>
          <w:color w:val="000000"/>
          <w:position w:val="0"/>
          <w:sz w:val="20"/>
          <w:u w:val="none"/>
          <w:vertAlign w:val="baseline"/>
        </w:rPr>
        <w:t>every part of the vehicle and its contents</w:t>
      </w:r>
      <w:r>
        <w:rPr>
          <w:rFonts w:ascii="arial" w:eastAsia="arial" w:hAnsi="arial" w:cs="arial"/>
          <w:b w:val="0"/>
          <w:i w:val="0"/>
          <w:strike w:val="0"/>
          <w:noProof w:val="0"/>
          <w:color w:val="000000"/>
          <w:position w:val="0"/>
          <w:sz w:val="20"/>
          <w:u w:val="none"/>
          <w:vertAlign w:val="baseline"/>
        </w:rPr>
        <w:t xml:space="preserve"> that may conceal the object of the search.'" (emphasis in original) (quoting </w:t>
      </w:r>
      <w:hyperlink r:id="rId20" w:history="1">
        <w:r>
          <w:rPr>
            <w:rFonts w:ascii="arial" w:eastAsia="arial" w:hAnsi="arial" w:cs="arial"/>
            <w:b w:val="0"/>
            <w:i/>
            <w:strike w:val="0"/>
            <w:noProof w:val="0"/>
            <w:color w:val="0077CC"/>
            <w:position w:val="0"/>
            <w:sz w:val="20"/>
            <w:u w:val="single"/>
            <w:vertAlign w:val="baseline"/>
          </w:rPr>
          <w:t>Ross</w:t>
        </w:r>
      </w:hyperlink>
      <w:hyperlink r:id="rId20" w:history="1">
        <w:r>
          <w:rPr>
            <w:rFonts w:ascii="arial" w:eastAsia="arial" w:hAnsi="arial" w:cs="arial"/>
            <w:b w:val="0"/>
            <w:i/>
            <w:strike w:val="0"/>
            <w:noProof w:val="0"/>
            <w:color w:val="0077CC"/>
            <w:position w:val="0"/>
            <w:sz w:val="20"/>
            <w:u w:val="single"/>
            <w:vertAlign w:val="baseline"/>
          </w:rPr>
          <w:t>, 456 U.S. at 825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302</w:t>
        </w:r>
      </w:hyperlink>
      <w:r>
        <w:rPr>
          <w:rFonts w:ascii="arial" w:eastAsia="arial" w:hAnsi="arial" w:cs="arial"/>
          <w:b w:val="0"/>
          <w:i w:val="0"/>
          <w:strike w:val="0"/>
          <w:noProof w:val="0"/>
          <w:color w:val="000000"/>
          <w:position w:val="0"/>
          <w:sz w:val="20"/>
          <w:u w:val="none"/>
          <w:vertAlign w:val="baseline"/>
        </w:rPr>
        <w:t xml:space="preserve"> ("The critical element in a reasonable search is not that the owner of the property is suspected of crime but that there is reasonable cause to believe that the specific 'things' to be searched for and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seized are located on the property to which entry is sought.'" (quoting </w:t>
      </w:r>
      <w:hyperlink r:id="rId40" w:history="1">
        <w:r>
          <w:rPr>
            <w:rFonts w:ascii="arial" w:eastAsia="arial" w:hAnsi="arial" w:cs="arial"/>
            <w:b w:val="0"/>
            <w:i/>
            <w:strike w:val="0"/>
            <w:noProof w:val="0"/>
            <w:color w:val="0077CC"/>
            <w:position w:val="0"/>
            <w:sz w:val="20"/>
            <w:u w:val="single"/>
            <w:vertAlign w:val="baseline"/>
          </w:rPr>
          <w:t>Zurcher v. Stanford Daily</w:t>
        </w:r>
      </w:hyperlink>
      <w:hyperlink r:id="rId40" w:history="1">
        <w:r>
          <w:rPr>
            <w:rFonts w:ascii="arial" w:eastAsia="arial" w:hAnsi="arial" w:cs="arial"/>
            <w:b w:val="0"/>
            <w:i/>
            <w:strike w:val="0"/>
            <w:noProof w:val="0"/>
            <w:color w:val="0077CC"/>
            <w:position w:val="0"/>
            <w:sz w:val="20"/>
            <w:u w:val="single"/>
            <w:vertAlign w:val="baseline"/>
          </w:rPr>
          <w:t>, 436 U.S. 547, 556, 98 S. Ct. 1970, 56 L. Ed. 2d 525 (1978)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0" w:history="1">
        <w:r>
          <w:rPr>
            <w:rFonts w:ascii="arial" w:eastAsia="arial" w:hAnsi="arial" w:cs="arial"/>
            <w:b w:val="0"/>
            <w:i/>
            <w:strike w:val="0"/>
            <w:noProof w:val="0"/>
            <w:color w:val="0077CC"/>
            <w:position w:val="0"/>
            <w:sz w:val="20"/>
            <w:u w:val="single"/>
            <w:vertAlign w:val="baseline"/>
          </w:rPr>
          <w:t>Ross</w:t>
        </w:r>
      </w:hyperlink>
      <w:hyperlink r:id="rId20" w:history="1">
        <w:r>
          <w:rPr>
            <w:rFonts w:ascii="arial" w:eastAsia="arial" w:hAnsi="arial" w:cs="arial"/>
            <w:b w:val="0"/>
            <w:i/>
            <w:strike w:val="0"/>
            <w:noProof w:val="0"/>
            <w:color w:val="0077CC"/>
            <w:position w:val="0"/>
            <w:sz w:val="20"/>
            <w:u w:val="single"/>
            <w:vertAlign w:val="baseline"/>
          </w:rPr>
          <w:t>, 456 U.S. at 821 n.27</w:t>
        </w:r>
      </w:hyperlink>
      <w:r>
        <w:rPr>
          <w:rFonts w:ascii="arial" w:eastAsia="arial" w:hAnsi="arial" w:cs="arial"/>
          <w:b w:val="0"/>
          <w:i w:val="0"/>
          <w:strike w:val="0"/>
          <w:noProof w:val="0"/>
          <w:color w:val="000000"/>
          <w:position w:val="0"/>
          <w:sz w:val="20"/>
          <w:u w:val="none"/>
          <w:vertAlign w:val="baseline"/>
        </w:rPr>
        <w:t xml:space="preserve"> ("In describing the permissible scope of a search of a home pursuant to a warrant, Professor LaFave notes: 'Places within the described premises are not excluded merely because some additional act of entry or opening may be required. 'In countless cases in which warrants described only the land and the buildings, a search of desks, cabinets, closets and similar items has been permitted.' 2 W. LaFave, Search and Seizure 152 (1978) . . . .").</w:t>
      </w:r>
    </w:p>
    <w:p>
      <w:pPr>
        <w:keepNext w:val="0"/>
        <w:spacing w:before="200" w:after="0" w:line="260" w:lineRule="atLeast"/>
        <w:ind w:left="0" w:right="0" w:firstLine="0"/>
        <w:jc w:val="both"/>
      </w:pPr>
      <w:bookmarkStart w:id="66" w:name="Bookmark_para_47"/>
      <w:bookmarkEnd w:id="66"/>
      <w:r>
        <w:rPr>
          <w:rFonts w:ascii="arial" w:eastAsia="arial" w:hAnsi="arial" w:cs="arial"/>
          <w:b w:val="0"/>
          <w:i w:val="0"/>
          <w:strike w:val="0"/>
          <w:noProof w:val="0"/>
          <w:color w:val="000000"/>
          <w:position w:val="0"/>
          <w:sz w:val="20"/>
          <w:u w:val="none"/>
          <w:vertAlign w:val="baseline"/>
        </w:rPr>
        <w:t>In particular, the Court discerned from the early history of the nation, as applicable to the circumstances considered, that once officials established probable cause to search a premises, they generally did not have to establish probable cause to search areas within the premises capable of containing the objects of the search:</w:t>
      </w:r>
    </w:p>
    <w:p>
      <w:pPr>
        <w:keepNext w:val="0"/>
        <w:spacing w:after="0" w:line="260" w:lineRule="atLeast"/>
        <w:ind w:left="400" w:right="0" w:firstLine="0"/>
        <w:jc w:val="both"/>
      </w:pPr>
      <w:bookmarkStart w:id="67" w:name="Bookmark_para_48"/>
      <w:bookmarkEnd w:id="67"/>
      <w:r>
        <w:rPr>
          <w:rFonts w:ascii="arial" w:eastAsia="arial" w:hAnsi="arial" w:cs="arial"/>
          <w:b w:val="0"/>
          <w:i w:val="0"/>
          <w:strike w:val="0"/>
          <w:noProof w:val="0"/>
          <w:color w:val="000000"/>
          <w:position w:val="0"/>
          <w:sz w:val="20"/>
          <w:u w:val="none"/>
          <w:vertAlign w:val="baseline"/>
        </w:rPr>
        <w:t>[L]egislation enacted by Congress from 1789 through 1799 -- as well as subsequent legislation from the founding era and beyond -- . . . empowered customs officials to search any ship or vessel without a warrant if they had probable cause to believe that it contained goods subject to a duty.</w:t>
      </w:r>
    </w:p>
    <w:p>
      <w:pPr>
        <w:keepNext w:val="0"/>
        <w:spacing w:before="200" w:after="0" w:line="260" w:lineRule="atLeast"/>
        <w:ind w:left="800" w:right="0" w:firstLine="0"/>
        <w:jc w:val="both"/>
      </w:pPr>
      <w:bookmarkStart w:id="68" w:name="Bookmark_para_49"/>
      <w:bookmarkEnd w:id="68"/>
      <w:r>
        <w:rPr>
          <w:rFonts w:ascii="arial" w:eastAsia="arial" w:hAnsi="arial" w:cs="arial"/>
          <w:b w:val="0"/>
          <w:i w:val="0"/>
          <w:strike w:val="0"/>
          <w:noProof w:val="0"/>
          <w:color w:val="000000"/>
          <w:position w:val="0"/>
          <w:sz w:val="20"/>
          <w:u w:val="none"/>
          <w:vertAlign w:val="baseline"/>
        </w:rPr>
        <w:t>"It is noteworthy that the early legislation . .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concerned the enforcement of laws imposing duties on imported merchandise. Presumably such merchandise was shipped then in containers of various kinds, just as it is today. Since Congress had authorized warrantless searches of vessels and beasts for imported merchandise, it is inconceivable that it intended a customs officer to obtain a warrant for every package discovered during the search; certainly Congress intended customs officers to open shipping containers when necessary and not merely to examine the exterior of cartons or boxes in which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goods might be concealed."</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Houghton</w:t>
        </w:r>
      </w:hyperlink>
      <w:hyperlink r:id="rId36" w:history="1">
        <w:r>
          <w:rPr>
            <w:rFonts w:ascii="arial" w:eastAsia="arial" w:hAnsi="arial" w:cs="arial"/>
            <w:b w:val="0"/>
            <w:i/>
            <w:strike w:val="0"/>
            <w:color w:val="0077CC"/>
            <w:sz w:val="20"/>
            <w:u w:val="single"/>
            <w:vertAlign w:val="baseline"/>
          </w:rPr>
          <w:t xml:space="preserve"> 526 U.S. at 300-01</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Ross</w:t>
        </w:r>
      </w:hyperlink>
      <w:hyperlink r:id="rId20" w:history="1">
        <w:r>
          <w:rPr>
            <w:rFonts w:ascii="arial" w:eastAsia="arial" w:hAnsi="arial" w:cs="arial"/>
            <w:b w:val="0"/>
            <w:i/>
            <w:strike w:val="0"/>
            <w:noProof w:val="0"/>
            <w:color w:val="0077CC"/>
            <w:position w:val="0"/>
            <w:sz w:val="20"/>
            <w:u w:val="single"/>
            <w:vertAlign w:val="baseline"/>
          </w:rPr>
          <w:t>, 456 U.S. at 820 n.26</w:t>
        </w:r>
      </w:hyperlink>
      <w:r>
        <w:rPr>
          <w:rFonts w:ascii="arial" w:eastAsia="arial" w:hAnsi="arial" w:cs="arial"/>
          <w:b w:val="0"/>
          <w:i w:val="0"/>
          <w:strike w:val="0"/>
          <w:noProof w:val="0"/>
          <w:color w:val="000000"/>
          <w:position w:val="0"/>
          <w:sz w:val="20"/>
          <w:u w:val="none"/>
          <w:vertAlign w:val="baseline"/>
        </w:rPr>
        <w:t>) (citations and internal alterations omitted).</w:t>
      </w:r>
    </w:p>
    <w:p>
      <w:pPr>
        <w:keepNext w:val="0"/>
        <w:spacing w:before="200" w:after="0" w:line="260" w:lineRule="atLeast"/>
        <w:ind w:left="0" w:right="0" w:firstLine="0"/>
        <w:jc w:val="both"/>
      </w:pPr>
      <w:bookmarkStart w:id="69" w:name="Bookmark_para_50"/>
      <w:bookmarkEnd w:id="69"/>
      <w:r>
        <w:rPr>
          <w:rFonts w:ascii="arial" w:eastAsia="arial" w:hAnsi="arial" w:cs="arial"/>
          <w:b w:val="0"/>
          <w:i w:val="0"/>
          <w:strike w:val="0"/>
          <w:noProof w:val="0"/>
          <w:color w:val="000000"/>
          <w:position w:val="0"/>
          <w:sz w:val="20"/>
          <w:u w:val="none"/>
          <w:vertAlign w:val="baseline"/>
        </w:rPr>
        <w:t>Eleventh Circuit precedent countenances this conclusion, i.e., that the scope of a lawful search generally encompasses spaces and areas that may reasonably harbor objects, not where individuals may have reasonably stored them:</w:t>
      </w:r>
    </w:p>
    <w:p>
      <w:pPr>
        <w:keepNext w:val="0"/>
        <w:spacing w:before="200" w:after="0" w:line="260" w:lineRule="atLeast"/>
        <w:ind w:left="400" w:right="0" w:firstLine="0"/>
        <w:jc w:val="both"/>
      </w:pPr>
      <w:bookmarkStart w:id="70" w:name="Bookmark_para_51"/>
      <w:bookmarkEnd w:id="70"/>
      <w:r>
        <w:rPr>
          <w:rFonts w:ascii="arial" w:eastAsia="arial" w:hAnsi="arial" w:cs="arial"/>
          <w:b w:val="0"/>
          <w:i w:val="0"/>
          <w:strike w:val="0"/>
          <w:noProof w:val="0"/>
          <w:color w:val="000000"/>
          <w:position w:val="0"/>
          <w:sz w:val="20"/>
          <w:u w:val="none"/>
          <w:vertAlign w:val="baseline"/>
        </w:rPr>
        <w:t>Appellant urges that the money introduced into evidence should have been suppressed because it was taken from a locked jewelry box for which a separate search warrant had not been obtained. Appellant would have us so hold despite the fact that the box was opened pursuant to a valid warrant authorizing the search of his residence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[for currency and other objects]. Appellant urges that his expectation of privacy in the jewelry box was independent of rather than part of his expectation of privacy in his home. Appellant has not cited us one case in which this or any other court has required a second, or for that matter third, fourth, fifth, etc., search warrant to validly search an area within the scope of an existing warrant, and we are not inclined to do so. It would be a different matter if the box had been in a geographic area not covered by the warrant or if the objects sought in the warrant were of a size that would not fit in the box. Neither of those situations are the case here however.</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United States v. Morris</w:t>
        </w:r>
      </w:hyperlink>
      <w:hyperlink r:id="rId41" w:history="1">
        <w:r>
          <w:rPr>
            <w:rFonts w:ascii="arial" w:eastAsia="arial" w:hAnsi="arial" w:cs="arial"/>
            <w:b w:val="0"/>
            <w:i/>
            <w:strike w:val="0"/>
            <w:color w:val="0077CC"/>
            <w:sz w:val="20"/>
            <w:u w:val="single"/>
            <w:vertAlign w:val="baseline"/>
          </w:rPr>
          <w:t>, 647 F.2d 568, 572-73 (5th Cir. Unit B 1981)</w:t>
        </w:r>
      </w:hyperlink>
      <w:r>
        <w:rPr>
          <w:rFonts w:ascii="arial" w:eastAsia="arial" w:hAnsi="arial" w:cs="arial"/>
          <w:b w:val="0"/>
          <w:i w:val="0"/>
          <w:strike w:val="0"/>
          <w:noProof w:val="0"/>
          <w:color w:val="000000"/>
          <w:position w:val="0"/>
          <w:sz w:val="20"/>
          <w:u w:val="none"/>
          <w:vertAlign w:val="baseline"/>
        </w:rPr>
        <w:t xml:space="preserve"> (footnote omitted).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And a leading treatise buttresses the foregoing proposition:</w:t>
      </w:r>
    </w:p>
    <w:p>
      <w:pPr>
        <w:keepNext w:val="0"/>
        <w:spacing w:before="200" w:after="0" w:line="260" w:lineRule="atLeast"/>
        <w:ind w:left="400" w:right="0" w:firstLine="0"/>
        <w:jc w:val="both"/>
      </w:pPr>
      <w:bookmarkStart w:id="72" w:name="Bookmark_para_52"/>
      <w:bookmarkEnd w:id="72"/>
      <w:r>
        <w:rPr>
          <w:rFonts w:ascii="arial" w:eastAsia="arial" w:hAnsi="arial" w:cs="arial"/>
          <w:b w:val="0"/>
          <w:i w:val="0"/>
          <w:strike w:val="0"/>
          <w:noProof w:val="0"/>
          <w:color w:val="000000"/>
          <w:position w:val="0"/>
          <w:sz w:val="20"/>
          <w:u w:val="none"/>
          <w:vertAlign w:val="baseline"/>
        </w:rPr>
        <w:t>The permissible intensity of the search within the described premises (provided such description does not itself outrun the probable cause underlying the search warrant.) is determined by the description of the things to be seized. As the Supreme Court has noted in a similar context, "the same meticulous investigation which would be appropriate in a search for two small canceled checks could not be considered reasonable where agents are seeking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 stolen automobile or an illegal still." This means that the police may go through the premises "with a fine tooth comb" when small, easily concealed objects are sought, and that they may move objects to one side in the course of the search if this will facilitate search into an area where the described items might be found. This means as well that in executing a warrant for certain types of documents, "some innocuous documents will be examined, at least cursorily, in order to determine whether they are, in fact, among those papers authorized to be seized." And this also means that a search into bureaus, desks, cabinets, trunks, safes, computer disks and hard drives, boxes, bags, pouches, dishware, bottles, cans, clothing, briefcases, wallets purses, books, envelopes, and other hiding places is permissible, but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if at least one of the items described in the warrant as an object of the search could be concealed therein. (The nature of the objects to be seized is also relevant in determining what other police activity is permissible during execution of the warrant.) Illustrative is </w:t>
      </w:r>
      <w:hyperlink r:id="rId42" w:history="1">
        <w:r>
          <w:rPr>
            <w:rFonts w:ascii="arial" w:eastAsia="arial" w:hAnsi="arial" w:cs="arial"/>
            <w:b w:val="0"/>
            <w:i/>
            <w:strike w:val="0"/>
            <w:noProof w:val="0"/>
            <w:color w:val="0077CC"/>
            <w:position w:val="0"/>
            <w:sz w:val="20"/>
            <w:u w:val="single"/>
            <w:vertAlign w:val="baseline"/>
          </w:rPr>
          <w:t>United States v. Chadwell</w:t>
        </w:r>
      </w:hyperlink>
      <w:hyperlink r:id="rId42" w:history="1">
        <w:r>
          <w:rPr>
            <w:rFonts w:ascii="arial" w:eastAsia="arial" w:hAnsi="arial" w:cs="arial"/>
            <w:b w:val="0"/>
            <w:i/>
            <w:strike w:val="0"/>
            <w:noProof w:val="0"/>
            <w:color w:val="0077CC"/>
            <w:position w:val="0"/>
            <w:sz w:val="20"/>
            <w:u w:val="single"/>
            <w:vertAlign w:val="baseline"/>
          </w:rPr>
          <w:t>, [427 F. Supp. 692 (D. Del. 1977)]</w:t>
        </w:r>
      </w:hyperlink>
      <w:r>
        <w:rPr>
          <w:rFonts w:ascii="arial" w:eastAsia="arial" w:hAnsi="arial" w:cs="arial"/>
          <w:b w:val="0"/>
          <w:i w:val="0"/>
          <w:strike w:val="0"/>
          <w:noProof w:val="0"/>
          <w:color w:val="000000"/>
          <w:position w:val="0"/>
          <w:sz w:val="20"/>
          <w:u w:val="none"/>
          <w:vertAlign w:val="baseline"/>
        </w:rPr>
        <w:t>, where police, armed with a warrant to search for stolen mag wheels and tires, looked on the top</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shelf of a closet; the court correctly concluded that this exceeded the authority of the warrant, as "it was not reasonable to believe that the mag wheels could have been stored in such a small space." (</w:t>
      </w:r>
      <w:r>
        <w:rPr>
          <w:rFonts w:ascii="arial" w:eastAsia="arial" w:hAnsi="arial" w:cs="arial"/>
          <w:b/>
          <w:i w:val="0"/>
          <w:strike w:val="0"/>
          <w:noProof w:val="0"/>
          <w:color w:val="000000"/>
          <w:position w:val="0"/>
          <w:sz w:val="20"/>
          <w:u w:val="none"/>
          <w:vertAlign w:val="baseline"/>
        </w:rPr>
        <w:t>But this does</w:t>
      </w:r>
      <w:r>
        <w:rPr>
          <w:rFonts w:ascii="arial" w:eastAsia="arial" w:hAnsi="arial" w:cs="arial"/>
          <w:b w:val="0"/>
          <w:i w:val="0"/>
          <w:strike w:val="0"/>
          <w:noProof w:val="0"/>
          <w:color w:val="000000"/>
          <w:position w:val="0"/>
          <w:sz w:val="20"/>
          <w:u w:val="none"/>
          <w:vertAlign w:val="baseline"/>
        </w:rPr>
        <w:t xml:space="preserve"> not </w:t>
      </w:r>
      <w:r>
        <w:rPr>
          <w:rFonts w:ascii="arial" w:eastAsia="arial" w:hAnsi="arial" w:cs="arial"/>
          <w:b/>
          <w:i w:val="0"/>
          <w:strike w:val="0"/>
          <w:noProof w:val="0"/>
          <w:color w:val="000000"/>
          <w:position w:val="0"/>
          <w:sz w:val="20"/>
          <w:u w:val="none"/>
          <w:vertAlign w:val="baseline"/>
        </w:rPr>
        <w:t>mean the search must be limited to those places where the items sought "normally are stored."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LaFave,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 4.10(d) (bold emphasis added) (footnotes and citations omitted).</w:t>
      </w:r>
    </w:p>
    <w:p>
      <w:pPr>
        <w:keepNext w:val="0"/>
        <w:spacing w:before="240" w:after="0" w:line="260" w:lineRule="atLeast"/>
        <w:ind w:left="0" w:right="0" w:firstLine="0"/>
        <w:jc w:val="both"/>
      </w:pPr>
      <w:bookmarkStart w:id="73" w:name="Bookmark_para_53"/>
      <w:bookmarkEnd w:id="73"/>
      <w:r>
        <w:rPr>
          <w:rFonts w:ascii="arial" w:eastAsia="arial" w:hAnsi="arial" w:cs="arial"/>
          <w:b w:val="0"/>
          <w:i w:val="0"/>
          <w:strike w:val="0"/>
          <w:noProof w:val="0"/>
          <w:color w:val="000000"/>
          <w:position w:val="0"/>
          <w:sz w:val="20"/>
          <w:u w:val="none"/>
          <w:vertAlign w:val="baseline"/>
        </w:rPr>
        <w:t xml:space="preserve">Consequently, a search warrant authorizes law enforcement to search spaces or containers reasonably large enough to contain the contraband or evidence listed in the warrant. </w:t>
      </w:r>
      <w:r>
        <w:rPr>
          <w:rFonts w:ascii="arial" w:eastAsia="arial" w:hAnsi="arial" w:cs="arial"/>
          <w:b w:val="0"/>
          <w:i/>
          <w:strike w:val="0"/>
          <w:noProof w:val="0"/>
          <w:color w:val="000000"/>
          <w:position w:val="0"/>
          <w:sz w:val="20"/>
          <w:u w:val="none"/>
          <w:vertAlign w:val="baseline"/>
        </w:rPr>
        <w:t xml:space="preserve">See </w:t>
      </w:r>
      <w:hyperlink r:id="rId43" w:history="1">
        <w:r>
          <w:rPr>
            <w:rFonts w:ascii="arial" w:eastAsia="arial" w:hAnsi="arial" w:cs="arial"/>
            <w:b w:val="0"/>
            <w:i/>
            <w:strike w:val="0"/>
            <w:noProof w:val="0"/>
            <w:color w:val="0077CC"/>
            <w:position w:val="0"/>
            <w:sz w:val="20"/>
            <w:u w:val="single"/>
            <w:vertAlign w:val="baseline"/>
          </w:rPr>
          <w:t>United States v. Evans</w:t>
        </w:r>
      </w:hyperlink>
      <w:hyperlink r:id="rId43" w:history="1">
        <w:r>
          <w:rPr>
            <w:rFonts w:ascii="arial" w:eastAsia="arial" w:hAnsi="arial" w:cs="arial"/>
            <w:b w:val="0"/>
            <w:i/>
            <w:strike w:val="0"/>
            <w:noProof w:val="0"/>
            <w:color w:val="0077CC"/>
            <w:position w:val="0"/>
            <w:sz w:val="20"/>
            <w:u w:val="single"/>
            <w:vertAlign w:val="baseline"/>
          </w:rPr>
          <w:t>, 92 F.3d 540, 543 (7th Cir. 1996)</w:t>
        </w:r>
      </w:hyperlink>
      <w:r>
        <w:rPr>
          <w:rFonts w:ascii="arial" w:eastAsia="arial" w:hAnsi="arial" w:cs="arial"/>
          <w:b w:val="0"/>
          <w:i w:val="0"/>
          <w:strike w:val="0"/>
          <w:noProof w:val="0"/>
          <w:color w:val="000000"/>
          <w:position w:val="0"/>
          <w:sz w:val="20"/>
          <w:u w:val="none"/>
          <w:vertAlign w:val="baseline"/>
        </w:rPr>
        <w:t xml:space="preserve"> ("A warrant to search a house or other building authorizes the police to search any closet, container, or other closed compartment in the building that is large enough to contain the contraband or evidence that they are looking for." (citing, </w:t>
      </w:r>
      <w:r>
        <w:rPr>
          <w:rFonts w:ascii="arial" w:eastAsia="arial" w:hAnsi="arial" w:cs="arial"/>
          <w:b w:val="0"/>
          <w:i/>
          <w:strike w:val="0"/>
          <w:noProof w:val="0"/>
          <w:color w:val="000000"/>
          <w:position w:val="0"/>
          <w:sz w:val="20"/>
          <w:u w:val="none"/>
          <w:vertAlign w:val="baseline"/>
        </w:rPr>
        <w:t xml:space="preserve">inter alia, </w:t>
      </w:r>
      <w:hyperlink r:id="rId20" w:history="1">
        <w:r>
          <w:rPr>
            <w:rFonts w:ascii="arial" w:eastAsia="arial" w:hAnsi="arial" w:cs="arial"/>
            <w:b w:val="0"/>
            <w:i/>
            <w:strike w:val="0"/>
            <w:noProof w:val="0"/>
            <w:color w:val="0077CC"/>
            <w:position w:val="0"/>
            <w:sz w:val="20"/>
            <w:u w:val="single"/>
            <w:vertAlign w:val="baseline"/>
          </w:rPr>
          <w:t>Ross</w:t>
        </w:r>
      </w:hyperlink>
      <w:hyperlink r:id="rId20" w:history="1">
        <w:r>
          <w:rPr>
            <w:rFonts w:ascii="arial" w:eastAsia="arial" w:hAnsi="arial" w:cs="arial"/>
            <w:b w:val="0"/>
            <w:i/>
            <w:strike w:val="0"/>
            <w:noProof w:val="0"/>
            <w:color w:val="0077CC"/>
            <w:position w:val="0"/>
            <w:sz w:val="20"/>
            <w:u w:val="single"/>
            <w:vertAlign w:val="baseline"/>
          </w:rPr>
          <w:t>, 456 U.S. at 820-21</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United States v. Congo</w:t>
        </w:r>
      </w:hyperlink>
      <w:hyperlink r:id="rId44" w:history="1">
        <w:r>
          <w:rPr>
            <w:rFonts w:ascii="arial" w:eastAsia="arial" w:hAnsi="arial" w:cs="arial"/>
            <w:b w:val="0"/>
            <w:i/>
            <w:strike w:val="0"/>
            <w:noProof w:val="0"/>
            <w:color w:val="0077CC"/>
            <w:position w:val="0"/>
            <w:sz w:val="20"/>
            <w:u w:val="single"/>
            <w:vertAlign w:val="baseline"/>
          </w:rPr>
          <w:t>, 21 F.4th 29, 33 (1st Cir. 2021)</w:t>
        </w:r>
      </w:hyperlink>
      <w:r>
        <w:rPr>
          <w:rFonts w:ascii="arial" w:eastAsia="arial" w:hAnsi="arial" w:cs="arial"/>
          <w:b w:val="0"/>
          <w:i w:val="0"/>
          <w:strike w:val="0"/>
          <w:noProof w:val="0"/>
          <w:color w:val="000000"/>
          <w:position w:val="0"/>
          <w:sz w:val="20"/>
          <w:u w:val="none"/>
          <w:vertAlign w:val="baseline"/>
        </w:rPr>
        <w:t xml:space="preserve"> ("It is well established that generally "any container situated within residential premises which are the subject of a validly-issued warrant may be searched if it is reasonable to believe that the container could conceal items of the kind portrayed in the warrant." (citation omitted)); </w:t>
      </w:r>
      <w:hyperlink r:id="rId45" w:history="1">
        <w:r>
          <w:rPr>
            <w:rFonts w:ascii="arial" w:eastAsia="arial" w:hAnsi="arial" w:cs="arial"/>
            <w:b w:val="0"/>
            <w:i/>
            <w:strike w:val="0"/>
            <w:noProof w:val="0"/>
            <w:color w:val="0077CC"/>
            <w:position w:val="0"/>
            <w:sz w:val="20"/>
            <w:u w:val="single"/>
            <w:vertAlign w:val="baseline"/>
          </w:rPr>
          <w:t>United States v. Romo-Corrales</w:t>
        </w:r>
      </w:hyperlink>
      <w:hyperlink r:id="rId45" w:history="1">
        <w:r>
          <w:rPr>
            <w:rFonts w:ascii="arial" w:eastAsia="arial" w:hAnsi="arial" w:cs="arial"/>
            <w:b w:val="0"/>
            <w:i/>
            <w:strike w:val="0"/>
            <w:noProof w:val="0"/>
            <w:color w:val="0077CC"/>
            <w:position w:val="0"/>
            <w:sz w:val="20"/>
            <w:u w:val="single"/>
            <w:vertAlign w:val="baseline"/>
          </w:rPr>
          <w:t>, 592 F.3d 915, 920 (8th Cir. 2010)</w:t>
        </w:r>
      </w:hyperlink>
      <w:r>
        <w:rPr>
          <w:rFonts w:ascii="arial" w:eastAsia="arial" w:hAnsi="arial" w:cs="arial"/>
          <w:b w:val="0"/>
          <w:i w:val="0"/>
          <w:strike w:val="0"/>
          <w:noProof w:val="0"/>
          <w:color w:val="000000"/>
          <w:position w:val="0"/>
          <w:sz w:val="20"/>
          <w:u w:val="none"/>
          <w:vertAlign w:val="baseline"/>
        </w:rPr>
        <w:t xml:space="preserve"> ("Because venue evidence could be located in the laundry hamper, garage,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cooler, behind a mirror or picture, behind a dresser, and underneath the bed, we find that officers lawfully conducted the search pursuant to the first search warrant when they searched these locations, and that the evidence discovered there was not the fruit of an illegal search." (footnote omitted)); </w:t>
      </w:r>
      <w:hyperlink r:id="rId46" w:history="1">
        <w:r>
          <w:rPr>
            <w:rFonts w:ascii="arial" w:eastAsia="arial" w:hAnsi="arial" w:cs="arial"/>
            <w:b w:val="0"/>
            <w:i/>
            <w:strike w:val="0"/>
            <w:noProof w:val="0"/>
            <w:color w:val="0077CC"/>
            <w:position w:val="0"/>
            <w:sz w:val="20"/>
            <w:u w:val="single"/>
            <w:vertAlign w:val="baseline"/>
          </w:rPr>
          <w:t>United States v. Shabazz</w:t>
        </w:r>
      </w:hyperlink>
      <w:hyperlink r:id="rId46" w:history="1">
        <w:r>
          <w:rPr>
            <w:rFonts w:ascii="arial" w:eastAsia="arial" w:hAnsi="arial" w:cs="arial"/>
            <w:b w:val="0"/>
            <w:i/>
            <w:strike w:val="0"/>
            <w:noProof w:val="0"/>
            <w:color w:val="0077CC"/>
            <w:position w:val="0"/>
            <w:sz w:val="20"/>
            <w:u w:val="single"/>
            <w:vertAlign w:val="baseline"/>
          </w:rPr>
          <w:t>, 887 F.3d 1204, 1215 (11th Cir. 2018)</w:t>
        </w:r>
      </w:hyperlink>
      <w:r>
        <w:rPr>
          <w:rFonts w:ascii="arial" w:eastAsia="arial" w:hAnsi="arial" w:cs="arial"/>
          <w:b w:val="0"/>
          <w:i w:val="0"/>
          <w:strike w:val="0"/>
          <w:noProof w:val="0"/>
          <w:color w:val="000000"/>
          <w:position w:val="0"/>
          <w:sz w:val="20"/>
          <w:u w:val="none"/>
          <w:vertAlign w:val="baseline"/>
        </w:rPr>
        <w:t xml:space="preserve"> ("Because the pockets of a pair of pants are a reasonable place to look for debit cards and some of the other kinds of evidence identified in the search warrant, the agents did not exceed the scope of the search warrant when they seized the contents of Shabazz's wallet."); </w:t>
      </w:r>
      <w:hyperlink r:id="rId47" w:history="1">
        <w:r>
          <w:rPr>
            <w:rFonts w:ascii="arial" w:eastAsia="arial" w:hAnsi="arial" w:cs="arial"/>
            <w:b w:val="0"/>
            <w:i/>
            <w:strike w:val="0"/>
            <w:noProof w:val="0"/>
            <w:color w:val="0077CC"/>
            <w:position w:val="0"/>
            <w:sz w:val="20"/>
            <w:u w:val="single"/>
            <w:vertAlign w:val="baseline"/>
          </w:rPr>
          <w:t>United States v. Fernandez Martinez</w:t>
        </w:r>
      </w:hyperlink>
      <w:hyperlink r:id="rId47" w:history="1">
        <w:r>
          <w:rPr>
            <w:rFonts w:ascii="arial" w:eastAsia="arial" w:hAnsi="arial" w:cs="arial"/>
            <w:b w:val="0"/>
            <w:i/>
            <w:strike w:val="0"/>
            <w:noProof w:val="0"/>
            <w:color w:val="0077CC"/>
            <w:position w:val="0"/>
            <w:sz w:val="20"/>
            <w:u w:val="single"/>
            <w:vertAlign w:val="baseline"/>
          </w:rPr>
          <w:t>, 317 F. App'x 929, 937 (11th Cir. 2009)</w:t>
        </w:r>
      </w:hyperlink>
      <w:r>
        <w:rPr>
          <w:rFonts w:ascii="arial" w:eastAsia="arial" w:hAnsi="arial" w:cs="arial"/>
          <w:b w:val="0"/>
          <w:i w:val="0"/>
          <w:strike w:val="0"/>
          <w:noProof w:val="0"/>
          <w:color w:val="000000"/>
          <w:position w:val="0"/>
          <w:sz w:val="20"/>
          <w:u w:val="none"/>
          <w:vertAlign w:val="baseline"/>
        </w:rPr>
        <w:t xml:space="preserve"> ("Police could look for drugs and drug paraphernalia in any containers in which they might be found."); </w:t>
      </w:r>
      <w:r>
        <w:rPr>
          <w:rFonts w:ascii="arial" w:eastAsia="arial" w:hAnsi="arial" w:cs="arial"/>
          <w:b w:val="0"/>
          <w:i/>
          <w:strike w:val="0"/>
          <w:noProof w:val="0"/>
          <w:color w:val="000000"/>
          <w:position w:val="0"/>
          <w:sz w:val="20"/>
          <w:u w:val="none"/>
          <w:vertAlign w:val="baseline"/>
        </w:rPr>
        <w:t>United States v. Sigouin</w:t>
      </w:r>
      <w:r>
        <w:rPr>
          <w:rFonts w:ascii="arial" w:eastAsia="arial" w:hAnsi="arial" w:cs="arial"/>
          <w:b w:val="0"/>
          <w:i/>
          <w:strike w:val="0"/>
          <w:noProof w:val="0"/>
          <w:color w:val="000000"/>
          <w:position w:val="0"/>
          <w:sz w:val="20"/>
          <w:u w:val="none"/>
          <w:vertAlign w:val="baseline"/>
        </w:rPr>
        <w:t>, 494 F. Supp. 3d 1252, 1270 (S.D. Fla. 2019)</w:t>
      </w:r>
      <w:r>
        <w:rPr>
          <w:rFonts w:ascii="arial" w:eastAsia="arial" w:hAnsi="arial" w:cs="arial"/>
          <w:b w:val="0"/>
          <w:i w:val="0"/>
          <w:strike w:val="0"/>
          <w:noProof w:val="0"/>
          <w:color w:val="000000"/>
          <w:position w:val="0"/>
          <w:sz w:val="20"/>
          <w:u w:val="none"/>
          <w:vertAlign w:val="baseline"/>
        </w:rPr>
        <w:t xml:space="preserve"> ("A warrant to search a premises includes the authority to open containers that could contain objects whose seizure is authorized by the warrant." (citing </w:t>
      </w:r>
      <w:hyperlink r:id="rId48" w:history="1">
        <w:r>
          <w:rPr>
            <w:rFonts w:ascii="arial" w:eastAsia="arial" w:hAnsi="arial" w:cs="arial"/>
            <w:b w:val="0"/>
            <w:i/>
            <w:strike w:val="0"/>
            <w:noProof w:val="0"/>
            <w:color w:val="0077CC"/>
            <w:position w:val="0"/>
            <w:sz w:val="20"/>
            <w:u w:val="single"/>
            <w:vertAlign w:val="baseline"/>
          </w:rPr>
          <w:t>United States v. Gonzalez</w:t>
        </w:r>
      </w:hyperlink>
      <w:hyperlink r:id="rId48" w:history="1">
        <w:r>
          <w:rPr>
            <w:rFonts w:ascii="arial" w:eastAsia="arial" w:hAnsi="arial" w:cs="arial"/>
            <w:b w:val="0"/>
            <w:i/>
            <w:strike w:val="0"/>
            <w:noProof w:val="0"/>
            <w:color w:val="0077CC"/>
            <w:position w:val="0"/>
            <w:sz w:val="20"/>
            <w:u w:val="single"/>
            <w:vertAlign w:val="baseline"/>
          </w:rPr>
          <w:t>, 940 F.2d 1413, 1420 (11th Cir. 1991)</w:t>
        </w:r>
      </w:hyperlink>
      <w:r>
        <w:rPr>
          <w:rFonts w:ascii="arial" w:eastAsia="arial" w:hAnsi="arial" w:cs="arial"/>
          <w:b w:val="0"/>
          <w:i w:val="0"/>
          <w:strike w:val="0"/>
          <w:noProof w:val="0"/>
          <w:color w:val="000000"/>
          <w:position w:val="0"/>
          <w:sz w:val="20"/>
          <w:u w:val="none"/>
          <w:vertAlign w:val="baseline"/>
        </w:rPr>
        <w:t>); William E. Ringel, Searches and Seizures, Arrests and Confessions § 6:12 (2d ed.) ("[A]ny container situated within residential premises which are the subject of a validly-issued warrant may be searched if it is reasonable to believe that the container could conceal items of the kind portrayed in the warrant." (footnote omitted)).</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84" w:name="Bookmark_para_54"/>
      <w:bookmarkEnd w:id="84"/>
      <w:r>
        <w:rPr>
          <w:rFonts w:ascii="arial" w:eastAsia="arial" w:hAnsi="arial" w:cs="arial"/>
          <w:b w:val="0"/>
          <w:i w:val="0"/>
          <w:strike w:val="0"/>
          <w:noProof w:val="0"/>
          <w:color w:val="000000"/>
          <w:position w:val="0"/>
          <w:sz w:val="20"/>
          <w:u w:val="none"/>
          <w:vertAlign w:val="baseline"/>
        </w:rPr>
        <w:t>In the circumstances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at bar, law enforcement maintained authority to search for documents relating to the procurement of the silencer. The space behind and under the master bathroom storage shelf reasonably could have housed documents relating to the silencer. And because the documents could have settled in that space, law enforcement personnel sustained authority to move the storage shelf in search for those documents. Once law enforcement lawfully moved the storage shelf, Agent Sangster spotted in plain view the bag of cocaine in the floor vent. Therefore, law enforcement personnel properly discovered and seized the bag of cocaine under the plain view doctrine.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5" w:name="Bookmark_para_55"/>
      <w:bookmarkEnd w:id="85"/>
      <w:r>
        <w:rPr>
          <w:rFonts w:ascii="arial" w:eastAsia="arial" w:hAnsi="arial" w:cs="arial"/>
          <w:b w:val="0"/>
          <w:i w:val="0"/>
          <w:strike w:val="0"/>
          <w:noProof w:val="0"/>
          <w:color w:val="000000"/>
          <w:position w:val="0"/>
          <w:sz w:val="20"/>
          <w:u w:val="none"/>
          <w:vertAlign w:val="baseline"/>
        </w:rPr>
        <w:t xml:space="preserve">Based on the foregoing analyses,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the Court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Williams's Motion to Suppress Evidence.</w:t>
      </w:r>
    </w:p>
    <w:p>
      <w:pPr>
        <w:keepNext w:val="0"/>
        <w:spacing w:before="200" w:after="0" w:line="260" w:lineRule="atLeast"/>
        <w:ind w:left="0" w:right="0" w:firstLine="0"/>
        <w:jc w:val="both"/>
      </w:pPr>
      <w:bookmarkStart w:id="86" w:name="Bookmark_para_56"/>
      <w:bookmarkEnd w:id="86"/>
      <w:r>
        <w:rPr>
          <w:rFonts w:ascii="arial" w:eastAsia="arial" w:hAnsi="arial" w:cs="arial"/>
          <w:b w:val="0"/>
          <w:i w:val="0"/>
          <w:strike w:val="0"/>
          <w:noProof w:val="0"/>
          <w:color w:val="000000"/>
          <w:position w:val="0"/>
          <w:sz w:val="20"/>
          <w:u w:val="none"/>
          <w:vertAlign w:val="baseline"/>
        </w:rPr>
        <w:t>Either party may file specific, written objections to this Report and Recommendation within fourteen (14) days. Failure to file written objections to the proposed findings and recommendation contain in this Report and Recommendation shall bar an aggrieved party from attacking the factual findings on appeal. Written objections shall specifically identify the portions of the proposed findings and recommendation to which objection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is made and the specific basis for objection. An objecting party must serve a copy of the objections upon opposing counsel.</w:t>
      </w:r>
    </w:p>
    <w:p>
      <w:pPr>
        <w:keepNext w:val="0"/>
        <w:spacing w:before="200" w:after="0" w:line="260" w:lineRule="atLeast"/>
        <w:ind w:left="0" w:right="0" w:firstLine="0"/>
        <w:jc w:val="both"/>
      </w:pPr>
      <w:bookmarkStart w:id="87" w:name="Bookmark_para_57"/>
      <w:bookmarkEnd w:id="87"/>
      <w:r>
        <w:rPr>
          <w:rFonts w:ascii="arial" w:eastAsia="arial" w:hAnsi="arial" w:cs="arial"/>
          <w:b w:val="0"/>
          <w:i w:val="0"/>
          <w:strike w:val="0"/>
          <w:noProof w:val="0"/>
          <w:color w:val="000000"/>
          <w:position w:val="0"/>
          <w:sz w:val="20"/>
          <w:u w:val="none"/>
          <w:vertAlign w:val="baseline"/>
        </w:rPr>
        <w:t xml:space="preserve">The undersigned </w:t>
      </w:r>
      <w:r>
        <w:rPr>
          <w:rFonts w:ascii="arial" w:eastAsia="arial" w:hAnsi="arial" w:cs="arial"/>
          <w:b/>
          <w:i w:val="0"/>
          <w:strike w:val="0"/>
          <w:noProof w:val="0"/>
          <w:color w:val="000000"/>
          <w:position w:val="0"/>
          <w:sz w:val="20"/>
          <w:u w:val="none"/>
          <w:vertAlign w:val="baseline"/>
        </w:rPr>
        <w:t>DIRECTS</w:t>
      </w:r>
      <w:r>
        <w:rPr>
          <w:rFonts w:ascii="arial" w:eastAsia="arial" w:hAnsi="arial" w:cs="arial"/>
          <w:b w:val="0"/>
          <w:i w:val="0"/>
          <w:strike w:val="0"/>
          <w:noProof w:val="0"/>
          <w:color w:val="000000"/>
          <w:position w:val="0"/>
          <w:sz w:val="20"/>
          <w:u w:val="none"/>
          <w:vertAlign w:val="baseline"/>
        </w:rPr>
        <w:t xml:space="preserve"> the Clerk to serve a copy of this Report and Recommendation upon counsel for the United States and counsel for the Defendant.</w:t>
      </w:r>
    </w:p>
    <w:p>
      <w:pPr>
        <w:keepNext w:val="0"/>
        <w:spacing w:before="200" w:after="0" w:line="260" w:lineRule="atLeast"/>
        <w:ind w:left="0" w:right="0" w:firstLine="0"/>
        <w:jc w:val="both"/>
      </w:pPr>
      <w:bookmarkStart w:id="88" w:name="Bookmark_para_58"/>
      <w:bookmarkEnd w:id="88"/>
      <w:r>
        <w:rPr>
          <w:rFonts w:ascii="arial" w:eastAsia="arial" w:hAnsi="arial" w:cs="arial"/>
          <w:b/>
          <w:i w:val="0"/>
          <w:strike w:val="0"/>
          <w:noProof w:val="0"/>
          <w:color w:val="000000"/>
          <w:position w:val="0"/>
          <w:sz w:val="20"/>
          <w:u w:val="none"/>
          <w:vertAlign w:val="baseline"/>
        </w:rPr>
        <w:t>DONE</w:t>
      </w:r>
      <w:r>
        <w:rPr>
          <w:rFonts w:ascii="arial" w:eastAsia="arial" w:hAnsi="arial" w:cs="arial"/>
          <w:b w:val="0"/>
          <w:i w:val="0"/>
          <w:strike w:val="0"/>
          <w:noProof w:val="0"/>
          <w:color w:val="000000"/>
          <w:position w:val="0"/>
          <w:sz w:val="20"/>
          <w:u w:val="none"/>
          <w:vertAlign w:val="baseline"/>
        </w:rPr>
        <w:t xml:space="preserve"> this 1st day of August, 2023.</w:t>
      </w:r>
    </w:p>
    <w:p>
      <w:pPr>
        <w:keepNext w:val="0"/>
        <w:spacing w:before="200" w:after="0" w:line="260" w:lineRule="atLeast"/>
        <w:ind w:left="0" w:right="0" w:firstLine="0"/>
        <w:jc w:val="both"/>
      </w:pPr>
      <w:bookmarkStart w:id="89" w:name="Bookmark_para_59"/>
      <w:bookmarkEnd w:id="89"/>
      <w:r>
        <w:rPr>
          <w:rFonts w:ascii="arial" w:eastAsia="arial" w:hAnsi="arial" w:cs="arial"/>
          <w:b w:val="0"/>
          <w:i w:val="0"/>
          <w:strike w:val="0"/>
          <w:noProof w:val="0"/>
          <w:color w:val="000000"/>
          <w:position w:val="0"/>
          <w:sz w:val="20"/>
          <w:u w:val="none"/>
          <w:vertAlign w:val="baseline"/>
        </w:rPr>
        <w:t>/s/ Herman N. Johnson, Jr.</w:t>
      </w:r>
    </w:p>
    <w:p>
      <w:pPr>
        <w:keepNext w:val="0"/>
        <w:spacing w:before="200" w:after="0" w:line="260" w:lineRule="atLeast"/>
        <w:ind w:left="0" w:right="0" w:firstLine="0"/>
        <w:jc w:val="both"/>
      </w:pPr>
      <w:bookmarkStart w:id="90" w:name="Bookmark_para_60"/>
      <w:bookmarkEnd w:id="90"/>
      <w:r>
        <w:rPr>
          <w:rFonts w:ascii="arial" w:eastAsia="arial" w:hAnsi="arial" w:cs="arial"/>
          <w:b w:val="0"/>
          <w:i w:val="0"/>
          <w:strike w:val="0"/>
          <w:noProof w:val="0"/>
          <w:color w:val="000000"/>
          <w:position w:val="0"/>
          <w:sz w:val="20"/>
          <w:u w:val="none"/>
          <w:vertAlign w:val="baseline"/>
        </w:rPr>
        <w:t>HERMAN N. JOHNSON, JR.</w:t>
      </w:r>
    </w:p>
    <w:p>
      <w:pPr>
        <w:keepNext w:val="0"/>
        <w:spacing w:before="200" w:after="0" w:line="260" w:lineRule="atLeast"/>
        <w:ind w:left="0" w:right="0" w:firstLine="0"/>
        <w:jc w:val="both"/>
      </w:pPr>
      <w:bookmarkStart w:id="91" w:name="Bookmark_para_61"/>
      <w:bookmarkEnd w:id="9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The following background arises from the testimony at the suppression hearing (Doc. 29), a search warrant affidavit, (Doc. 28-1), a search warrant, (Doc. 28-2), an evidence log, (Doc. 28-3), a case report (Doc. 28-4), body camera videos chronicling some of the circumstances in question (Doc. 28-9; 28-10; 28-11; 28-12; 28-13), and photo stills from the bodycam footage, (Doc. 28-5; 28-6).</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r>
        <w:rPr>
          <w:rFonts w:ascii="arial" w:eastAsia="arial" w:hAnsi="arial" w:cs="arial"/>
          <w:b w:val="0"/>
          <w:i w:val="0"/>
          <w:strike w:val="0"/>
          <w:noProof w:val="0"/>
          <w:color w:val="000000"/>
          <w:position w:val="0"/>
          <w:sz w:val="18"/>
          <w:u w:val="none"/>
          <w:vertAlign w:val="baseline"/>
        </w:rPr>
        <w:t>Agent Sangster testified one could clearly see the contents of the garage from the driveway, and thus, "[a] pedestrian walking by probably could have seen [the rifle] from the roadway." (Doc. 29 at 23, 30-31).</w:t>
      </w:r>
    </w:p>
    <w:p>
      <w:pPr>
        <w:keepNext w:val="0"/>
        <w:spacing w:before="200" w:after="0" w:line="240" w:lineRule="atLeast"/>
        <w:ind w:left="0" w:right="0" w:firstLine="0"/>
        <w:jc w:val="both"/>
      </w:pPr>
      <w:bookmarkStart w:id="25" w:name="Bookmark_fnpara_3"/>
      <w:bookmarkEnd w:id="25"/>
      <w:r>
        <w:rPr>
          <w:rFonts w:ascii="arial" w:eastAsia="arial" w:hAnsi="arial" w:cs="arial"/>
          <w:b w:val="0"/>
          <w:i w:val="0"/>
          <w:strike w:val="0"/>
          <w:noProof w:val="0"/>
          <w:color w:val="000000"/>
          <w:position w:val="0"/>
          <w:sz w:val="18"/>
          <w:u w:val="none"/>
          <w:vertAlign w:val="baseline"/>
        </w:rPr>
        <w:t>Williams argues that Agent Sangster produced unreliable testimony regarding the discovery and seizure of items not described in the search warrant. (Doc. 31 at 2-4). Specifically, Williams contends the court should not consider Agent Sangster's testimony regarding events he did not witness personally or which cannot secure video corroboration.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As for the .22 rifle in the garage, Agent Sangster testified he heard someone say they found a firearm in the garage during the sweep. (Doc. 29 at 30-32, 86-88). In addition, Agent Sangster personally saw the rifle hanging on the garage wall in plain view after the sweep. (Doc. 28-10 at 12:58:24-12:59:21; Doc. 29 at 30-31).</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8" w:name="Bookmark_fnpara_4"/>
      <w:bookmarkEnd w:id="28"/>
      <w:r>
        <w:rPr>
          <w:rFonts w:ascii="arial" w:eastAsia="arial" w:hAnsi="arial" w:cs="arial"/>
          <w:b w:val="0"/>
          <w:i w:val="0"/>
          <w:strike w:val="0"/>
          <w:noProof w:val="0"/>
          <w:color w:val="000000"/>
          <w:position w:val="0"/>
          <w:sz w:val="18"/>
          <w:u w:val="none"/>
          <w:vertAlign w:val="baseline"/>
        </w:rPr>
        <w:t>Agent Sangster testified the word "can" constitutes slang for a silencer or suppressor. (Doc. 29 at 24).</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9" w:name="Bookmark_fnpara_5"/>
      <w:bookmarkEnd w:id="29"/>
      <w:r>
        <w:rPr>
          <w:rFonts w:ascii="arial" w:eastAsia="arial" w:hAnsi="arial" w:cs="arial"/>
          <w:b w:val="0"/>
          <w:i w:val="0"/>
          <w:strike w:val="0"/>
          <w:noProof w:val="0"/>
          <w:color w:val="000000"/>
          <w:position w:val="0"/>
          <w:sz w:val="18"/>
          <w:u w:val="none"/>
          <w:vertAlign w:val="baseline"/>
        </w:rPr>
        <w:t>Agent Sangster answered affirmatively when asked if law enforcement discovered the package "almost immediately."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67; </w:t>
      </w:r>
      <w:r>
        <w:rPr>
          <w:rFonts w:ascii="arial" w:eastAsia="arial" w:hAnsi="arial" w:cs="arial"/>
          <w:b w:val="0"/>
          <w:i/>
          <w:strike w:val="0"/>
          <w:noProof w:val="0"/>
          <w:color w:val="000000"/>
          <w:position w:val="0"/>
          <w:sz w:val="18"/>
          <w:u w:val="none"/>
          <w:vertAlign w:val="baseline"/>
        </w:rPr>
        <w:t>see also id.</w:t>
      </w:r>
      <w:r>
        <w:rPr>
          <w:rFonts w:ascii="arial" w:eastAsia="arial" w:hAnsi="arial" w:cs="arial"/>
          <w:b w:val="0"/>
          <w:i w:val="0"/>
          <w:strike w:val="0"/>
          <w:noProof w:val="0"/>
          <w:color w:val="000000"/>
          <w:position w:val="0"/>
          <w:sz w:val="18"/>
          <w:u w:val="none"/>
          <w:vertAlign w:val="baseline"/>
        </w:rPr>
        <w:t xml:space="preserve"> at 82-83).</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1" w:name="Bookmark_fnpara_6"/>
      <w:bookmarkEnd w:id="31"/>
      <w:r>
        <w:rPr>
          <w:rFonts w:ascii="arial" w:eastAsia="arial" w:hAnsi="arial" w:cs="arial"/>
          <w:b w:val="0"/>
          <w:i w:val="0"/>
          <w:strike w:val="0"/>
          <w:noProof w:val="0"/>
          <w:color w:val="000000"/>
          <w:position w:val="0"/>
          <w:sz w:val="18"/>
          <w:u w:val="none"/>
          <w:vertAlign w:val="baseline"/>
        </w:rPr>
        <w:t>At this point in his testimony, Agent Sangster also remarked he observed an air rifle sitting on a workbench adjacent to the wall holding the .22 long rifle, yet he did not know it sported a silencer at the time he interviewed Williams's spouse.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31-33, 50). In addition, he did not ask Williams's spouse about the air rifle because he knew it did not qualify as a firearm because it sported a large, CO2 cannister.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33).</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4" w:name="Bookmark_fnpara_7"/>
      <w:bookmarkEnd w:id="34"/>
      <w:r>
        <w:rPr>
          <w:rFonts w:ascii="arial" w:eastAsia="arial" w:hAnsi="arial" w:cs="arial"/>
          <w:b w:val="0"/>
          <w:i w:val="0"/>
          <w:strike w:val="0"/>
          <w:noProof w:val="0"/>
          <w:color w:val="000000"/>
          <w:position w:val="0"/>
          <w:sz w:val="18"/>
          <w:u w:val="none"/>
          <w:vertAlign w:val="baseline"/>
        </w:rPr>
        <w:t>Agent Sangster recalled another officer remarking he found suspected methamphetamine on the floor during the search.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36, 40). Agent Sangster then went and personally observed the substance.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40-42). The substance on the floor later tested positive for methamphetamine. (Doc. 28-11 at 13:25:44-13:25:58, 13:31:34-13:31:38; Doc. 29 at 40, 42-43).</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6" w:name="Bookmark_fnpara_8"/>
      <w:bookmarkEnd w:id="36"/>
      <w:r>
        <w:rPr>
          <w:rFonts w:ascii="arial" w:eastAsia="arial" w:hAnsi="arial" w:cs="arial"/>
          <w:b w:val="0"/>
          <w:i w:val="0"/>
          <w:strike w:val="0"/>
          <w:noProof w:val="0"/>
          <w:color w:val="000000"/>
          <w:position w:val="0"/>
          <w:sz w:val="18"/>
          <w:u w:val="none"/>
          <w:vertAlign w:val="baseline"/>
        </w:rPr>
        <w:t>The court believes law enforcement moved the storage shelf in the master bathroom because law enforcement conducted the walk-through video of William's residence after they performed the protective sweep, detained Williams, placed all the other occupants outside, and secured the residence. (Doc. 28-14; Doc. 29 at 22-23, 62, 63, 65-66, 70-71). During the walk-through video, the storage shelf appeared to stand adjacent to the wall behind the master bathroom door. (Doc. 28-5; Doc. 28-13 at 2:02). After Agent Sangster initially interviewed Williams's spouse outside, he then moved her, Williams's mother, and the two children into the living room as law enforcement continued to secure and search the residence. (Doc. 28-10 at 12:59:20-13:03:13; Doc. 29 at 34-35, 72). Afterward, Agent Sangster escorted Williams's spouse back outside twice, and then to the master bathroom. (Doc. 28-10 at 13:07:07-13:14:23; Doc. 28-11 at 13:25:44-13:30:38, 13:30:38-13:33:44; Doc. 29 at 36, 39-40, 42-43, 45-46). The record does not reflect that any of the occupants had access to the master bathroom between the time law enforcement recorded the walk-through video and Agent Sangster escorted Williams's spouse to the bathroom. Thus, the court concludes law enforcement moved the shelf while searching.</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8" w:name="Bookmark_fnpara_9"/>
      <w:bookmarkEnd w:id="38"/>
      <w:r>
        <w:rPr>
          <w:rFonts w:ascii="arial" w:eastAsia="arial" w:hAnsi="arial" w:cs="arial"/>
          <w:b w:val="0"/>
          <w:i w:val="0"/>
          <w:strike w:val="0"/>
          <w:noProof w:val="0"/>
          <w:color w:val="000000"/>
          <w:position w:val="0"/>
          <w:sz w:val="18"/>
          <w:u w:val="none"/>
          <w:vertAlign w:val="baseline"/>
        </w:rPr>
        <w:t>Agent Sangster did not participate in obtaining the search warrant and has no knowledge of the information used in the application. (Doc. 29 at 55).</w:t>
      </w:r>
    </w:p>
    <w:p>
      <w:pPr>
        <w:keepNext w:val="0"/>
        <w:spacing w:before="120" w:after="0" w:line="240" w:lineRule="atLeast"/>
        <w:ind w:left="0" w:right="0" w:firstLine="0"/>
        <w:jc w:val="both"/>
      </w:pPr>
      <w:bookmarkStart w:id="39" w:name="Bookmark_fnpara_10"/>
      <w:bookmarkEnd w:id="39"/>
      <w:r>
        <w:rPr>
          <w:rFonts w:ascii="arial" w:eastAsia="arial" w:hAnsi="arial" w:cs="arial"/>
          <w:b w:val="0"/>
          <w:i w:val="0"/>
          <w:strike w:val="0"/>
          <w:noProof w:val="0"/>
          <w:color w:val="000000"/>
          <w:position w:val="0"/>
          <w:sz w:val="18"/>
          <w:u w:val="none"/>
          <w:vertAlign w:val="baseline"/>
        </w:rPr>
        <w:t>In addition, Captain Durden reported that he commenced efforts to obtain a state search warrant at the time he spotted "a set of scales with what appeared to be meth and cocaine residue on them in the master bathroom as well as a spoon in the floor." (Doc. 28-4 at 4). However, the court cannot discern from the record when these events occurred.</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1" w:name="Bookmark_fnpara_11"/>
      <w:bookmarkEnd w:id="41"/>
      <w:r>
        <w:rPr>
          <w:rFonts w:ascii="arial" w:eastAsia="arial" w:hAnsi="arial" w:cs="arial"/>
          <w:b w:val="0"/>
          <w:i w:val="0"/>
          <w:strike w:val="0"/>
          <w:noProof w:val="0"/>
          <w:color w:val="000000"/>
          <w:position w:val="0"/>
          <w:sz w:val="18"/>
          <w:u w:val="none"/>
          <w:vertAlign w:val="baseline"/>
        </w:rPr>
        <w:t>The state authorities lost the warrant. (Doc. 29 at 55-56).</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63" w:name="Bookmark_fnpara_12"/>
      <w:bookmarkEnd w:id="63"/>
      <w:r>
        <w:rPr>
          <w:rFonts w:ascii="arial" w:eastAsia="arial" w:hAnsi="arial" w:cs="arial"/>
          <w:b w:val="0"/>
          <w:i w:val="0"/>
          <w:strike w:val="0"/>
          <w:noProof w:val="0"/>
          <w:color w:val="000000"/>
          <w:position w:val="0"/>
          <w:sz w:val="18"/>
          <w:u w:val="none"/>
          <w:vertAlign w:val="baseline"/>
        </w:rPr>
        <w:t xml:space="preserve">Scope-of-search principles pursuant to probable cause generally apply to execution of search warrants and warrantless searches. </w:t>
      </w:r>
      <w:r>
        <w:rPr>
          <w:rFonts w:ascii="arial" w:eastAsia="arial" w:hAnsi="arial" w:cs="arial"/>
          <w:b w:val="0"/>
          <w:i/>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United States v. Ross</w:t>
        </w:r>
      </w:hyperlink>
      <w:hyperlink r:id="rId1" w:history="1">
        <w:r>
          <w:rPr>
            <w:rFonts w:ascii="arial" w:eastAsia="arial" w:hAnsi="arial" w:cs="arial"/>
            <w:b w:val="0"/>
            <w:i/>
            <w:strike w:val="0"/>
            <w:noProof w:val="0"/>
            <w:color w:val="0077CC"/>
            <w:position w:val="0"/>
            <w:sz w:val="18"/>
            <w:u w:val="single"/>
            <w:vertAlign w:val="baseline"/>
          </w:rPr>
          <w:t>, 456 U.S. 798, 823, 102 S. Ct. 2157, 72 L. Ed. 2d 572 (1982)</w:t>
        </w:r>
      </w:hyperlink>
      <w:r>
        <w:rPr>
          <w:rFonts w:ascii="arial" w:eastAsia="arial" w:hAnsi="arial" w:cs="arial"/>
          <w:b w:val="0"/>
          <w:i w:val="0"/>
          <w:strike w:val="0"/>
          <w:noProof w:val="0"/>
          <w:color w:val="000000"/>
          <w:position w:val="0"/>
          <w:sz w:val="18"/>
          <w:u w:val="none"/>
          <w:vertAlign w:val="baseline"/>
        </w:rPr>
        <w:t xml:space="preserve"> ("The scope of a warrantless search based on probable cause is no narrower-and no broader-than the scope of a search authorized by a warrant supported by probable cause. Only the prior approval of the magistrate [judge] is waived; the search otherwise is as the magistrate [judge] could authorize.").</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71" w:name="Bookmark_fnpara_13"/>
      <w:bookmarkEnd w:id="71"/>
      <w:r>
        <w:rPr>
          <w:rFonts w:ascii="arial" w:eastAsia="arial" w:hAnsi="arial" w:cs="arial"/>
          <w:b w:val="0"/>
          <w:i w:val="0"/>
          <w:strike w:val="0"/>
          <w:noProof w:val="0"/>
          <w:color w:val="000000"/>
          <w:position w:val="0"/>
          <w:sz w:val="18"/>
          <w:u w:val="none"/>
          <w:vertAlign w:val="baseline"/>
        </w:rPr>
        <w:t xml:space="preserve">Decisions of the former Fifth Circuit, Unit B, are binding precedent in the Eleventh Circuit. </w:t>
      </w:r>
      <w:hyperlink r:id="rId2" w:history="1">
        <w:r>
          <w:rPr>
            <w:rFonts w:ascii="arial" w:eastAsia="arial" w:hAnsi="arial" w:cs="arial"/>
            <w:b w:val="0"/>
            <w:i/>
            <w:strike w:val="0"/>
            <w:noProof w:val="0"/>
            <w:color w:val="0077CC"/>
            <w:position w:val="0"/>
            <w:sz w:val="18"/>
            <w:u w:val="single"/>
            <w:vertAlign w:val="baseline"/>
          </w:rPr>
          <w:t>Stein v. Reynolds Securities</w:t>
        </w:r>
      </w:hyperlink>
      <w:hyperlink r:id="rId2" w:history="1">
        <w:r>
          <w:rPr>
            <w:rFonts w:ascii="arial" w:eastAsia="arial" w:hAnsi="arial" w:cs="arial"/>
            <w:b w:val="0"/>
            <w:i/>
            <w:strike w:val="0"/>
            <w:noProof w:val="0"/>
            <w:color w:val="0077CC"/>
            <w:position w:val="0"/>
            <w:sz w:val="18"/>
            <w:u w:val="single"/>
            <w:vertAlign w:val="baseline"/>
          </w:rPr>
          <w:t>, 667 F.2d 33, 34 (11th Cir. 1982)</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74" w:name="Bookmark_fnpara_14"/>
      <w:bookmarkEnd w:id="74"/>
      <w:r>
        <w:rPr>
          <w:rFonts w:ascii="arial" w:eastAsia="arial" w:hAnsi="arial" w:cs="arial"/>
          <w:b w:val="0"/>
          <w:i w:val="0"/>
          <w:strike w:val="0"/>
          <w:noProof w:val="0"/>
          <w:color w:val="000000"/>
          <w:position w:val="0"/>
          <w:sz w:val="18"/>
          <w:u w:val="none"/>
          <w:vertAlign w:val="baseline"/>
        </w:rPr>
        <w:t xml:space="preserve">At first blush, the Supreme Court's decision in </w:t>
      </w:r>
      <w:hyperlink r:id="rId3" w:history="1">
        <w:r>
          <w:rPr>
            <w:rFonts w:ascii="arial" w:eastAsia="arial" w:hAnsi="arial" w:cs="arial"/>
            <w:b w:val="0"/>
            <w:i/>
            <w:strike w:val="0"/>
            <w:noProof w:val="0"/>
            <w:color w:val="0077CC"/>
            <w:position w:val="0"/>
            <w:sz w:val="18"/>
            <w:u w:val="single"/>
            <w:vertAlign w:val="baseline"/>
          </w:rPr>
          <w:t>Arizona v. Hicks</w:t>
        </w:r>
      </w:hyperlink>
      <w:hyperlink r:id="rId3" w:history="1">
        <w:r>
          <w:rPr>
            <w:rFonts w:ascii="arial" w:eastAsia="arial" w:hAnsi="arial" w:cs="arial"/>
            <w:b w:val="0"/>
            <w:i/>
            <w:strike w:val="0"/>
            <w:noProof w:val="0"/>
            <w:color w:val="0077CC"/>
            <w:position w:val="0"/>
            <w:sz w:val="18"/>
            <w:u w:val="single"/>
            <w:vertAlign w:val="baseline"/>
          </w:rPr>
          <w:t>, 480 U.S. 321, 107 S. Ct. 1149, 94 L. Ed. 2d 347 (1987)</w:t>
        </w:r>
      </w:hyperlink>
      <w:r>
        <w:rPr>
          <w:rFonts w:ascii="arial" w:eastAsia="arial" w:hAnsi="arial" w:cs="arial"/>
          <w:b w:val="0"/>
          <w:i w:val="0"/>
          <w:strike w:val="0"/>
          <w:noProof w:val="0"/>
          <w:color w:val="000000"/>
          <w:position w:val="0"/>
          <w:sz w:val="18"/>
          <w:u w:val="none"/>
          <w:vertAlign w:val="baseline"/>
        </w:rPr>
        <w:t xml:space="preserve">, may have posed an issue to the movement of the storage shelf. However, the </w:t>
      </w:r>
      <w:r>
        <w:rPr>
          <w:rFonts w:ascii="arial" w:eastAsia="arial" w:hAnsi="arial" w:cs="arial"/>
          <w:b w:val="0"/>
          <w:i/>
          <w:strike w:val="0"/>
          <w:noProof w:val="0"/>
          <w:color w:val="000000"/>
          <w:position w:val="0"/>
          <w:sz w:val="18"/>
          <w:u w:val="none"/>
          <w:vertAlign w:val="baseline"/>
        </w:rPr>
        <w:t>Hicks</w:t>
      </w:r>
      <w:r>
        <w:rPr>
          <w:rFonts w:ascii="arial" w:eastAsia="arial" w:hAnsi="arial" w:cs="arial"/>
          <w:b w:val="0"/>
          <w:i w:val="0"/>
          <w:strike w:val="0"/>
          <w:noProof w:val="0"/>
          <w:color w:val="000000"/>
          <w:position w:val="0"/>
          <w:sz w:val="18"/>
          <w:u w:val="none"/>
          <w:vertAlign w:val="baseline"/>
        </w:rPr>
        <w:t xml:space="preserve"> decision involved the search of an apartment due to a shooting from that location into an apartment below. Therefore, the scope of the officers' search on that basis concerned a perusal for the shooter and any bullets or firearms, which could not have occupied the space of behind or under the stereos the officers moved. Therefore, the Court concluded the officers needed probable cause to invade the defendant's privacy and effect a search of the stereos. </w:t>
      </w:r>
      <w:hyperlink r:id="rId3" w:history="1">
        <w:r>
          <w:rPr>
            <w:rFonts w:ascii="arial" w:eastAsia="arial" w:hAnsi="arial" w:cs="arial"/>
            <w:b w:val="0"/>
            <w:i/>
            <w:strike w:val="0"/>
            <w:noProof w:val="0"/>
            <w:color w:val="0077CC"/>
            <w:position w:val="0"/>
            <w:sz w:val="18"/>
            <w:u w:val="single"/>
            <w:vertAlign w:val="baseline"/>
          </w:rPr>
          <w:t>Id.</w:t>
        </w:r>
      </w:hyperlink>
      <w:hyperlink r:id="rId3" w:history="1">
        <w:r>
          <w:rPr>
            <w:rFonts w:ascii="arial" w:eastAsia="arial" w:hAnsi="arial" w:cs="arial"/>
            <w:b w:val="0"/>
            <w:i/>
            <w:strike w:val="0"/>
            <w:noProof w:val="0"/>
            <w:color w:val="0077CC"/>
            <w:position w:val="0"/>
            <w:sz w:val="18"/>
            <w:u w:val="single"/>
            <w:vertAlign w:val="baseline"/>
          </w:rPr>
          <w:t xml:space="preserve"> at 325-328</w:t>
        </w:r>
      </w:hyperlink>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0" w:right="0" w:firstLine="0"/>
        <w:jc w:val="both"/>
      </w:pPr>
      <w:bookmarkStart w:id="75" w:name="Bookmark_fnpara_15"/>
      <w:bookmarkEnd w:id="75"/>
      <w:r>
        <w:rPr>
          <w:rFonts w:ascii="arial" w:eastAsia="arial" w:hAnsi="arial" w:cs="arial"/>
          <w:b w:val="0"/>
          <w:i w:val="0"/>
          <w:strike w:val="0"/>
          <w:noProof w:val="0"/>
          <w:color w:val="000000"/>
          <w:position w:val="0"/>
          <w:sz w:val="18"/>
          <w:u w:val="none"/>
          <w:vertAlign w:val="baseline"/>
        </w:rPr>
        <w:t xml:space="preserve">To be sure, some unpublished, Eleventh Circuit cases conceptually may evince a requirement that officers need a reasonable basis for searching odd areas that could physically harbor objects of a search. </w:t>
      </w:r>
      <w:r>
        <w:rPr>
          <w:rFonts w:ascii="arial" w:eastAsia="arial" w:hAnsi="arial" w:cs="arial"/>
          <w:b w:val="0"/>
          <w:i/>
          <w:strike w:val="0"/>
          <w:noProof w:val="0"/>
          <w:color w:val="000000"/>
          <w:position w:val="0"/>
          <w:sz w:val="18"/>
          <w:u w:val="none"/>
          <w:vertAlign w:val="baseline"/>
        </w:rPr>
        <w:t xml:space="preserve">See </w:t>
      </w:r>
      <w:hyperlink r:id="rId4" w:history="1">
        <w:r>
          <w:rPr>
            <w:rFonts w:ascii="arial" w:eastAsia="arial" w:hAnsi="arial" w:cs="arial"/>
            <w:b w:val="0"/>
            <w:i/>
            <w:strike w:val="0"/>
            <w:noProof w:val="0"/>
            <w:color w:val="0077CC"/>
            <w:position w:val="0"/>
            <w:sz w:val="18"/>
            <w:u w:val="single"/>
            <w:vertAlign w:val="baseline"/>
          </w:rPr>
          <w:t>United States v. Zapata</w:t>
        </w:r>
      </w:hyperlink>
      <w:hyperlink r:id="rId4" w:history="1">
        <w:r>
          <w:rPr>
            <w:rFonts w:ascii="arial" w:eastAsia="arial" w:hAnsi="arial" w:cs="arial"/>
            <w:b w:val="0"/>
            <w:i/>
            <w:strike w:val="0"/>
            <w:noProof w:val="0"/>
            <w:color w:val="0077CC"/>
            <w:position w:val="0"/>
            <w:sz w:val="18"/>
            <w:u w:val="single"/>
            <w:vertAlign w:val="baseline"/>
          </w:rPr>
          <w:t>, 180 F.3d 1237, 1243 (11th Cir. 1999)</w:t>
        </w:r>
      </w:hyperlink>
      <w:r>
        <w:rPr>
          <w:rFonts w:ascii="arial" w:eastAsia="arial" w:hAnsi="arial" w:cs="arial"/>
          <w:b w:val="0"/>
          <w:i w:val="0"/>
          <w:strike w:val="0"/>
          <w:noProof w:val="0"/>
          <w:color w:val="000000"/>
          <w:position w:val="0"/>
          <w:sz w:val="18"/>
          <w:u w:val="none"/>
          <w:vertAlign w:val="baseline"/>
        </w:rPr>
        <w:t xml:space="preserve"> (holding officer did not exceed scope of consent search for drugs, guns, other weapons, and money because "the interior door panel might reasonably have contained drugs, guns, other weapons, or money" due to numerous cases in sister circuits demonstrating money and drugs are frequently stored behind interior panels in vehicles); </w:t>
      </w:r>
      <w:hyperlink r:id="rId5" w:history="1">
        <w:r>
          <w:rPr>
            <w:rFonts w:ascii="arial" w:eastAsia="arial" w:hAnsi="arial" w:cs="arial"/>
            <w:b w:val="0"/>
            <w:i/>
            <w:strike w:val="0"/>
            <w:noProof w:val="0"/>
            <w:color w:val="0077CC"/>
            <w:position w:val="0"/>
            <w:sz w:val="18"/>
            <w:u w:val="single"/>
            <w:vertAlign w:val="baseline"/>
          </w:rPr>
          <w:t>United States v. Burwell</w:t>
        </w:r>
      </w:hyperlink>
      <w:hyperlink r:id="rId5" w:history="1">
        <w:r>
          <w:rPr>
            <w:rFonts w:ascii="arial" w:eastAsia="arial" w:hAnsi="arial" w:cs="arial"/>
            <w:b w:val="0"/>
            <w:i/>
            <w:strike w:val="0"/>
            <w:noProof w:val="0"/>
            <w:color w:val="0077CC"/>
            <w:position w:val="0"/>
            <w:sz w:val="18"/>
            <w:u w:val="single"/>
            <w:vertAlign w:val="baseline"/>
          </w:rPr>
          <w:t>, 763 F. App'x 840, 849 (11th Cir. 2019)</w:t>
        </w:r>
      </w:hyperlink>
      <w:r>
        <w:rPr>
          <w:rFonts w:ascii="arial" w:eastAsia="arial" w:hAnsi="arial" w:cs="arial"/>
          <w:b w:val="0"/>
          <w:i w:val="0"/>
          <w:strike w:val="0"/>
          <w:noProof w:val="0"/>
          <w:color w:val="000000"/>
          <w:position w:val="0"/>
          <w:sz w:val="18"/>
          <w:u w:val="none"/>
          <w:vertAlign w:val="baseline"/>
        </w:rPr>
        <w:t xml:space="preserve"> (holding officer did not exceed scope of consent search because he reasonably searched under hood for drugs, large amounts of money, and firearms which officer "knew were sometimes hidden under a vehicle's hood in the engine compartment," and defendant did not put any limitations on the consent to search the vehicle, he did not object when officer looked under the hood, and officer did not damage the vehicle in any way when he looked under the hood). </w:t>
      </w:r>
      <w:bookmarkStart w:id="76" w:name="Bookmark_I69GY6KN2N1RBW0020000400"/>
      <w:bookmarkEnd w:id="76"/>
      <w:r>
        <w:rPr>
          <w:rFonts w:ascii="arial" w:eastAsia="arial" w:hAnsi="arial" w:cs="arial"/>
          <w:b w:val="0"/>
          <w:i w:val="0"/>
          <w:strike w:val="0"/>
          <w:noProof w:val="0"/>
          <w:color w:val="000000"/>
          <w:position w:val="0"/>
          <w:sz w:val="18"/>
          <w:u w:val="none"/>
          <w:vertAlign w:val="baseline"/>
        </w:rPr>
        <w:t xml:space="preserve">However, given the force of the Supreme Court's decision in </w:t>
      </w:r>
      <w:bookmarkStart w:id="77" w:name="Bookmark_I69GY6KN2N1RBW0010000400"/>
      <w:bookmarkEnd w:id="77"/>
      <w:hyperlink r:id="rId6" w:history="1">
        <w:r>
          <w:rPr>
            <w:rFonts w:ascii="arial" w:eastAsia="arial" w:hAnsi="arial" w:cs="arial"/>
            <w:b w:val="0"/>
            <w:i/>
            <w:strike w:val="0"/>
            <w:noProof w:val="0"/>
            <w:color w:val="0077CC"/>
            <w:position w:val="0"/>
            <w:sz w:val="18"/>
            <w:u w:val="single"/>
            <w:vertAlign w:val="baseline"/>
          </w:rPr>
          <w:t>Wyoming v. Houghton</w:t>
        </w:r>
      </w:hyperlink>
      <w:hyperlink r:id="rId6" w:history="1">
        <w:r>
          <w:rPr>
            <w:rFonts w:ascii="arial" w:eastAsia="arial" w:hAnsi="arial" w:cs="arial"/>
            <w:b w:val="0"/>
            <w:i/>
            <w:strike w:val="0"/>
            <w:noProof w:val="0"/>
            <w:color w:val="0077CC"/>
            <w:position w:val="0"/>
            <w:sz w:val="18"/>
            <w:u w:val="single"/>
            <w:vertAlign w:val="baseline"/>
          </w:rPr>
          <w:t>, 526 U.S. 295, 119 S. Ct. 1297, 143 L. Ed. 2d 408 (1999)</w:t>
        </w:r>
      </w:hyperlink>
      <w:r>
        <w:rPr>
          <w:rFonts w:ascii="arial" w:eastAsia="arial" w:hAnsi="arial" w:cs="arial"/>
          <w:b w:val="0"/>
          <w:i w:val="0"/>
          <w:strike w:val="0"/>
          <w:noProof w:val="0"/>
          <w:color w:val="000000"/>
          <w:position w:val="0"/>
          <w:sz w:val="18"/>
          <w:u w:val="none"/>
          <w:vertAlign w:val="baseline"/>
        </w:rPr>
        <w:t xml:space="preserve">, as well as the applicability of the prior panel rule given the decision in </w:t>
      </w:r>
      <w:bookmarkStart w:id="78" w:name="Bookmark_I69GY6KN2N1RBW0030000400"/>
      <w:bookmarkEnd w:id="78"/>
      <w:hyperlink r:id="rId7" w:history="1">
        <w:r>
          <w:rPr>
            <w:rFonts w:ascii="arial" w:eastAsia="arial" w:hAnsi="arial" w:cs="arial"/>
            <w:b w:val="0"/>
            <w:i/>
            <w:strike w:val="0"/>
            <w:noProof w:val="0"/>
            <w:color w:val="0077CC"/>
            <w:position w:val="0"/>
            <w:sz w:val="18"/>
            <w:u w:val="single"/>
            <w:vertAlign w:val="baseline"/>
          </w:rPr>
          <w:t>United States v. Morris</w:t>
        </w:r>
      </w:hyperlink>
      <w:hyperlink r:id="rId7" w:history="1">
        <w:r>
          <w:rPr>
            <w:rFonts w:ascii="arial" w:eastAsia="arial" w:hAnsi="arial" w:cs="arial"/>
            <w:b w:val="0"/>
            <w:i/>
            <w:strike w:val="0"/>
            <w:noProof w:val="0"/>
            <w:color w:val="0077CC"/>
            <w:position w:val="0"/>
            <w:sz w:val="18"/>
            <w:u w:val="single"/>
            <w:vertAlign w:val="baseline"/>
          </w:rPr>
          <w:t>, 647 F.2d 568 (5th Cir. Unit B 1981)</w:t>
        </w:r>
      </w:hyperlink>
      <w:r>
        <w:rPr>
          <w:rFonts w:ascii="arial" w:eastAsia="arial" w:hAnsi="arial" w:cs="arial"/>
          <w:b w:val="0"/>
          <w:i w:val="0"/>
          <w:strike w:val="0"/>
          <w:noProof w:val="0"/>
          <w:color w:val="000000"/>
          <w:position w:val="0"/>
          <w:sz w:val="18"/>
          <w:u w:val="none"/>
          <w:vertAlign w:val="baseline"/>
        </w:rPr>
        <w:t xml:space="preserve">, the undersigned declines to enhance </w:t>
      </w:r>
      <w:bookmarkStart w:id="79" w:name="Bookmark_I69GY6KN2N1RBW0050000400"/>
      <w:bookmarkEnd w:id="79"/>
      <w:hyperlink r:id="rId4" w:history="1">
        <w:r>
          <w:rPr>
            <w:rFonts w:ascii="arial" w:eastAsia="arial" w:hAnsi="arial" w:cs="arial"/>
            <w:b w:val="0"/>
            <w:i/>
            <w:strike w:val="0"/>
            <w:noProof w:val="0"/>
            <w:color w:val="0077CC"/>
            <w:position w:val="0"/>
            <w:sz w:val="18"/>
            <w:u w:val="single"/>
            <w:vertAlign w:val="baseline"/>
          </w:rPr>
          <w:t>Zapata</w:t>
        </w:r>
      </w:hyperlink>
      <w:r>
        <w:rPr>
          <w:rFonts w:ascii="arial" w:eastAsia="arial" w:hAnsi="arial" w:cs="arial"/>
          <w:b w:val="0"/>
          <w:i w:val="0"/>
          <w:strike w:val="0"/>
          <w:noProof w:val="0"/>
          <w:color w:val="000000"/>
          <w:position w:val="0"/>
          <w:sz w:val="18"/>
          <w:u w:val="none"/>
          <w:vertAlign w:val="baseline"/>
        </w:rPr>
        <w:t xml:space="preserve">'s and </w:t>
      </w:r>
      <w:bookmarkStart w:id="80" w:name="Bookmark_I69GY6KN2SF7P50020000400"/>
      <w:bookmarkEnd w:id="80"/>
      <w:hyperlink r:id="rId5" w:history="1">
        <w:r>
          <w:rPr>
            <w:rFonts w:ascii="arial" w:eastAsia="arial" w:hAnsi="arial" w:cs="arial"/>
            <w:b w:val="0"/>
            <w:i/>
            <w:strike w:val="0"/>
            <w:noProof w:val="0"/>
            <w:color w:val="0077CC"/>
            <w:position w:val="0"/>
            <w:sz w:val="18"/>
            <w:u w:val="single"/>
            <w:vertAlign w:val="baseline"/>
          </w:rPr>
          <w:t>Burwell</w:t>
        </w:r>
      </w:hyperlink>
      <w:r>
        <w:rPr>
          <w:rFonts w:ascii="arial" w:eastAsia="arial" w:hAnsi="arial" w:cs="arial"/>
          <w:b w:val="0"/>
          <w:i w:val="0"/>
          <w:strike w:val="0"/>
          <w:noProof w:val="0"/>
          <w:color w:val="000000"/>
          <w:position w:val="0"/>
          <w:sz w:val="18"/>
          <w:u w:val="none"/>
          <w:vertAlign w:val="baseline"/>
        </w:rPr>
        <w:t xml:space="preserve">'s guidance for the dispute at bar. </w:t>
      </w:r>
      <w:r>
        <w:rPr>
          <w:rFonts w:ascii="arial" w:eastAsia="arial" w:hAnsi="arial" w:cs="arial"/>
          <w:b w:val="0"/>
          <w:i/>
          <w:strike w:val="0"/>
          <w:noProof w:val="0"/>
          <w:color w:val="000000"/>
          <w:position w:val="0"/>
          <w:sz w:val="18"/>
          <w:u w:val="none"/>
          <w:vertAlign w:val="baseline"/>
        </w:rPr>
        <w:t xml:space="preserve">See </w:t>
      </w:r>
      <w:bookmarkStart w:id="81" w:name="Bookmark_I69NV1PB2HM6TF0010000400"/>
      <w:bookmarkEnd w:id="81"/>
      <w:hyperlink r:id="rId8" w:history="1">
        <w:r>
          <w:rPr>
            <w:rFonts w:ascii="arial" w:eastAsia="arial" w:hAnsi="arial" w:cs="arial"/>
            <w:b w:val="0"/>
            <w:i/>
            <w:strike w:val="0"/>
            <w:noProof w:val="0"/>
            <w:color w:val="0077CC"/>
            <w:position w:val="0"/>
            <w:sz w:val="18"/>
            <w:u w:val="single"/>
            <w:vertAlign w:val="baseline"/>
          </w:rPr>
          <w:t>Sabal Trail Transmission, LLC v. 3.921 Acres of Land in Lake Cnty. Fla.</w:t>
        </w:r>
      </w:hyperlink>
      <w:hyperlink r:id="rId8" w:history="1">
        <w:r>
          <w:rPr>
            <w:rFonts w:ascii="arial" w:eastAsia="arial" w:hAnsi="arial" w:cs="arial"/>
            <w:b w:val="0"/>
            <w:i/>
            <w:strike w:val="0"/>
            <w:noProof w:val="0"/>
            <w:color w:val="0077CC"/>
            <w:position w:val="0"/>
            <w:sz w:val="18"/>
            <w:u w:val="single"/>
            <w:vertAlign w:val="baseline"/>
          </w:rPr>
          <w:t>, No. 22-10435, 2023 U.S. App. LEXIS 19013, 2023 WL 4729037, at *1 (11th Cir. July 25, 2023)</w:t>
        </w:r>
      </w:hyperlink>
      <w:r>
        <w:rPr>
          <w:rFonts w:ascii="arial" w:eastAsia="arial" w:hAnsi="arial" w:cs="arial"/>
          <w:b w:val="0"/>
          <w:i w:val="0"/>
          <w:strike w:val="0"/>
          <w:noProof w:val="0"/>
          <w:color w:val="000000"/>
          <w:position w:val="0"/>
          <w:sz w:val="18"/>
          <w:u w:val="none"/>
          <w:vertAlign w:val="baseline"/>
        </w:rPr>
        <w:t xml:space="preserve"> ("It is 'firmly established' that 'each succeeding panel is bound by the holding of the first panel to address an issue of law, unless and until that holding is overruled en banc, or by the Supreme Court.'" (quoting </w:t>
      </w:r>
      <w:bookmarkStart w:id="82" w:name="Bookmark_I69GY6KN2D6NJM0010000400"/>
      <w:bookmarkEnd w:id="82"/>
      <w:r>
        <w:rPr>
          <w:rFonts w:ascii="arial" w:eastAsia="arial" w:hAnsi="arial" w:cs="arial"/>
          <w:b/>
          <w:i/>
          <w:strike w:val="0"/>
          <w:noProof w:val="0"/>
          <w:color w:val="000000"/>
          <w:position w:val="0"/>
          <w:sz w:val="18"/>
          <w:u w:val="none"/>
          <w:vertAlign w:val="baseline"/>
        </w:rPr>
        <w:t>United States v. Hogan</w:t>
      </w:r>
      <w:r>
        <w:rPr>
          <w:rFonts w:ascii="arial" w:eastAsia="arial" w:hAnsi="arial" w:cs="arial"/>
          <w:b/>
          <w:i/>
          <w:strike w:val="0"/>
          <w:noProof w:val="0"/>
          <w:color w:val="000000"/>
          <w:position w:val="0"/>
          <w:sz w:val="18"/>
          <w:u w:val="none"/>
          <w:vertAlign w:val="baseline"/>
        </w:rPr>
        <w:t>, 986 F.2d 1364, 1369 (11th Cir. 1993)</w:t>
      </w:r>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0" w:right="0" w:firstLine="0"/>
        <w:jc w:val="both"/>
      </w:pPr>
      <w:bookmarkStart w:id="83" w:name="Bookmark_fnpara_16"/>
      <w:bookmarkEnd w:id="83"/>
      <w:r>
        <w:rPr>
          <w:rFonts w:ascii="arial" w:eastAsia="arial" w:hAnsi="arial" w:cs="arial"/>
          <w:b w:val="0"/>
          <w:i w:val="0"/>
          <w:strike w:val="0"/>
          <w:noProof w:val="0"/>
          <w:color w:val="000000"/>
          <w:position w:val="0"/>
          <w:sz w:val="18"/>
          <w:u w:val="none"/>
          <w:vertAlign w:val="baseline"/>
        </w:rPr>
        <w:t>In any event, law enforcement personnel may have reasonably searched behind and under the storage shelf given the disarray of the residence, as it displayed items strewn all over the home.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Williams, 2023 U.S. Dist. LEXIS 191547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G9-0B61-JW09-M012-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cases&amp;id=urn:contentItem:52W5-CPC1-F04K-F331-00000-00&amp;context=1519360" TargetMode="External" /><Relationship Id="rId13" Type="http://schemas.openxmlformats.org/officeDocument/2006/relationships/hyperlink" Target="https://advance.lexis.com/api/document?collection=cases&amp;id=urn:contentItem:3S4X-7TP0-003B-4186-00000-00&amp;context=1519360" TargetMode="External" /><Relationship Id="rId14" Type="http://schemas.openxmlformats.org/officeDocument/2006/relationships/hyperlink" Target="https://advance.lexis.com/api/document?collection=cases&amp;id=urn:contentItem:5B34-R3P1-F04K-X1KW-00000-00&amp;context=1519360" TargetMode="External" /><Relationship Id="rId15" Type="http://schemas.openxmlformats.org/officeDocument/2006/relationships/hyperlink" Target="https://advance.lexis.com/api/document?collection=cases&amp;id=urn:contentItem:7XN9-M4D0-YB0V-S000-00000-00&amp;context=1519360" TargetMode="External" /><Relationship Id="rId16" Type="http://schemas.openxmlformats.org/officeDocument/2006/relationships/hyperlink" Target="https://advance.lexis.com/api/document?collection=cases&amp;id=urn:contentItem:3S4X-6G70-003B-44CW-00000-00&amp;context=1519360" TargetMode="External" /><Relationship Id="rId17" Type="http://schemas.openxmlformats.org/officeDocument/2006/relationships/hyperlink" Target="https://advance.lexis.com/api/document?collection=cases&amp;id=urn:contentItem:65DR-KVJ1-F60C-X2VB-00000-00&amp;context=1519360" TargetMode="External" /><Relationship Id="rId18" Type="http://schemas.openxmlformats.org/officeDocument/2006/relationships/hyperlink" Target="https://advance.lexis.com/api/document?collection=cases&amp;id=urn:contentItem:4PT8-XDB0-TXFX-G2JC-00000-00&amp;context=1519360" TargetMode="External" /><Relationship Id="rId19" Type="http://schemas.openxmlformats.org/officeDocument/2006/relationships/hyperlink" Target="https://advance.lexis.com/api/document?collection=cases&amp;id=urn:contentItem:3S4X-2650-003B-G4M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5H70-003B-S53P-00000-00&amp;context=1519360" TargetMode="External" /><Relationship Id="rId21" Type="http://schemas.openxmlformats.org/officeDocument/2006/relationships/hyperlink" Target="https://advance.lexis.com/api/document?collection=cases&amp;id=urn:contentItem:3S4X-DF80-003B-S21G-00000-00&amp;context=1519360" TargetMode="External" /><Relationship Id="rId22" Type="http://schemas.openxmlformats.org/officeDocument/2006/relationships/hyperlink" Target="https://advance.lexis.com/api/document?collection=cases&amp;id=urn:contentItem:4X3P-9NT0-TXFX-G360-00000-00&amp;context=1519360" TargetMode="External" /><Relationship Id="rId23" Type="http://schemas.openxmlformats.org/officeDocument/2006/relationships/hyperlink" Target="https://advance.lexis.com/api/document?collection=cases&amp;id=urn:contentItem:3S4X-CX60-00B1-D362-00000-00&amp;context=1519360" TargetMode="External" /><Relationship Id="rId24" Type="http://schemas.openxmlformats.org/officeDocument/2006/relationships/hyperlink" Target="https://advance.lexis.com/api/document?collection=cases&amp;id=urn:contentItem:5WCY-3J01-JGBH-B1DS-00000-00&amp;context=1519360" TargetMode="External" /><Relationship Id="rId25" Type="http://schemas.openxmlformats.org/officeDocument/2006/relationships/hyperlink" Target="https://advance.lexis.com/api/document?collection=cases&amp;id=urn:contentItem:3S4X-60K0-003B-P3RW-00000-00&amp;context=1519360" TargetMode="External" /><Relationship Id="rId26" Type="http://schemas.openxmlformats.org/officeDocument/2006/relationships/hyperlink" Target="https://advance.lexis.com/api/document?collection=cases&amp;id=urn:contentItem:3S4X-CWR0-003B-P3K1-00000-00&amp;context=1519360" TargetMode="External" /><Relationship Id="rId27" Type="http://schemas.openxmlformats.org/officeDocument/2006/relationships/hyperlink" Target="https://advance.lexis.com/api/document?collection=cases&amp;id=urn:contentItem:4KMC-D990-0038-X2XW-00000-00&amp;context=1519360" TargetMode="External" /><Relationship Id="rId28" Type="http://schemas.openxmlformats.org/officeDocument/2006/relationships/hyperlink" Target="https://advance.lexis.com/api/document?collection=cases&amp;id=urn:contentItem:3S4X-FV30-001T-D3SN-00000-00&amp;context=1519360" TargetMode="External" /><Relationship Id="rId29" Type="http://schemas.openxmlformats.org/officeDocument/2006/relationships/hyperlink" Target="https://advance.lexis.com/api/document?collection=cases&amp;id=urn:contentItem:3RJ6-FD20-003B-R0M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4R8-FK61-JB2B-S2FN-00000-00&amp;context=1519360" TargetMode="External" /><Relationship Id="rId31" Type="http://schemas.openxmlformats.org/officeDocument/2006/relationships/hyperlink" Target="https://advance.lexis.com/api/document?collection=cases&amp;id=urn:contentItem:5RG4-7S81-F04K-F55Y-00000-00&amp;context=1519360" TargetMode="External" /><Relationship Id="rId32" Type="http://schemas.openxmlformats.org/officeDocument/2006/relationships/hyperlink" Target="https://advance.lexis.com/api/document?collection=cases&amp;id=urn:contentItem:3S4X-G2J0-008H-V2GF-00000-00&amp;context=1519360" TargetMode="External" /><Relationship Id="rId33" Type="http://schemas.openxmlformats.org/officeDocument/2006/relationships/hyperlink" Target="https://advance.lexis.com/api/document?collection=cases&amp;id=urn:contentItem:3S4V-KY80-003B-33H2-00000-00&amp;context=1519360" TargetMode="External" /><Relationship Id="rId34" Type="http://schemas.openxmlformats.org/officeDocument/2006/relationships/hyperlink" Target="https://advance.lexis.com/api/document?collection=cases&amp;id=urn:contentItem:5CDN-1C51-F04K-X000-00000-00&amp;context=1519360" TargetMode="External" /><Relationship Id="rId35" Type="http://schemas.openxmlformats.org/officeDocument/2006/relationships/hyperlink" Target="https://advance.lexis.com/api/document?collection=cases&amp;id=urn:contentItem:3S4X-HT20-003B-41RW-00000-00&amp;context=1519360" TargetMode="External" /><Relationship Id="rId36" Type="http://schemas.openxmlformats.org/officeDocument/2006/relationships/hyperlink" Target="https://advance.lexis.com/api/document?collection=cases&amp;id=urn:contentItem:3W5S-4YX0-004C-100B-00000-00&amp;context=1519360" TargetMode="External" /><Relationship Id="rId37" Type="http://schemas.openxmlformats.org/officeDocument/2006/relationships/hyperlink" Target="https://advance.lexis.com/api/document?collection=cases&amp;id=urn:contentItem:3S65-KSS0-003B-R16J-00000-00&amp;context=1519360" TargetMode="External" /><Relationship Id="rId38" Type="http://schemas.openxmlformats.org/officeDocument/2006/relationships/hyperlink" Target="https://advance.lexis.com/api/document?collection=cases&amp;id=urn:contentItem:3S4X-CHW0-0039-N22H-00000-00&amp;context=1519360" TargetMode="External" /><Relationship Id="rId39" Type="http://schemas.openxmlformats.org/officeDocument/2006/relationships/hyperlink" Target="https://advance.lexis.com/api/document?collection=cases&amp;id=urn:contentItem:5YBK-2T91-FC1F-M3F2-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8SW0-003B-S1W9-00000-00&amp;context=1519360" TargetMode="External" /><Relationship Id="rId41" Type="http://schemas.openxmlformats.org/officeDocument/2006/relationships/hyperlink" Target="https://advance.lexis.com/api/document?collection=cases&amp;id=urn:contentItem:3S4X-1F00-0039-W1Y9-00000-00&amp;context=1519360" TargetMode="External" /><Relationship Id="rId42" Type="http://schemas.openxmlformats.org/officeDocument/2006/relationships/hyperlink" Target="https://advance.lexis.com/api/document?collection=cases&amp;id=urn:contentItem:3S4N-WHN0-0054-74KC-00000-00&amp;context=1519360" TargetMode="External" /><Relationship Id="rId43" Type="http://schemas.openxmlformats.org/officeDocument/2006/relationships/hyperlink" Target="https://advance.lexis.com/api/document?collection=cases&amp;id=urn:contentItem:3S4X-1CX0-006F-M0JG-00000-00&amp;context=1519360" TargetMode="External" /><Relationship Id="rId44" Type="http://schemas.openxmlformats.org/officeDocument/2006/relationships/hyperlink" Target="https://advance.lexis.com/api/document?collection=cases&amp;id=urn:contentItem:64B2-0H11-K054-G0R5-00000-00&amp;context=1519360" TargetMode="External" /><Relationship Id="rId45" Type="http://schemas.openxmlformats.org/officeDocument/2006/relationships/hyperlink" Target="https://advance.lexis.com/api/document?collection=cases&amp;id=urn:contentItem:7XNB-8920-YB0V-M001-00000-00&amp;context=1519360" TargetMode="External" /><Relationship Id="rId46" Type="http://schemas.openxmlformats.org/officeDocument/2006/relationships/hyperlink" Target="https://advance.lexis.com/api/document?collection=cases&amp;id=urn:contentItem:5S4G-PC01-JC5P-G258-00000-00&amp;context=1519360" TargetMode="External" /><Relationship Id="rId47" Type="http://schemas.openxmlformats.org/officeDocument/2006/relationships/hyperlink" Target="https://advance.lexis.com/api/document?collection=cases&amp;id=urn:contentItem:4VS5-F260-TXFX-G2PR-00000-00&amp;context=1519360" TargetMode="External" /><Relationship Id="rId48" Type="http://schemas.openxmlformats.org/officeDocument/2006/relationships/hyperlink" Target="https://advance.lexis.com/api/document?collection=cases&amp;id=urn:contentItem:3S4X-8XS0-008H-V1WM-00000-00&amp;context=1519360" TargetMode="External" /><Relationship Id="rId49" Type="http://schemas.openxmlformats.org/officeDocument/2006/relationships/theme" Target="theme/theme1.xml" /><Relationship Id="rId5" Type="http://schemas.openxmlformats.org/officeDocument/2006/relationships/header" Target="header1.xml" /><Relationship Id="rId50"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GG-X221-JW09-M3K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5H70-003B-S53P-00000-00&amp;context=1519360" TargetMode="External" /><Relationship Id="rId2" Type="http://schemas.openxmlformats.org/officeDocument/2006/relationships/hyperlink" Target="https://advance.lexis.com/api/document?collection=cases&amp;id=urn:contentItem:3S4X-40M0-003B-G267-00000-00&amp;context=1519360" TargetMode="External" /><Relationship Id="rId3" Type="http://schemas.openxmlformats.org/officeDocument/2006/relationships/hyperlink" Target="https://advance.lexis.com/api/document?collection=cases&amp;id=urn:contentItem:3S4X-HT20-003B-41RW-00000-00&amp;context=1519360" TargetMode="External" /><Relationship Id="rId4" Type="http://schemas.openxmlformats.org/officeDocument/2006/relationships/hyperlink" Target="https://advance.lexis.com/api/document?collection=cases&amp;id=urn:contentItem:3X20-TKK0-0038-X2MM-00000-00&amp;context=1519360" TargetMode="External" /><Relationship Id="rId5" Type="http://schemas.openxmlformats.org/officeDocument/2006/relationships/hyperlink" Target="https://advance.lexis.com/api/document?collection=cases&amp;id=urn:contentItem:5VHM-F051-JG59-2250-00000-00&amp;context=1519360" TargetMode="External" /><Relationship Id="rId6" Type="http://schemas.openxmlformats.org/officeDocument/2006/relationships/hyperlink" Target="https://advance.lexis.com/api/document?collection=cases&amp;id=urn:contentItem:3W5S-4YX0-004C-100B-00000-00&amp;context=1519360" TargetMode="External" /><Relationship Id="rId7" Type="http://schemas.openxmlformats.org/officeDocument/2006/relationships/hyperlink" Target="https://advance.lexis.com/api/document?collection=cases&amp;id=urn:contentItem:3S4X-1F00-0039-W1Y9-00000-00&amp;context=1519360" TargetMode="External" /><Relationship Id="rId8" Type="http://schemas.openxmlformats.org/officeDocument/2006/relationships/hyperlink" Target="https://advance.lexis.com/api/document?collection=cases&amp;id=urn:contentItem:68SS-RM01-DY89-M0V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Williams, 2023 U.S. Dist. LEXIS 191547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Doc::urn:hlct:5|contextualFeaturePermID::1519360</vt:lpwstr>
  </property>
  <property fmtid="{D5CDD505-2E9C-101B-9397-08002B2CF9AE}" pid="5" name="UserPermID">
    <vt:lpwstr>urn:user:PA186186280</vt:lpwstr>
  </property>
</Properties>
</file>