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United States v. $15,768,787.86 in Funds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Central District of California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31, 2023, Decided; January 31,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2:22-CV-05862-ODW (PDx)</w:t>
      </w:r>
    </w:p>
    <w:p>
      <w:pPr>
        <w:keepNext w:val="0"/>
        <w:spacing w:after="0" w:line="240" w:lineRule="atLeast"/>
        <w:ind w:right="0"/>
        <w:jc w:val="both"/>
      </w:pPr>
      <w:bookmarkStart w:id="0" w:name="Bookmark_47"/>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16495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1420368</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v. $15,768,787.86 IN FUNDS, Defendant.</w:t>
      </w:r>
    </w:p>
    <w:p>
      <w:pPr>
        <w:keepNext/>
        <w:spacing w:before="240" w:after="0" w:line="340" w:lineRule="atLeast"/>
        <w:ind w:left="0" w:right="0" w:firstLine="0"/>
        <w:jc w:val="left"/>
      </w:pPr>
      <w:bookmarkStart w:id="2" w:name="Core Terms"/>
      <w:bookmarkEnd w:id="2"/>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Funds, default, potential claim, forfeiture, default judgment, allegations</w:t>
      </w:r>
    </w:p>
    <w:p>
      <w:pPr>
        <w:keepNext w:val="0"/>
        <w:spacing w:before="240" w:after="0" w:line="260" w:lineRule="atLeast"/>
        <w:ind w:left="0" w:right="0" w:firstLine="0"/>
        <w:jc w:val="left"/>
      </w:pPr>
      <w:bookmarkStart w:id="3" w:name="Counsel"/>
      <w:bookmarkEnd w:id="3"/>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United States of America, Plaintiff: Tara Boger Vavere, LEAD ATTORNEY, Office of US Attorney, Asset Forfeiture and Recovery Section, Los Angeles, CA.</w:t>
      </w:r>
    </w:p>
    <w:p>
      <w:pPr>
        <w:keepNext w:val="0"/>
        <w:spacing w:before="240" w:after="0" w:line="260" w:lineRule="atLeast"/>
        <w:ind w:left="0" w:right="0" w:firstLine="0"/>
        <w:jc w:val="left"/>
      </w:pPr>
      <w:bookmarkStart w:id="4" w:name="Judges"/>
      <w:bookmarkEnd w:id="4"/>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OTIS D. WRIGHT, II, UNITED STATES DISTRICT JUDGE.</w:t>
      </w:r>
    </w:p>
    <w:p>
      <w:pPr>
        <w:keepNext w:val="0"/>
        <w:spacing w:before="240" w:after="0" w:line="260" w:lineRule="atLeast"/>
        <w:ind w:left="0" w:right="0" w:firstLine="0"/>
        <w:jc w:val="left"/>
      </w:pPr>
      <w:bookmarkStart w:id="5" w:name="Opinion by"/>
      <w:bookmarkEnd w:id="5"/>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OTIS D. WRIGHT, II</w:t>
      </w:r>
    </w:p>
    <w:p>
      <w:pPr>
        <w:keepNext/>
        <w:spacing w:before="240" w:after="0" w:line="340" w:lineRule="atLeast"/>
        <w:ind w:left="0" w:right="0" w:firstLine="0"/>
        <w:jc w:val="left"/>
      </w:pPr>
      <w:bookmarkStart w:id="6" w:name="Opinion"/>
      <w:bookmarkEnd w:id="6"/>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ORDER GRANTING MOTION FOR DEFAULT JUDGMENT [19]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INTRODUCTION AND BACKGROUND</w:t>
      </w:r>
    </w:p>
    <w:p>
      <w:pPr>
        <w:keepNext w:val="0"/>
        <w:spacing w:before="200" w:after="0" w:line="260" w:lineRule="atLeast"/>
        <w:ind w:left="0" w:right="0" w:firstLine="0"/>
        <w:jc w:val="both"/>
      </w:pPr>
      <w:bookmarkStart w:id="7" w:name="Bookmark_para_1"/>
      <w:bookmarkEnd w:id="7"/>
      <w:r>
        <w:rPr>
          <w:rFonts w:ascii="arial" w:eastAsia="arial" w:hAnsi="arial" w:cs="arial"/>
          <w:b w:val="0"/>
          <w:i w:val="0"/>
          <w:strike w:val="0"/>
          <w:noProof w:val="0"/>
          <w:color w:val="000000"/>
          <w:position w:val="0"/>
          <w:sz w:val="20"/>
          <w:u w:val="none"/>
          <w:vertAlign w:val="baseline"/>
        </w:rPr>
        <w:t xml:space="preserve">On August 18, 2022, Plaintiff United States of America ("Government") initiated this </w:t>
      </w:r>
      <w:r>
        <w:rPr>
          <w:rFonts w:ascii="arial" w:eastAsia="arial" w:hAnsi="arial" w:cs="arial"/>
          <w:b w:val="0"/>
          <w:i/>
          <w:strike w:val="0"/>
          <w:noProof w:val="0"/>
          <w:color w:val="000000"/>
          <w:position w:val="0"/>
          <w:sz w:val="20"/>
          <w:u w:val="none"/>
          <w:vertAlign w:val="baseline"/>
        </w:rPr>
        <w:t>in rem</w:t>
      </w:r>
      <w:r>
        <w:rPr>
          <w:rFonts w:ascii="arial" w:eastAsia="arial" w:hAnsi="arial" w:cs="arial"/>
          <w:b w:val="0"/>
          <w:i w:val="0"/>
          <w:strike w:val="0"/>
          <w:noProof w:val="0"/>
          <w:color w:val="000000"/>
          <w:position w:val="0"/>
          <w:sz w:val="20"/>
          <w:u w:val="none"/>
          <w:vertAlign w:val="baseline"/>
        </w:rPr>
        <w:t xml:space="preserve"> forfeiture action.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Verified Compl. ("Compl."), ECF No. 1.) Through this action, the Government seeks forfeiture of $15,768,787.86 in funds wired to a United States Treasury account on or about March 15, 2022, from Sunny Bank Account, ending in the last four digits 0061 and held in the name of I-Yun Yih, also known as "Nancy Yih" ("Defendant Funds").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5.) The Defendant Funds were transferred to the United States Treasury pursuant to a plea agreement between the Government and Yih.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xml:space="preserve"> ¶ 14-15.) Pursuant to that agreement, Yih pleaded guilty to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goods into the United States, </w:t>
      </w:r>
      <w:hyperlink r:id="rId9" w:history="1">
        <w:r>
          <w:rPr>
            <w:rFonts w:ascii="arial" w:eastAsia="arial" w:hAnsi="arial" w:cs="arial"/>
            <w:b w:val="0"/>
            <w:i/>
            <w:strike w:val="0"/>
            <w:noProof w:val="0"/>
            <w:color w:val="0077CC"/>
            <w:position w:val="0"/>
            <w:sz w:val="20"/>
            <w:u w:val="single"/>
            <w:vertAlign w:val="baseline"/>
          </w:rPr>
          <w:t>18 U.S.C. § 545</w:t>
        </w:r>
      </w:hyperlink>
      <w:r>
        <w:rPr>
          <w:rFonts w:ascii="arial" w:eastAsia="arial" w:hAnsi="arial" w:cs="arial"/>
          <w:b w:val="0"/>
          <w:i w:val="0"/>
          <w:strike w:val="0"/>
          <w:noProof w:val="0"/>
          <w:color w:val="000000"/>
          <w:position w:val="0"/>
          <w:sz w:val="20"/>
          <w:u w:val="none"/>
          <w:vertAlign w:val="baseline"/>
        </w:rPr>
        <w:t xml:space="preserve">, and money laundering, </w:t>
      </w:r>
      <w:hyperlink r:id="rId10" w:history="1">
        <w:r>
          <w:rPr>
            <w:rFonts w:ascii="arial" w:eastAsia="arial" w:hAnsi="arial" w:cs="arial"/>
            <w:b w:val="0"/>
            <w:i/>
            <w:strike w:val="0"/>
            <w:noProof w:val="0"/>
            <w:color w:val="0077CC"/>
            <w:position w:val="0"/>
            <w:sz w:val="20"/>
            <w:u w:val="single"/>
            <w:vertAlign w:val="baseline"/>
          </w:rPr>
          <w:t>18 U.S.C. § 1956(a)(1)(A)(i)</w:t>
        </w:r>
      </w:hyperlink>
      <w:r>
        <w:rPr>
          <w:rFonts w:ascii="arial" w:eastAsia="arial" w:hAnsi="arial" w:cs="arial"/>
          <w:b w:val="0"/>
          <w:i w:val="0"/>
          <w:strike w:val="0"/>
          <w:noProof w:val="0"/>
          <w:color w:val="000000"/>
          <w:position w:val="0"/>
          <w:sz w:val="20"/>
          <w:u w:val="none"/>
          <w:vertAlign w:val="baseline"/>
        </w:rPr>
        <w:t>, and agreed to forfeit the Defendant Funds as proceeds of said violations. (</w:t>
      </w:r>
      <w:r>
        <w:rPr>
          <w:rFonts w:ascii="arial" w:eastAsia="arial" w:hAnsi="arial" w:cs="arial"/>
          <w:b w:val="0"/>
          <w:i/>
          <w:strike w:val="0"/>
          <w:noProof w:val="0"/>
          <w:color w:val="000000"/>
          <w:position w:val="0"/>
          <w:sz w:val="20"/>
          <w:u w:val="none"/>
          <w:vertAlign w:val="baseline"/>
        </w:rPr>
        <w:t>See id.</w:t>
      </w:r>
      <w:r>
        <w:rPr>
          <w:rFonts w:ascii="arial" w:eastAsia="arial" w:hAnsi="arial" w:cs="arial"/>
          <w:b w:val="0"/>
          <w:i w:val="0"/>
          <w:strike w:val="0"/>
          <w:noProof w:val="0"/>
          <w:color w:val="000000"/>
          <w:position w:val="0"/>
          <w:sz w:val="20"/>
          <w:u w:val="none"/>
          <w:vertAlign w:val="baseline"/>
        </w:rPr>
        <w:t>) The Government alleges that the Defendant Funds are accordingly subject to forfeiture pursuant to</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w:t>
      </w:r>
      <w:hyperlink r:id="rId11" w:history="1">
        <w:r>
          <w:rPr>
            <w:rFonts w:ascii="arial" w:eastAsia="arial" w:hAnsi="arial" w:cs="arial"/>
            <w:b w:val="0"/>
            <w:i/>
            <w:strike w:val="0"/>
            <w:noProof w:val="0"/>
            <w:color w:val="0077CC"/>
            <w:position w:val="0"/>
            <w:sz w:val="20"/>
            <w:u w:val="single"/>
            <w:vertAlign w:val="baseline"/>
          </w:rPr>
          <w:t>18 U.S.C. §§ 981(a)(1)(A)</w:t>
        </w:r>
      </w:hyperlink>
      <w:r>
        <w:rPr>
          <w:rFonts w:ascii="arial" w:eastAsia="arial" w:hAnsi="arial" w:cs="arial"/>
          <w:b w:val="0"/>
          <w:i w:val="0"/>
          <w:strike w:val="0"/>
          <w:noProof w:val="0"/>
          <w:color w:val="000000"/>
          <w:position w:val="0"/>
          <w:sz w:val="20"/>
          <w:u w:val="none"/>
          <w:vertAlign w:val="baseline"/>
        </w:rPr>
        <w:t xml:space="preserve"> and </w:t>
      </w:r>
      <w:hyperlink r:id="rId11" w:history="1">
        <w:r>
          <w:rPr>
            <w:rFonts w:ascii="arial" w:eastAsia="arial" w:hAnsi="arial" w:cs="arial"/>
            <w:b w:val="0"/>
            <w:i/>
            <w:strike w:val="0"/>
            <w:noProof w:val="0"/>
            <w:color w:val="0077CC"/>
            <w:position w:val="0"/>
            <w:sz w:val="20"/>
            <w:u w:val="single"/>
            <w:vertAlign w:val="baseline"/>
          </w:rPr>
          <w:t>(C)</w:t>
        </w:r>
      </w:hyperlink>
      <w:r>
        <w:rPr>
          <w:rFonts w:ascii="arial" w:eastAsia="arial" w:hAnsi="arial" w:cs="arial"/>
          <w:b w:val="0"/>
          <w:i w:val="0"/>
          <w:strike w:val="0"/>
          <w:noProof w:val="0"/>
          <w:color w:val="000000"/>
          <w:position w:val="0"/>
          <w:sz w:val="20"/>
          <w:u w:val="none"/>
          <w:vertAlign w:val="baseline"/>
        </w:rPr>
        <w:t xml:space="preserve">, and </w:t>
      </w:r>
      <w:hyperlink r:id="rId12" w:history="1">
        <w:r>
          <w:rPr>
            <w:rFonts w:ascii="arial" w:eastAsia="arial" w:hAnsi="arial" w:cs="arial"/>
            <w:b w:val="0"/>
            <w:i/>
            <w:strike w:val="0"/>
            <w:noProof w:val="0"/>
            <w:color w:val="0077CC"/>
            <w:position w:val="0"/>
            <w:sz w:val="20"/>
            <w:u w:val="single"/>
            <w:vertAlign w:val="baseline"/>
          </w:rPr>
          <w:t>984</w:t>
        </w:r>
      </w:hyperlink>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1, 15.)</w:t>
      </w:r>
    </w:p>
    <w:p>
      <w:pPr>
        <w:keepNext w:val="0"/>
        <w:spacing w:before="200" w:after="0" w:line="260" w:lineRule="atLeast"/>
        <w:ind w:left="0" w:right="0" w:firstLine="0"/>
        <w:jc w:val="both"/>
      </w:pPr>
      <w:bookmarkStart w:id="8" w:name="Bookmark_para_2"/>
      <w:bookmarkEnd w:id="8"/>
      <w:r>
        <w:rPr>
          <w:rFonts w:ascii="arial" w:eastAsia="arial" w:hAnsi="arial" w:cs="arial"/>
          <w:b w:val="0"/>
          <w:i w:val="0"/>
          <w:strike w:val="0"/>
          <w:noProof w:val="0"/>
          <w:color w:val="000000"/>
          <w:position w:val="0"/>
          <w:sz w:val="20"/>
          <w:u w:val="none"/>
          <w:vertAlign w:val="baseline"/>
        </w:rPr>
        <w:t>Because Yih agreed to the forfeiture of the Defendant Funds, the Government could not identify any specific persons or entities whose interests may have been adversely affected by these proceedings. (Mot. Default J. ("Mot." or "Motion") 4, ECF No. 19.) Thus, there are no known potential claimants to the Defendant Funds. (Decl. Tara B. Vavere ISO Mot. ("Vavere Decl.") ¶ 5, ECF No. 19.) The Government published a Notice of Civil Forfeiture for thirty days pursuant to the Supplemental Rules for Admiralty or Maritime Claims and Assert Forfeiture Actions.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4.) On October 20, 2022, the Government executed process upon the Defendant Funds.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3; Process Receipt and Return, ECF No. 15.) The time for filing a claim or answer has expired. (Vavere Decl. ¶ 6.) There are no pending claims to the Defendant Funds or pending answers to the Complaint.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 7.)</w:t>
      </w:r>
    </w:p>
    <w:p>
      <w:pPr>
        <w:keepNext w:val="0"/>
        <w:spacing w:before="200" w:after="0" w:line="260" w:lineRule="atLeast"/>
        <w:ind w:left="0" w:right="0" w:firstLine="0"/>
        <w:jc w:val="both"/>
      </w:pPr>
      <w:bookmarkStart w:id="9" w:name="Bookmark_para_3"/>
      <w:bookmarkEnd w:id="9"/>
      <w:r>
        <w:rPr>
          <w:rFonts w:ascii="arial" w:eastAsia="arial" w:hAnsi="arial" w:cs="arial"/>
          <w:b w:val="0"/>
          <w:i w:val="0"/>
          <w:strike w:val="0"/>
          <w:noProof w:val="0"/>
          <w:color w:val="000000"/>
          <w:position w:val="0"/>
          <w:sz w:val="20"/>
          <w:u w:val="none"/>
          <w:vertAlign w:val="baseline"/>
        </w:rPr>
        <w:t>On November 17, 2022, the Clerk entered default as to the Defendant Funds and the interests of all potential claimants regarding the Defendant Funds. (Vavere Decl. ¶ 8; Default, ECF No. 17.) On November 18, 2022, the Government moved for default judgment against the interests of all potential claimants.</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(Mot.) Pursuant to Local Rule 7-9, any opposition to the Government's Motion was due no later than twenty-one days before the January 9, 2023 hearing date. The Court received no opposition to the Motion.</w:t>
      </w:r>
    </w:p>
    <w:p>
      <w:pPr>
        <w:keepNext w:val="0"/>
        <w:spacing w:before="240" w:after="0" w:line="260" w:lineRule="atLeast"/>
        <w:ind w:left="0" w:right="0" w:firstLine="0"/>
        <w:jc w:val="both"/>
      </w:pPr>
      <w:bookmarkStart w:id="10" w:name="Bookmark_para_4"/>
      <w:bookmarkEnd w:id="10"/>
      <w:r>
        <w:rPr>
          <w:rFonts w:ascii="arial" w:eastAsia="arial" w:hAnsi="arial" w:cs="arial"/>
          <w:b w:val="0"/>
          <w:i w:val="0"/>
          <w:strike w:val="0"/>
          <w:noProof w:val="0"/>
          <w:color w:val="000000"/>
          <w:position w:val="0"/>
          <w:sz w:val="20"/>
          <w:u w:val="none"/>
          <w:vertAlign w:val="baseline"/>
        </w:rPr>
        <w:t xml:space="preserve">Having carefully considered the papers filed in connection with the Motion, the Court deemed the matter appropriate for decision without oral argument. </w:t>
      </w:r>
      <w:hyperlink r:id="rId13" w:history="1">
        <w:r>
          <w:rPr>
            <w:rFonts w:ascii="arial" w:eastAsia="arial" w:hAnsi="arial" w:cs="arial"/>
            <w:b w:val="0"/>
            <w:i/>
            <w:strike w:val="0"/>
            <w:noProof w:val="0"/>
            <w:color w:val="0077CC"/>
            <w:position w:val="0"/>
            <w:sz w:val="20"/>
            <w:u w:val="single"/>
            <w:vertAlign w:val="baseline"/>
          </w:rPr>
          <w:t>Fed. R. Civ. P. 78</w:t>
        </w:r>
      </w:hyperlink>
      <w:r>
        <w:rPr>
          <w:rFonts w:ascii="arial" w:eastAsia="arial" w:hAnsi="arial" w:cs="arial"/>
          <w:b w:val="0"/>
          <w:i w:val="0"/>
          <w:strike w:val="0"/>
          <w:noProof w:val="0"/>
          <w:color w:val="000000"/>
          <w:position w:val="0"/>
          <w:sz w:val="20"/>
          <w:u w:val="none"/>
          <w:vertAlign w:val="baseline"/>
        </w:rPr>
        <w:t>; C.D. Cal. L.R. 7-15.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LEGAL STANDARD</w:t>
      </w:r>
    </w:p>
    <w:p>
      <w:pPr>
        <w:keepNext w:val="0"/>
        <w:spacing w:before="240" w:after="0" w:line="260" w:lineRule="atLeast"/>
        <w:ind w:left="0" w:right="0" w:firstLine="0"/>
        <w:jc w:val="both"/>
      </w:pPr>
      <w:bookmarkStart w:id="11" w:name="Bookmark_para_5"/>
      <w:bookmarkEnd w:id="11"/>
      <w:hyperlink r:id="rId14" w:history="1">
        <w:r>
          <w:rPr>
            <w:rFonts w:ascii="arial" w:eastAsia="arial" w:hAnsi="arial" w:cs="arial"/>
            <w:b w:val="0"/>
            <w:i/>
            <w:strike w:val="0"/>
            <w:color w:val="0077CC"/>
            <w:sz w:val="20"/>
            <w:u w:val="single"/>
            <w:vertAlign w:val="baseline"/>
          </w:rPr>
          <w:t>Federal Rule of Civil Procedure ("Rule") 55(b)</w:t>
        </w:r>
      </w:hyperlink>
      <w:r>
        <w:rPr>
          <w:rFonts w:ascii="arial" w:eastAsia="arial" w:hAnsi="arial" w:cs="arial"/>
          <w:b w:val="0"/>
          <w:i w:val="0"/>
          <w:strike w:val="0"/>
          <w:noProof w:val="0"/>
          <w:color w:val="000000"/>
          <w:position w:val="0"/>
          <w:sz w:val="20"/>
          <w:u w:val="none"/>
          <w:vertAlign w:val="baseline"/>
        </w:rPr>
        <w:t xml:space="preserve"> authorizes a district court to grant a default judgment after the Clerk enters default under </w:t>
      </w:r>
      <w:hyperlink r:id="rId14" w:history="1">
        <w:r>
          <w:rPr>
            <w:rFonts w:ascii="arial" w:eastAsia="arial" w:hAnsi="arial" w:cs="arial"/>
            <w:b w:val="0"/>
            <w:i/>
            <w:strike w:val="0"/>
            <w:noProof w:val="0"/>
            <w:color w:val="0077CC"/>
            <w:position w:val="0"/>
            <w:sz w:val="20"/>
            <w:u w:val="single"/>
            <w:vertAlign w:val="baseline"/>
          </w:rPr>
          <w:t>Rule 55(a)</w:t>
        </w:r>
      </w:hyperlink>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Fed. R. Civ. P. 55(b)</w:t>
        </w:r>
      </w:hyperlink>
      <w:r>
        <w:rPr>
          <w:rFonts w:ascii="arial" w:eastAsia="arial" w:hAnsi="arial" w:cs="arial"/>
          <w:b w:val="0"/>
          <w:i w:val="0"/>
          <w:strike w:val="0"/>
          <w:noProof w:val="0"/>
          <w:color w:val="000000"/>
          <w:position w:val="0"/>
          <w:sz w:val="20"/>
          <w:u w:val="none"/>
          <w:vertAlign w:val="baseline"/>
        </w:rPr>
        <w:t xml:space="preserve">. Before a court can enter a default judgment against a defendant, the plaintiff must satisfy the procedural requirements set forth in </w:t>
      </w:r>
      <w:hyperlink r:id="rId15" w:history="1">
        <w:r>
          <w:rPr>
            <w:rFonts w:ascii="arial" w:eastAsia="arial" w:hAnsi="arial" w:cs="arial"/>
            <w:b w:val="0"/>
            <w:i/>
            <w:strike w:val="0"/>
            <w:noProof w:val="0"/>
            <w:color w:val="0077CC"/>
            <w:position w:val="0"/>
            <w:sz w:val="20"/>
            <w:u w:val="single"/>
            <w:vertAlign w:val="baseline"/>
          </w:rPr>
          <w:t>Rules 54(c)</w:t>
        </w:r>
      </w:hyperlink>
      <w:r>
        <w:rPr>
          <w:rFonts w:ascii="arial" w:eastAsia="arial" w:hAnsi="arial" w:cs="arial"/>
          <w:b w:val="0"/>
          <w:i w:val="0"/>
          <w:strike w:val="0"/>
          <w:noProof w:val="0"/>
          <w:color w:val="000000"/>
          <w:position w:val="0"/>
          <w:sz w:val="20"/>
          <w:u w:val="none"/>
          <w:vertAlign w:val="baseline"/>
        </w:rPr>
        <w:t xml:space="preserve"> and </w:t>
      </w:r>
      <w:hyperlink r:id="rId14" w:history="1">
        <w:r>
          <w:rPr>
            <w:rFonts w:ascii="arial" w:eastAsia="arial" w:hAnsi="arial" w:cs="arial"/>
            <w:b w:val="0"/>
            <w:i/>
            <w:strike w:val="0"/>
            <w:noProof w:val="0"/>
            <w:color w:val="0077CC"/>
            <w:position w:val="0"/>
            <w:sz w:val="20"/>
            <w:u w:val="single"/>
            <w:vertAlign w:val="baseline"/>
          </w:rPr>
          <w:t>55</w:t>
        </w:r>
      </w:hyperlink>
      <w:r>
        <w:rPr>
          <w:rFonts w:ascii="arial" w:eastAsia="arial" w:hAnsi="arial" w:cs="arial"/>
          <w:b w:val="0"/>
          <w:i w:val="0"/>
          <w:strike w:val="0"/>
          <w:noProof w:val="0"/>
          <w:color w:val="000000"/>
          <w:position w:val="0"/>
          <w:sz w:val="20"/>
          <w:u w:val="none"/>
          <w:vertAlign w:val="baseline"/>
        </w:rPr>
        <w:t xml:space="preserve">, as well as Local Rules 55-1 and 55-2. </w:t>
      </w:r>
      <w:hyperlink r:id="rId15" w:history="1">
        <w:r>
          <w:rPr>
            <w:rFonts w:ascii="arial" w:eastAsia="arial" w:hAnsi="arial" w:cs="arial"/>
            <w:b w:val="0"/>
            <w:i/>
            <w:strike w:val="0"/>
            <w:noProof w:val="0"/>
            <w:color w:val="0077CC"/>
            <w:position w:val="0"/>
            <w:sz w:val="20"/>
            <w:u w:val="single"/>
            <w:vertAlign w:val="baseline"/>
          </w:rPr>
          <w:t>Fed. R. Civ. P. 54(c)</w:t>
        </w:r>
      </w:hyperlink>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55</w:t>
        </w:r>
      </w:hyperlink>
      <w:r>
        <w:rPr>
          <w:rFonts w:ascii="arial" w:eastAsia="arial" w:hAnsi="arial" w:cs="arial"/>
          <w:b w:val="0"/>
          <w:i w:val="0"/>
          <w:strike w:val="0"/>
          <w:noProof w:val="0"/>
          <w:color w:val="000000"/>
          <w:position w:val="0"/>
          <w:sz w:val="20"/>
          <w:u w:val="none"/>
          <w:vertAlign w:val="baseline"/>
        </w:rPr>
        <w:t xml:space="preserve">; C.D. Cal. L.R. 55-1, 55-2. Local Rule 55-1 requires that the movant submit a declaration and include the following information: (1) when and against which party default was entered; (2) identification of the pleading to which default was entered; (3) whether the defaulting party is a minor or incompetent person; (4) the </w:t>
      </w:r>
      <w:hyperlink r:id="rId16" w:history="1">
        <w:r>
          <w:rPr>
            <w:rFonts w:ascii="arial" w:eastAsia="arial" w:hAnsi="arial" w:cs="arial"/>
            <w:b w:val="0"/>
            <w:i/>
            <w:strike w:val="0"/>
            <w:noProof w:val="0"/>
            <w:color w:val="0077CC"/>
            <w:position w:val="0"/>
            <w:sz w:val="20"/>
            <w:u w:val="single"/>
            <w:vertAlign w:val="baseline"/>
          </w:rPr>
          <w:t>Servicemembers Civil Relief Act, 50 U.S.C. § 521</w:t>
        </w:r>
      </w:hyperlink>
      <w:r>
        <w:rPr>
          <w:rFonts w:ascii="arial" w:eastAsia="arial" w:hAnsi="arial" w:cs="arial"/>
          <w:b w:val="0"/>
          <w:i w:val="0"/>
          <w:strike w:val="0"/>
          <w:noProof w:val="0"/>
          <w:color w:val="000000"/>
          <w:position w:val="0"/>
          <w:sz w:val="20"/>
          <w:u w:val="none"/>
          <w:vertAlign w:val="baseline"/>
        </w:rPr>
        <w:t xml:space="preserve">, does not apply; and (5) the defaulting party was properly served with notice, if required under </w:t>
      </w:r>
      <w:hyperlink r:id="rId14" w:history="1">
        <w:r>
          <w:rPr>
            <w:rFonts w:ascii="arial" w:eastAsia="arial" w:hAnsi="arial" w:cs="arial"/>
            <w:b w:val="0"/>
            <w:i/>
            <w:strike w:val="0"/>
            <w:noProof w:val="0"/>
            <w:color w:val="0077CC"/>
            <w:position w:val="0"/>
            <w:sz w:val="20"/>
            <w:u w:val="single"/>
            <w:vertAlign w:val="baseline"/>
          </w:rPr>
          <w:t>Rule 55(b)(2)</w:t>
        </w:r>
      </w:hyperlink>
      <w:r>
        <w:rPr>
          <w:rFonts w:ascii="arial" w:eastAsia="arial" w:hAnsi="arial" w:cs="arial"/>
          <w:b w:val="0"/>
          <w:i w:val="0"/>
          <w:strike w:val="0"/>
          <w:noProof w:val="0"/>
          <w:color w:val="000000"/>
          <w:position w:val="0"/>
          <w:sz w:val="20"/>
          <w:u w:val="none"/>
          <w:vertAlign w:val="baseline"/>
        </w:rPr>
        <w:t>. C.D. Cal. L.R. 55-1.</w:t>
      </w:r>
    </w:p>
    <w:p>
      <w:pPr>
        <w:keepNext w:val="0"/>
        <w:spacing w:before="200" w:after="0" w:line="260" w:lineRule="atLeast"/>
        <w:ind w:left="0" w:right="0" w:firstLine="0"/>
        <w:jc w:val="both"/>
      </w:pPr>
      <w:bookmarkStart w:id="12" w:name="Bookmark_para_6"/>
      <w:bookmarkEnd w:id="12"/>
      <w:bookmarkStart w:id="13" w:name="Bookmark_I67G15SH2SF8820020000400"/>
      <w:bookmarkEnd w:id="13"/>
      <w:bookmarkStart w:id="14" w:name="Bookmark_I67G15SH2SF8820040000400"/>
      <w:bookmarkEnd w:id="14"/>
      <w:r>
        <w:rPr>
          <w:rFonts w:ascii="arial" w:eastAsia="arial" w:hAnsi="arial" w:cs="arial"/>
          <w:b w:val="0"/>
          <w:i w:val="0"/>
          <w:strike w:val="0"/>
          <w:noProof w:val="0"/>
          <w:color w:val="000000"/>
          <w:position w:val="0"/>
          <w:sz w:val="20"/>
          <w:u w:val="none"/>
          <w:vertAlign w:val="baseline"/>
        </w:rPr>
        <w:t xml:space="preserve">If these procedural requirements are satisfied, a district court has discretion to enter default judgment. </w:t>
      </w:r>
      <w:bookmarkStart w:id="15" w:name="Bookmark_I67G15SH2SF8820010000400"/>
      <w:bookmarkEnd w:id="15"/>
      <w:hyperlink r:id="rId17" w:history="1">
        <w:r>
          <w:rPr>
            <w:rFonts w:ascii="arial" w:eastAsia="arial" w:hAnsi="arial" w:cs="arial"/>
            <w:b w:val="0"/>
            <w:i/>
            <w:strike w:val="0"/>
            <w:noProof w:val="0"/>
            <w:color w:val="0077CC"/>
            <w:position w:val="0"/>
            <w:sz w:val="20"/>
            <w:u w:val="single"/>
            <w:vertAlign w:val="baseline"/>
          </w:rPr>
          <w:t>Aldabe v. Aldabe</w:t>
        </w:r>
      </w:hyperlink>
      <w:hyperlink r:id="rId17" w:history="1">
        <w:r>
          <w:rPr>
            <w:rFonts w:ascii="arial" w:eastAsia="arial" w:hAnsi="arial" w:cs="arial"/>
            <w:b w:val="0"/>
            <w:i/>
            <w:strike w:val="0"/>
            <w:noProof w:val="0"/>
            <w:color w:val="0077CC"/>
            <w:position w:val="0"/>
            <w:sz w:val="20"/>
            <w:u w:val="single"/>
            <w:vertAlign w:val="baseline"/>
          </w:rPr>
          <w:t>, 616 F.2d 1089, 1092 (9th Cir. 1980)</w:t>
        </w:r>
      </w:hyperlink>
      <w:r>
        <w:rPr>
          <w:rFonts w:ascii="arial" w:eastAsia="arial" w:hAnsi="arial" w:cs="arial"/>
          <w:b w:val="0"/>
          <w:i w:val="0"/>
          <w:strike w:val="0"/>
          <w:noProof w:val="0"/>
          <w:color w:val="000000"/>
          <w:position w:val="0"/>
          <w:sz w:val="20"/>
          <w:u w:val="none"/>
          <w:vertAlign w:val="baseline"/>
        </w:rPr>
        <w:t>. "A defendant's default does not automatically entitle the plaintiff to a court-ordered</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judgment." </w:t>
      </w:r>
      <w:bookmarkStart w:id="16" w:name="Bookmark_I67G15SH2SF8820030000400"/>
      <w:bookmarkEnd w:id="16"/>
      <w:hyperlink r:id="rId18" w:history="1">
        <w:r>
          <w:rPr>
            <w:rFonts w:ascii="arial" w:eastAsia="arial" w:hAnsi="arial" w:cs="arial"/>
            <w:b w:val="0"/>
            <w:i/>
            <w:strike w:val="0"/>
            <w:noProof w:val="0"/>
            <w:color w:val="0077CC"/>
            <w:position w:val="0"/>
            <w:sz w:val="20"/>
            <w:u w:val="single"/>
            <w:vertAlign w:val="baseline"/>
          </w:rPr>
          <w:t>PepsiCo, Inc., v. Cal. Sec. Cans</w:t>
        </w:r>
      </w:hyperlink>
      <w:hyperlink r:id="rId18" w:history="1">
        <w:r>
          <w:rPr>
            <w:rFonts w:ascii="arial" w:eastAsia="arial" w:hAnsi="arial" w:cs="arial"/>
            <w:b w:val="0"/>
            <w:i/>
            <w:strike w:val="0"/>
            <w:noProof w:val="0"/>
            <w:color w:val="0077CC"/>
            <w:position w:val="0"/>
            <w:sz w:val="20"/>
            <w:u w:val="single"/>
            <w:vertAlign w:val="baseline"/>
          </w:rPr>
          <w:t>, 238 F. Supp. 2d 1172, 1174 (C.D. Cal 2002)</w:t>
        </w:r>
      </w:hyperlink>
      <w:r>
        <w:rPr>
          <w:rFonts w:ascii="arial" w:eastAsia="arial" w:hAnsi="arial" w:cs="arial"/>
          <w:b w:val="0"/>
          <w:i w:val="0"/>
          <w:strike w:val="0"/>
          <w:noProof w:val="0"/>
          <w:color w:val="000000"/>
          <w:position w:val="0"/>
          <w:sz w:val="20"/>
          <w:u w:val="none"/>
          <w:vertAlign w:val="baseline"/>
        </w:rPr>
        <w:t xml:space="preserve">. </w:t>
      </w:r>
      <w:bookmarkStart w:id="17" w:name="Bookmark_I1PCM0GFWF800006WBY00008"/>
      <w:bookmarkEnd w:id="17"/>
      <w:bookmarkStart w:id="18" w:name="Bookmark_I67G15SH2SF8870010000400"/>
      <w:bookmarkEnd w:id="18"/>
      <w:r>
        <w:rPr>
          <w:rFonts w:ascii="arial" w:eastAsia="arial" w:hAnsi="arial" w:cs="arial"/>
          <w:b w:val="0"/>
          <w:i w:val="0"/>
          <w:strike w:val="0"/>
          <w:noProof w:val="0"/>
          <w:color w:val="000000"/>
          <w:position w:val="0"/>
          <w:sz w:val="20"/>
          <w:u w:val="none"/>
          <w:vertAlign w:val="baseline"/>
        </w:rPr>
        <w:t>In exercising discretion, a court considers several factors ("</w:t>
      </w:r>
      <w:r>
        <w:rPr>
          <w:rFonts w:ascii="arial" w:eastAsia="arial" w:hAnsi="arial" w:cs="arial"/>
          <w:b w:val="0"/>
          <w:i/>
          <w:strike w:val="0"/>
          <w:noProof w:val="0"/>
          <w:color w:val="000000"/>
          <w:position w:val="0"/>
          <w:sz w:val="20"/>
          <w:u w:val="none"/>
          <w:vertAlign w:val="baseline"/>
        </w:rPr>
        <w:t>Eitel</w:t>
      </w:r>
      <w:r>
        <w:rPr>
          <w:rFonts w:ascii="arial" w:eastAsia="arial" w:hAnsi="arial" w:cs="arial"/>
          <w:b w:val="0"/>
          <w:i w:val="0"/>
          <w:strike w:val="0"/>
          <w:noProof w:val="0"/>
          <w:color w:val="000000"/>
          <w:position w:val="0"/>
          <w:sz w:val="20"/>
          <w:u w:val="none"/>
          <w:vertAlign w:val="baseline"/>
        </w:rPr>
        <w:t xml:space="preserve"> Factors"):</w:t>
      </w:r>
    </w:p>
    <w:p>
      <w:pPr>
        <w:keepNext w:val="0"/>
        <w:spacing w:before="200" w:after="0" w:line="260" w:lineRule="atLeast"/>
        <w:ind w:left="400" w:right="0" w:firstLine="0"/>
        <w:jc w:val="both"/>
      </w:pPr>
      <w:bookmarkStart w:id="19" w:name="Bookmark_para_7"/>
      <w:bookmarkEnd w:id="19"/>
      <w:bookmarkStart w:id="20" w:name="Bookmark_I67G15SH2SF8870010000400_2"/>
      <w:bookmarkEnd w:id="20"/>
      <w:r>
        <w:rPr>
          <w:rFonts w:ascii="arial" w:eastAsia="arial" w:hAnsi="arial" w:cs="arial"/>
          <w:b w:val="0"/>
          <w:i w:val="0"/>
          <w:strike w:val="0"/>
          <w:noProof w:val="0"/>
          <w:color w:val="000000"/>
          <w:position w:val="0"/>
          <w:sz w:val="20"/>
          <w:u w:val="none"/>
          <w:vertAlign w:val="baseline"/>
        </w:rPr>
        <w:t>(1) the possibility of prejudice to the plaintiff[;] (2) the merits of plaintiff's substantive claim[;] (3) the sufficiency of the complaint[;] (4) the sum of money at stake in the action; (5) the possibility of a dispute concerning material facts; (6) whether the default was due to excusable neglect[;] and (7) the strong policy underlying the Federal Rules of Civil Procedure favoring decisions on the merits.</w:t>
      </w:r>
    </w:p>
    <w:p>
      <w:pPr>
        <w:keepNext w:val="0"/>
        <w:spacing w:before="240" w:after="0" w:line="260" w:lineRule="atLeast"/>
        <w:ind w:left="0" w:right="0" w:firstLine="0"/>
        <w:jc w:val="both"/>
      </w:pPr>
      <w:bookmarkStart w:id="21" w:name="Bookmark_I67G15SH2SF8870010000400_3"/>
      <w:bookmarkEnd w:id="21"/>
      <w:bookmarkStart w:id="22" w:name="Bookmark_I67G15SH2SF8870030000400"/>
      <w:bookmarkEnd w:id="22"/>
      <w:bookmarkStart w:id="23" w:name="Bookmark_I67G15SH2SF8820050000400"/>
      <w:bookmarkEnd w:id="23"/>
      <w:hyperlink r:id="rId19" w:history="1">
        <w:r>
          <w:rPr>
            <w:rFonts w:ascii="arial" w:eastAsia="arial" w:hAnsi="arial" w:cs="arial"/>
            <w:b w:val="0"/>
            <w:i/>
            <w:strike w:val="0"/>
            <w:color w:val="0077CC"/>
            <w:sz w:val="20"/>
            <w:u w:val="single"/>
            <w:vertAlign w:val="baseline"/>
          </w:rPr>
          <w:t>Eitel v. McCool</w:t>
        </w:r>
      </w:hyperlink>
      <w:hyperlink r:id="rId19" w:history="1">
        <w:r>
          <w:rPr>
            <w:rFonts w:ascii="arial" w:eastAsia="arial" w:hAnsi="arial" w:cs="arial"/>
            <w:b w:val="0"/>
            <w:i/>
            <w:strike w:val="0"/>
            <w:color w:val="0077CC"/>
            <w:sz w:val="20"/>
            <w:u w:val="single"/>
            <w:vertAlign w:val="baseline"/>
          </w:rPr>
          <w:t>, 782 F.2d 1470, 1471-72 (9th Cir. 1986)</w:t>
        </w:r>
      </w:hyperlink>
      <w:r>
        <w:rPr>
          <w:rFonts w:ascii="arial" w:eastAsia="arial" w:hAnsi="arial" w:cs="arial"/>
          <w:b w:val="0"/>
          <w:i w:val="0"/>
          <w:strike w:val="0"/>
          <w:noProof w:val="0"/>
          <w:color w:val="000000"/>
          <w:position w:val="0"/>
          <w:sz w:val="20"/>
          <w:u w:val="none"/>
          <w:vertAlign w:val="baseline"/>
        </w:rPr>
        <w:t xml:space="preserve">. </w:t>
      </w:r>
      <w:bookmarkStart w:id="24" w:name="Bookmark_I67G15SH2SF8870030000400_2"/>
      <w:bookmarkEnd w:id="24"/>
      <w:r>
        <w:rPr>
          <w:rFonts w:ascii="arial" w:eastAsia="arial" w:hAnsi="arial" w:cs="arial"/>
          <w:b w:val="0"/>
          <w:i w:val="0"/>
          <w:strike w:val="0"/>
          <w:noProof w:val="0"/>
          <w:color w:val="000000"/>
          <w:position w:val="0"/>
          <w:sz w:val="20"/>
          <w:u w:val="none"/>
          <w:vertAlign w:val="baseline"/>
        </w:rPr>
        <w:t xml:space="preserve">The Court need not make detailed findings of fact in the event of a default judgment. </w:t>
      </w:r>
      <w:bookmarkStart w:id="25" w:name="Bookmark_I67G15SH2SF8870050000400"/>
      <w:bookmarkEnd w:id="25"/>
      <w:r>
        <w:rPr>
          <w:rFonts w:ascii="arial" w:eastAsia="arial" w:hAnsi="arial" w:cs="arial"/>
          <w:b w:val="0"/>
          <w:i/>
          <w:strike w:val="0"/>
          <w:noProof w:val="0"/>
          <w:color w:val="000000"/>
          <w:position w:val="0"/>
          <w:sz w:val="20"/>
          <w:u w:val="none"/>
          <w:vertAlign w:val="baseline"/>
        </w:rPr>
        <w:t xml:space="preserve">See </w:t>
      </w:r>
      <w:bookmarkStart w:id="26" w:name="Bookmark_I67G15SH2SF8870020000400"/>
      <w:bookmarkEnd w:id="26"/>
      <w:hyperlink r:id="rId20" w:history="1">
        <w:r>
          <w:rPr>
            <w:rFonts w:ascii="arial" w:eastAsia="arial" w:hAnsi="arial" w:cs="arial"/>
            <w:b w:val="0"/>
            <w:i/>
            <w:strike w:val="0"/>
            <w:noProof w:val="0"/>
            <w:color w:val="0077CC"/>
            <w:position w:val="0"/>
            <w:sz w:val="20"/>
            <w:u w:val="single"/>
            <w:vertAlign w:val="baseline"/>
          </w:rPr>
          <w:t>Adriana Int'l Corp. v. Thoeren</w:t>
        </w:r>
      </w:hyperlink>
      <w:hyperlink r:id="rId20" w:history="1">
        <w:r>
          <w:rPr>
            <w:rFonts w:ascii="arial" w:eastAsia="arial" w:hAnsi="arial" w:cs="arial"/>
            <w:b w:val="0"/>
            <w:i/>
            <w:strike w:val="0"/>
            <w:noProof w:val="0"/>
            <w:color w:val="0077CC"/>
            <w:position w:val="0"/>
            <w:sz w:val="20"/>
            <w:u w:val="single"/>
            <w:vertAlign w:val="baseline"/>
          </w:rPr>
          <w:t>, 913 F.2d 1406, 1414 (9th Cir. 1990)</w:t>
        </w:r>
      </w:hyperlink>
      <w:r>
        <w:rPr>
          <w:rFonts w:ascii="arial" w:eastAsia="arial" w:hAnsi="arial" w:cs="arial"/>
          <w:b w:val="0"/>
          <w:i w:val="0"/>
          <w:strike w:val="0"/>
          <w:noProof w:val="0"/>
          <w:color w:val="000000"/>
          <w:position w:val="0"/>
          <w:sz w:val="20"/>
          <w:u w:val="none"/>
          <w:vertAlign w:val="baseline"/>
        </w:rPr>
        <w:t xml:space="preserve">. </w:t>
      </w:r>
      <w:bookmarkStart w:id="27" w:name="Bookmark_I67G15SH2SF8870050000400_2"/>
      <w:bookmarkEnd w:id="27"/>
      <w:r>
        <w:rPr>
          <w:rFonts w:ascii="arial" w:eastAsia="arial" w:hAnsi="arial" w:cs="arial"/>
          <w:b w:val="0"/>
          <w:i w:val="0"/>
          <w:strike w:val="0"/>
          <w:noProof w:val="0"/>
          <w:color w:val="000000"/>
          <w:position w:val="0"/>
          <w:sz w:val="20"/>
          <w:u w:val="none"/>
          <w:vertAlign w:val="baseline"/>
        </w:rPr>
        <w:t xml:space="preserve">Generally, after the Clerk enters default, the defendant's liability is conclusively established, and the well-pleaded factual allegations in the complaint are accepted as true, except those pertaining to damages. </w:t>
      </w:r>
      <w:bookmarkStart w:id="28" w:name="Bookmark_I67G15SH2SF8870040000400"/>
      <w:bookmarkEnd w:id="28"/>
      <w:hyperlink r:id="rId21" w:history="1">
        <w:r>
          <w:rPr>
            <w:rFonts w:ascii="arial" w:eastAsia="arial" w:hAnsi="arial" w:cs="arial"/>
            <w:b w:val="0"/>
            <w:i/>
            <w:strike w:val="0"/>
            <w:noProof w:val="0"/>
            <w:color w:val="0077CC"/>
            <w:position w:val="0"/>
            <w:sz w:val="20"/>
            <w:u w:val="single"/>
            <w:vertAlign w:val="baseline"/>
          </w:rPr>
          <w:t>TeleVideo Sys., Inc. v. Heidenthal</w:t>
        </w:r>
      </w:hyperlink>
      <w:hyperlink r:id="rId21" w:history="1">
        <w:r>
          <w:rPr>
            <w:rFonts w:ascii="arial" w:eastAsia="arial" w:hAnsi="arial" w:cs="arial"/>
            <w:b w:val="0"/>
            <w:i/>
            <w:strike w:val="0"/>
            <w:noProof w:val="0"/>
            <w:color w:val="0077CC"/>
            <w:position w:val="0"/>
            <w:sz w:val="20"/>
            <w:u w:val="single"/>
            <w:vertAlign w:val="baseline"/>
          </w:rPr>
          <w:t>, 826 F.2d 915, 917-18 (9th Cir. 1987)</w:t>
        </w:r>
      </w:hyperlink>
      <w:r>
        <w:rPr>
          <w:rFonts w:ascii="arial" w:eastAsia="arial" w:hAnsi="arial" w:cs="arial"/>
          <w:b w:val="0"/>
          <w:i w:val="0"/>
          <w:strike w:val="0"/>
          <w:noProof w:val="0"/>
          <w:color w:val="000000"/>
          <w:position w:val="0"/>
          <w:sz w:val="20"/>
          <w:u w:val="none"/>
          <w:vertAlign w:val="baseline"/>
        </w:rPr>
        <w:t xml:space="preserve"> (per curiam) (quoting </w:t>
      </w:r>
      <w:bookmarkStart w:id="29" w:name="Bookmark_I67G15SH2D6N330010000400"/>
      <w:bookmarkEnd w:id="29"/>
      <w:hyperlink r:id="rId22" w:history="1">
        <w:r>
          <w:rPr>
            <w:rFonts w:ascii="arial" w:eastAsia="arial" w:hAnsi="arial" w:cs="arial"/>
            <w:b w:val="0"/>
            <w:i/>
            <w:strike w:val="0"/>
            <w:noProof w:val="0"/>
            <w:color w:val="0077CC"/>
            <w:position w:val="0"/>
            <w:sz w:val="20"/>
            <w:u w:val="single"/>
            <w:vertAlign w:val="baseline"/>
          </w:rPr>
          <w:t>Geddes v. United Fin. Grp.</w:t>
        </w:r>
      </w:hyperlink>
      <w:hyperlink r:id="rId22" w:history="1">
        <w:r>
          <w:rPr>
            <w:rFonts w:ascii="arial" w:eastAsia="arial" w:hAnsi="arial" w:cs="arial"/>
            <w:b w:val="0"/>
            <w:i/>
            <w:strike w:val="0"/>
            <w:noProof w:val="0"/>
            <w:color w:val="0077CC"/>
            <w:position w:val="0"/>
            <w:sz w:val="20"/>
            <w:u w:val="single"/>
            <w:vertAlign w:val="baseline"/>
          </w:rPr>
          <w:t>, 559 F.2d 557, 560 (9th Cir. 1977)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DISCUSSION</w:t>
      </w:r>
    </w:p>
    <w:p>
      <w:pPr>
        <w:keepNext w:val="0"/>
        <w:spacing w:before="200" w:after="0" w:line="260" w:lineRule="atLeast"/>
        <w:ind w:left="0" w:right="0" w:firstLine="0"/>
        <w:jc w:val="both"/>
      </w:pPr>
      <w:bookmarkStart w:id="30" w:name="Bookmark_para_8"/>
      <w:bookmarkEnd w:id="30"/>
      <w:r>
        <w:rPr>
          <w:rFonts w:ascii="arial" w:eastAsia="arial" w:hAnsi="arial" w:cs="arial"/>
          <w:b w:val="0"/>
          <w:i w:val="0"/>
          <w:strike w:val="0"/>
          <w:noProof w:val="0"/>
          <w:color w:val="000000"/>
          <w:position w:val="0"/>
          <w:sz w:val="20"/>
          <w:u w:val="none"/>
          <w:vertAlign w:val="baseline"/>
        </w:rPr>
        <w:t>Having reviewed the filings in this action, the Court is satisfied that the Government has met all procedural requirements for obtaining a default judgment against the interests of all potential claimants. Notice was adequately given and the time for filing a claim or answer has expired. There are no pending claims or answers. The Government has satisfied</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the procedural requirements of </w:t>
      </w:r>
      <w:hyperlink r:id="rId14" w:history="1">
        <w:r>
          <w:rPr>
            <w:rFonts w:ascii="arial" w:eastAsia="arial" w:hAnsi="arial" w:cs="arial"/>
            <w:b w:val="0"/>
            <w:i/>
            <w:strike w:val="0"/>
            <w:noProof w:val="0"/>
            <w:color w:val="0077CC"/>
            <w:position w:val="0"/>
            <w:sz w:val="20"/>
            <w:u w:val="single"/>
            <w:vertAlign w:val="baseline"/>
          </w:rPr>
          <w:t>Rule 55</w:t>
        </w:r>
      </w:hyperlink>
      <w:r>
        <w:rPr>
          <w:rFonts w:ascii="arial" w:eastAsia="arial" w:hAnsi="arial" w:cs="arial"/>
          <w:b w:val="0"/>
          <w:i w:val="0"/>
          <w:strike w:val="0"/>
          <w:noProof w:val="0"/>
          <w:color w:val="000000"/>
          <w:position w:val="0"/>
          <w:sz w:val="20"/>
          <w:u w:val="none"/>
          <w:vertAlign w:val="baseline"/>
        </w:rPr>
        <w:t xml:space="preserve"> and Local Rule 55-1: (1) on November 17, 2022, the Clerk entered default against the Defendant Funds and the interests of all potential claimants; (2) no potential claimants responded to the Complaint; (3) there are no known potential claimants who are minors or incompetent persons; and (4) there are no known potential claimants who serve in the U.S. military, so the Service Members Civil Relief Act does not apply. (</w:t>
      </w:r>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Default; Vavere Decl. ¶¶ 7-10.)</w:t>
      </w:r>
    </w:p>
    <w:p>
      <w:pPr>
        <w:keepNext w:val="0"/>
        <w:spacing w:before="240" w:after="0" w:line="260" w:lineRule="atLeast"/>
        <w:ind w:left="0" w:right="0" w:firstLine="0"/>
        <w:jc w:val="both"/>
      </w:pPr>
      <w:bookmarkStart w:id="31" w:name="Bookmark_para_9"/>
      <w:bookmarkEnd w:id="31"/>
      <w:bookmarkStart w:id="32" w:name="Bookmark_I1PCM0GFRY600006WBY00007"/>
      <w:bookmarkEnd w:id="32"/>
      <w:bookmarkStart w:id="33" w:name="Bookmark_I67G15SH2D6N330040000400"/>
      <w:bookmarkEnd w:id="33"/>
      <w:r>
        <w:rPr>
          <w:rFonts w:ascii="arial" w:eastAsia="arial" w:hAnsi="arial" w:cs="arial"/>
          <w:b w:val="0"/>
          <w:i w:val="0"/>
          <w:strike w:val="0"/>
          <w:noProof w:val="0"/>
          <w:color w:val="000000"/>
          <w:position w:val="0"/>
          <w:sz w:val="20"/>
          <w:u w:val="none"/>
          <w:vertAlign w:val="baseline"/>
        </w:rPr>
        <w:t xml:space="preserve">Further, the Court finds that on balance the </w:t>
      </w:r>
      <w:bookmarkStart w:id="34" w:name="Bookmark_I67G15SH2D6N330030000400"/>
      <w:bookmarkEnd w:id="34"/>
      <w:hyperlink r:id="rId19" w:history="1">
        <w:r>
          <w:rPr>
            <w:rFonts w:ascii="arial" w:eastAsia="arial" w:hAnsi="arial" w:cs="arial"/>
            <w:b w:val="0"/>
            <w:i/>
            <w:strike w:val="0"/>
            <w:noProof w:val="0"/>
            <w:color w:val="0077CC"/>
            <w:position w:val="0"/>
            <w:sz w:val="20"/>
            <w:u w:val="single"/>
            <w:vertAlign w:val="baseline"/>
          </w:rPr>
          <w:t>Eitel</w:t>
        </w:r>
      </w:hyperlink>
      <w:r>
        <w:rPr>
          <w:rFonts w:ascii="arial" w:eastAsia="arial" w:hAnsi="arial" w:cs="arial"/>
          <w:b w:val="0"/>
          <w:i w:val="0"/>
          <w:strike w:val="0"/>
          <w:noProof w:val="0"/>
          <w:color w:val="000000"/>
          <w:position w:val="0"/>
          <w:sz w:val="20"/>
          <w:u w:val="none"/>
          <w:vertAlign w:val="baseline"/>
        </w:rPr>
        <w:t xml:space="preserve"> Factors weigh in favor of granting the Government's Motion. </w:t>
      </w:r>
      <w:bookmarkStart w:id="35" w:name="Bookmark_I67G15SJ28T3XV0010000400"/>
      <w:bookmarkEnd w:id="35"/>
      <w:r>
        <w:rPr>
          <w:rFonts w:ascii="arial" w:eastAsia="arial" w:hAnsi="arial" w:cs="arial"/>
          <w:b w:val="0"/>
          <w:i w:val="0"/>
          <w:strike w:val="0"/>
          <w:noProof w:val="0"/>
          <w:color w:val="000000"/>
          <w:position w:val="0"/>
          <w:sz w:val="20"/>
          <w:u w:val="none"/>
          <w:vertAlign w:val="baseline"/>
        </w:rPr>
        <w:t xml:space="preserve">The allegations establish that Yih pleaded guilty to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goods into the United States, </w:t>
      </w:r>
      <w:hyperlink r:id="rId9" w:history="1">
        <w:r>
          <w:rPr>
            <w:rFonts w:ascii="arial" w:eastAsia="arial" w:hAnsi="arial" w:cs="arial"/>
            <w:b w:val="0"/>
            <w:i/>
            <w:strike w:val="0"/>
            <w:noProof w:val="0"/>
            <w:color w:val="0077CC"/>
            <w:position w:val="0"/>
            <w:sz w:val="20"/>
            <w:u w:val="single"/>
            <w:vertAlign w:val="baseline"/>
          </w:rPr>
          <w:t>18 U.S.C. § 545</w:t>
        </w:r>
      </w:hyperlink>
      <w:r>
        <w:rPr>
          <w:rFonts w:ascii="arial" w:eastAsia="arial" w:hAnsi="arial" w:cs="arial"/>
          <w:b w:val="0"/>
          <w:i w:val="0"/>
          <w:strike w:val="0"/>
          <w:noProof w:val="0"/>
          <w:color w:val="000000"/>
          <w:position w:val="0"/>
          <w:sz w:val="20"/>
          <w:u w:val="none"/>
          <w:vertAlign w:val="baseline"/>
        </w:rPr>
        <w:t xml:space="preserve">, and money laundering, </w:t>
      </w:r>
      <w:hyperlink r:id="rId10" w:history="1">
        <w:r>
          <w:rPr>
            <w:rFonts w:ascii="arial" w:eastAsia="arial" w:hAnsi="arial" w:cs="arial"/>
            <w:b w:val="0"/>
            <w:i/>
            <w:strike w:val="0"/>
            <w:noProof w:val="0"/>
            <w:color w:val="0077CC"/>
            <w:position w:val="0"/>
            <w:sz w:val="20"/>
            <w:u w:val="single"/>
            <w:vertAlign w:val="baseline"/>
          </w:rPr>
          <w:t>18 U.S.C. § 1956(a)(1)(A)(i)</w:t>
        </w:r>
      </w:hyperlink>
      <w:r>
        <w:rPr>
          <w:rFonts w:ascii="arial" w:eastAsia="arial" w:hAnsi="arial" w:cs="arial"/>
          <w:b w:val="0"/>
          <w:i w:val="0"/>
          <w:strike w:val="0"/>
          <w:noProof w:val="0"/>
          <w:color w:val="000000"/>
          <w:position w:val="0"/>
          <w:sz w:val="20"/>
          <w:u w:val="none"/>
          <w:vertAlign w:val="baseline"/>
        </w:rPr>
        <w:t xml:space="preserve">, and agreed to forfeit the Defendant Funds as proceeds of said violations, rendering the Defendant Funds subject to forfeiture pursuant to </w:t>
      </w:r>
      <w:hyperlink r:id="rId11" w:history="1">
        <w:r>
          <w:rPr>
            <w:rFonts w:ascii="arial" w:eastAsia="arial" w:hAnsi="arial" w:cs="arial"/>
            <w:b w:val="0"/>
            <w:i/>
            <w:strike w:val="0"/>
            <w:noProof w:val="0"/>
            <w:color w:val="0077CC"/>
            <w:position w:val="0"/>
            <w:sz w:val="20"/>
            <w:u w:val="single"/>
            <w:vertAlign w:val="baseline"/>
          </w:rPr>
          <w:t>18 U.S.C. §§ 981(a)(1)(A)</w:t>
        </w:r>
      </w:hyperlink>
      <w:r>
        <w:rPr>
          <w:rFonts w:ascii="arial" w:eastAsia="arial" w:hAnsi="arial" w:cs="arial"/>
          <w:b w:val="0"/>
          <w:i w:val="0"/>
          <w:strike w:val="0"/>
          <w:noProof w:val="0"/>
          <w:color w:val="000000"/>
          <w:position w:val="0"/>
          <w:sz w:val="20"/>
          <w:u w:val="none"/>
          <w:vertAlign w:val="baseline"/>
        </w:rPr>
        <w:t xml:space="preserve"> and </w:t>
      </w:r>
      <w:hyperlink r:id="rId11" w:history="1">
        <w:r>
          <w:rPr>
            <w:rFonts w:ascii="arial" w:eastAsia="arial" w:hAnsi="arial" w:cs="arial"/>
            <w:b w:val="0"/>
            <w:i/>
            <w:strike w:val="0"/>
            <w:noProof w:val="0"/>
            <w:color w:val="0077CC"/>
            <w:position w:val="0"/>
            <w:sz w:val="20"/>
            <w:u w:val="single"/>
            <w:vertAlign w:val="baseline"/>
          </w:rPr>
          <w:t>(C)</w:t>
        </w:r>
      </w:hyperlink>
      <w:r>
        <w:rPr>
          <w:rFonts w:ascii="arial" w:eastAsia="arial" w:hAnsi="arial" w:cs="arial"/>
          <w:b w:val="0"/>
          <w:i w:val="0"/>
          <w:strike w:val="0"/>
          <w:noProof w:val="0"/>
          <w:color w:val="000000"/>
          <w:position w:val="0"/>
          <w:sz w:val="20"/>
          <w:u w:val="none"/>
          <w:vertAlign w:val="baseline"/>
        </w:rPr>
        <w:t xml:space="preserve">, and </w:t>
      </w:r>
      <w:hyperlink r:id="rId12" w:history="1">
        <w:r>
          <w:rPr>
            <w:rFonts w:ascii="arial" w:eastAsia="arial" w:hAnsi="arial" w:cs="arial"/>
            <w:b w:val="0"/>
            <w:i/>
            <w:strike w:val="0"/>
            <w:noProof w:val="0"/>
            <w:color w:val="0077CC"/>
            <w:position w:val="0"/>
            <w:sz w:val="20"/>
            <w:u w:val="single"/>
            <w:vertAlign w:val="baseline"/>
          </w:rPr>
          <w:t>984</w:t>
        </w:r>
      </w:hyperlink>
      <w:r>
        <w:rPr>
          <w:rFonts w:ascii="arial" w:eastAsia="arial" w:hAnsi="arial" w:cs="arial"/>
          <w:b w:val="0"/>
          <w:i w:val="0"/>
          <w:strike w:val="0"/>
          <w:noProof w:val="0"/>
          <w:color w:val="000000"/>
          <w:position w:val="0"/>
          <w:sz w:val="20"/>
          <w:u w:val="none"/>
          <w:vertAlign w:val="baseline"/>
        </w:rPr>
        <w:t xml:space="preserve">. </w:t>
      </w:r>
      <w:bookmarkStart w:id="36" w:name="Bookmark_I67G15SJ28T3XV0010000400_2"/>
      <w:bookmarkEnd w:id="36"/>
      <w:r>
        <w:rPr>
          <w:rFonts w:ascii="arial" w:eastAsia="arial" w:hAnsi="arial" w:cs="arial"/>
          <w:b w:val="0"/>
          <w:i w:val="0"/>
          <w:strike w:val="0"/>
          <w:noProof w:val="0"/>
          <w:color w:val="000000"/>
          <w:position w:val="0"/>
          <w:sz w:val="20"/>
          <w:u w:val="none"/>
          <w:vertAlign w:val="baseline"/>
        </w:rPr>
        <w:t xml:space="preserve">In light of the well-pleaded allegations in the Complaint and that no potential claimants filed a claim, the Government's interest in an efficient resolution of the case outweighs any potential claimant's interest in adjudication on the merits. </w:t>
      </w:r>
      <w:r>
        <w:rPr>
          <w:rFonts w:ascii="arial" w:eastAsia="arial" w:hAnsi="arial" w:cs="arial"/>
          <w:b w:val="0"/>
          <w:i/>
          <w:strike w:val="0"/>
          <w:noProof w:val="0"/>
          <w:color w:val="000000"/>
          <w:position w:val="0"/>
          <w:sz w:val="20"/>
          <w:u w:val="none"/>
          <w:vertAlign w:val="baseline"/>
        </w:rPr>
        <w:t xml:space="preserve">See </w:t>
      </w:r>
      <w:bookmarkStart w:id="37" w:name="Bookmark_I67G15SH2D6N330050000400"/>
      <w:bookmarkEnd w:id="37"/>
      <w:hyperlink r:id="rId18" w:history="1">
        <w:r>
          <w:rPr>
            <w:rFonts w:ascii="arial" w:eastAsia="arial" w:hAnsi="arial" w:cs="arial"/>
            <w:b w:val="0"/>
            <w:i/>
            <w:strike w:val="0"/>
            <w:noProof w:val="0"/>
            <w:color w:val="0077CC"/>
            <w:position w:val="0"/>
            <w:sz w:val="20"/>
            <w:u w:val="single"/>
            <w:vertAlign w:val="baseline"/>
          </w:rPr>
          <w:t>PepsiCo</w:t>
        </w:r>
      </w:hyperlink>
      <w:hyperlink r:id="rId18" w:history="1">
        <w:r>
          <w:rPr>
            <w:rFonts w:ascii="arial" w:eastAsia="arial" w:hAnsi="arial" w:cs="arial"/>
            <w:b w:val="0"/>
            <w:i/>
            <w:strike w:val="0"/>
            <w:noProof w:val="0"/>
            <w:color w:val="0077CC"/>
            <w:position w:val="0"/>
            <w:sz w:val="20"/>
            <w:u w:val="single"/>
            <w:vertAlign w:val="baseline"/>
          </w:rPr>
          <w:t>, 238 F. Supp. 2d at 1177</w:t>
        </w:r>
      </w:hyperlink>
      <w:r>
        <w:rPr>
          <w:rFonts w:ascii="arial" w:eastAsia="arial" w:hAnsi="arial" w:cs="arial"/>
          <w:b w:val="0"/>
          <w:i w:val="0"/>
          <w:strike w:val="0"/>
          <w:noProof w:val="0"/>
          <w:color w:val="000000"/>
          <w:position w:val="0"/>
          <w:sz w:val="20"/>
          <w:u w:val="none"/>
          <w:vertAlign w:val="baseline"/>
        </w:rPr>
        <w:t xml:space="preserve"> ("Defendant's failure to answer Plaintiffs' Complaint makes a decision on the merits impractical, if not impossible.").</w:t>
      </w:r>
    </w:p>
    <w:p>
      <w:pPr>
        <w:keepNext w:val="0"/>
        <w:spacing w:before="240" w:after="0" w:line="260" w:lineRule="atLeast"/>
        <w:ind w:left="0" w:right="0" w:firstLine="0"/>
        <w:jc w:val="both"/>
      </w:pPr>
      <w:bookmarkStart w:id="38" w:name="Bookmark_para_10"/>
      <w:bookmarkEnd w:id="38"/>
      <w:r>
        <w:rPr>
          <w:rFonts w:ascii="arial" w:eastAsia="arial" w:hAnsi="arial" w:cs="arial"/>
          <w:b w:val="0"/>
          <w:i w:val="0"/>
          <w:strike w:val="0"/>
          <w:noProof w:val="0"/>
          <w:color w:val="000000"/>
          <w:position w:val="0"/>
          <w:sz w:val="20"/>
          <w:u w:val="none"/>
          <w:vertAlign w:val="baseline"/>
        </w:rPr>
        <w:t>Having determined</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that entry of default judgment is appropriate, the Court finds that forfeiture of the Defendant Funds to the United States for disposition according to law is proper because it does not "differ in kind from, or exceed in amount, what is demanded in the pleadings." </w:t>
      </w:r>
      <w:hyperlink r:id="rId15" w:history="1">
        <w:r>
          <w:rPr>
            <w:rFonts w:ascii="arial" w:eastAsia="arial" w:hAnsi="arial" w:cs="arial"/>
            <w:b w:val="0"/>
            <w:i/>
            <w:strike w:val="0"/>
            <w:noProof w:val="0"/>
            <w:color w:val="0077CC"/>
            <w:position w:val="0"/>
            <w:sz w:val="20"/>
            <w:u w:val="single"/>
            <w:vertAlign w:val="baseline"/>
          </w:rPr>
          <w:t>Fed. R. Civ. P. 54(c)</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CONCLUSION</w:t>
      </w:r>
    </w:p>
    <w:p>
      <w:pPr>
        <w:keepNext w:val="0"/>
        <w:spacing w:before="200" w:after="0" w:line="260" w:lineRule="atLeast"/>
        <w:ind w:left="0" w:right="0" w:firstLine="0"/>
        <w:jc w:val="both"/>
      </w:pPr>
      <w:bookmarkStart w:id="39" w:name="Bookmark_para_11"/>
      <w:bookmarkEnd w:id="39"/>
      <w:r>
        <w:rPr>
          <w:rFonts w:ascii="arial" w:eastAsia="arial" w:hAnsi="arial" w:cs="arial"/>
          <w:b w:val="0"/>
          <w:i w:val="0"/>
          <w:strike w:val="0"/>
          <w:noProof w:val="0"/>
          <w:color w:val="000000"/>
          <w:position w:val="0"/>
          <w:sz w:val="20"/>
          <w:u w:val="none"/>
          <w:vertAlign w:val="baseline"/>
        </w:rPr>
        <w:t xml:space="preserve">For the reasons discussed above, the Court </w:t>
      </w:r>
      <w:r>
        <w:rPr>
          <w:rFonts w:ascii="arial" w:eastAsia="arial" w:hAnsi="arial" w:cs="arial"/>
          <w:b/>
          <w:i w:val="0"/>
          <w:strike w:val="0"/>
          <w:noProof w:val="0"/>
          <w:color w:val="000000"/>
          <w:position w:val="0"/>
          <w:sz w:val="20"/>
          <w:u w:val="none"/>
          <w:vertAlign w:val="baseline"/>
        </w:rPr>
        <w:t>GRANTS</w:t>
      </w:r>
      <w:r>
        <w:rPr>
          <w:rFonts w:ascii="arial" w:eastAsia="arial" w:hAnsi="arial" w:cs="arial"/>
          <w:b w:val="0"/>
          <w:i w:val="0"/>
          <w:strike w:val="0"/>
          <w:noProof w:val="0"/>
          <w:color w:val="000000"/>
          <w:position w:val="0"/>
          <w:sz w:val="20"/>
          <w:u w:val="none"/>
          <w:vertAlign w:val="baseline"/>
        </w:rPr>
        <w:t xml:space="preserve"> the Government's Motion for Default Judgment. (ECF No. 19.) A separate judgment will issue.</w:t>
      </w:r>
    </w:p>
    <w:p>
      <w:pPr>
        <w:keepNext w:val="0"/>
        <w:spacing w:before="200" w:after="0" w:line="260" w:lineRule="atLeast"/>
        <w:ind w:left="0" w:right="0" w:firstLine="0"/>
        <w:jc w:val="both"/>
      </w:pPr>
      <w:bookmarkStart w:id="40" w:name="Bookmark_para_12"/>
      <w:bookmarkEnd w:id="40"/>
      <w:r>
        <w:rPr>
          <w:rFonts w:ascii="arial" w:eastAsia="arial" w:hAnsi="arial" w:cs="arial"/>
          <w:b/>
          <w:i w:val="0"/>
          <w:strike w:val="0"/>
          <w:noProof w:val="0"/>
          <w:color w:val="000000"/>
          <w:position w:val="0"/>
          <w:sz w:val="20"/>
          <w:u w:val="none"/>
          <w:vertAlign w:val="baseline"/>
        </w:rPr>
        <w:t>IT IS SO ORDERED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1" w:name="Bookmark_para_13"/>
      <w:bookmarkEnd w:id="41"/>
      <w:r>
        <w:rPr>
          <w:rFonts w:ascii="arial" w:eastAsia="arial" w:hAnsi="arial" w:cs="arial"/>
          <w:b w:val="0"/>
          <w:i w:val="0"/>
          <w:strike w:val="0"/>
          <w:noProof w:val="0"/>
          <w:color w:val="000000"/>
          <w:position w:val="0"/>
          <w:sz w:val="20"/>
          <w:u w:val="none"/>
          <w:vertAlign w:val="baseline"/>
        </w:rPr>
        <w:t>January 31, 2023</w:t>
      </w:r>
    </w:p>
    <w:p>
      <w:pPr>
        <w:keepNext w:val="0"/>
        <w:spacing w:before="200" w:after="0" w:line="260" w:lineRule="atLeast"/>
        <w:ind w:left="0" w:right="0" w:firstLine="0"/>
        <w:jc w:val="both"/>
      </w:pPr>
      <w:bookmarkStart w:id="42" w:name="Bookmark_para_14"/>
      <w:bookmarkEnd w:id="42"/>
      <w:r>
        <w:rPr>
          <w:rFonts w:ascii="arial" w:eastAsia="arial" w:hAnsi="arial" w:cs="arial"/>
          <w:b w:val="0"/>
          <w:i w:val="0"/>
          <w:strike w:val="0"/>
          <w:noProof w:val="0"/>
          <w:color w:val="000000"/>
          <w:position w:val="0"/>
          <w:sz w:val="20"/>
          <w:u w:val="none"/>
          <w:vertAlign w:val="baseline"/>
        </w:rPr>
        <w:t>/s/ Otis D. Wright, II</w:t>
      </w:r>
    </w:p>
    <w:p>
      <w:pPr>
        <w:keepNext w:val="0"/>
        <w:spacing w:before="200" w:after="0" w:line="260" w:lineRule="atLeast"/>
        <w:ind w:left="0" w:right="0" w:firstLine="0"/>
        <w:jc w:val="both"/>
      </w:pPr>
      <w:bookmarkStart w:id="43" w:name="Bookmark_para_15"/>
      <w:bookmarkEnd w:id="43"/>
      <w:r>
        <w:rPr>
          <w:rFonts w:ascii="arial" w:eastAsia="arial" w:hAnsi="arial" w:cs="arial"/>
          <w:b/>
          <w:i w:val="0"/>
          <w:strike w:val="0"/>
          <w:noProof w:val="0"/>
          <w:color w:val="000000"/>
          <w:position w:val="0"/>
          <w:sz w:val="20"/>
          <w:u w:val="none"/>
          <w:vertAlign w:val="baseline"/>
        </w:rPr>
        <w:t>OTIS D. WRIGHT, II</w:t>
      </w:r>
    </w:p>
    <w:p>
      <w:pPr>
        <w:keepNext w:val="0"/>
        <w:spacing w:before="200" w:after="0" w:line="260" w:lineRule="atLeast"/>
        <w:ind w:left="0" w:right="0" w:firstLine="0"/>
        <w:jc w:val="both"/>
      </w:pPr>
      <w:bookmarkStart w:id="44" w:name="Bookmark_para_16"/>
      <w:bookmarkEnd w:id="44"/>
      <w:r>
        <w:rPr>
          <w:rFonts w:ascii="arial" w:eastAsia="arial" w:hAnsi="arial" w:cs="arial"/>
          <w:b/>
          <w:i w:val="0"/>
          <w:strike w:val="0"/>
          <w:noProof w:val="0"/>
          <w:color w:val="000000"/>
          <w:position w:val="0"/>
          <w:sz w:val="20"/>
          <w:u w:val="none"/>
          <w:vertAlign w:val="baseline"/>
        </w:rPr>
        <w:t>UNITED STATES DISTRICT JUDGE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DEFAULT JUDGMENT OF FORFEITURE</w:t>
      </w:r>
    </w:p>
    <w:p>
      <w:pPr>
        <w:keepNext w:val="0"/>
        <w:spacing w:before="200" w:after="0" w:line="260" w:lineRule="atLeast"/>
        <w:ind w:left="0" w:right="0" w:firstLine="0"/>
        <w:jc w:val="both"/>
      </w:pPr>
      <w:bookmarkStart w:id="45" w:name="Bookmark_para_17"/>
      <w:bookmarkEnd w:id="45"/>
      <w:r>
        <w:rPr>
          <w:rFonts w:ascii="arial" w:eastAsia="arial" w:hAnsi="arial" w:cs="arial"/>
          <w:b w:val="0"/>
          <w:i w:val="0"/>
          <w:strike w:val="0"/>
          <w:noProof w:val="0"/>
          <w:color w:val="000000"/>
          <w:position w:val="0"/>
          <w:sz w:val="20"/>
          <w:u w:val="none"/>
          <w:vertAlign w:val="baseline"/>
        </w:rPr>
        <w:t xml:space="preserve">On August 18, 2022, Plaintiff United States of America ("Government") filed a Verified Complaint for Forfeiture as to the defendant $15,768,787.86 in funds wired to a United States Treasury account on or about March 15, 2022 from Sunny Bank Account, ending in the last four digits 0061 and held in the name of I-Yun Yih, also known as "Nancy Yih" ("Defendant Funds"), pursuant to </w:t>
      </w:r>
      <w:hyperlink r:id="rId11" w:history="1">
        <w:r>
          <w:rPr>
            <w:rFonts w:ascii="arial" w:eastAsia="arial" w:hAnsi="arial" w:cs="arial"/>
            <w:b w:val="0"/>
            <w:i/>
            <w:strike w:val="0"/>
            <w:noProof w:val="0"/>
            <w:color w:val="0077CC"/>
            <w:position w:val="0"/>
            <w:sz w:val="20"/>
            <w:u w:val="single"/>
            <w:vertAlign w:val="baseline"/>
          </w:rPr>
          <w:t>18 U.S.C. § 981(a)(1)(A)</w:t>
        </w:r>
      </w:hyperlink>
      <w:r>
        <w:rPr>
          <w:rFonts w:ascii="arial" w:eastAsia="arial" w:hAnsi="arial" w:cs="arial"/>
          <w:b w:val="0"/>
          <w:i w:val="0"/>
          <w:strike w:val="0"/>
          <w:noProof w:val="0"/>
          <w:color w:val="000000"/>
          <w:position w:val="0"/>
          <w:sz w:val="20"/>
          <w:u w:val="none"/>
          <w:vertAlign w:val="baseline"/>
        </w:rPr>
        <w:t xml:space="preserve"> and </w:t>
      </w:r>
      <w:hyperlink r:id="rId11" w:history="1">
        <w:r>
          <w:rPr>
            <w:rFonts w:ascii="arial" w:eastAsia="arial" w:hAnsi="arial" w:cs="arial"/>
            <w:b w:val="0"/>
            <w:i/>
            <w:strike w:val="0"/>
            <w:noProof w:val="0"/>
            <w:color w:val="0077CC"/>
            <w:position w:val="0"/>
            <w:sz w:val="20"/>
            <w:u w:val="single"/>
            <w:vertAlign w:val="baseline"/>
          </w:rPr>
          <w:t>(C)</w:t>
        </w:r>
      </w:hyperlink>
      <w:r>
        <w:rPr>
          <w:rFonts w:ascii="arial" w:eastAsia="arial" w:hAnsi="arial" w:cs="arial"/>
          <w:b w:val="0"/>
          <w:i w:val="0"/>
          <w:strike w:val="0"/>
          <w:noProof w:val="0"/>
          <w:color w:val="000000"/>
          <w:position w:val="0"/>
          <w:sz w:val="20"/>
          <w:u w:val="none"/>
          <w:vertAlign w:val="baseline"/>
        </w:rPr>
        <w:t xml:space="preserve"> and </w:t>
      </w:r>
      <w:hyperlink r:id="rId12" w:history="1">
        <w:r>
          <w:rPr>
            <w:rFonts w:ascii="arial" w:eastAsia="arial" w:hAnsi="arial" w:cs="arial"/>
            <w:b w:val="0"/>
            <w:i/>
            <w:strike w:val="0"/>
            <w:noProof w:val="0"/>
            <w:color w:val="0077CC"/>
            <w:position w:val="0"/>
            <w:sz w:val="20"/>
            <w:u w:val="single"/>
            <w:vertAlign w:val="baseline"/>
          </w:rPr>
          <w:t>984</w:t>
        </w:r>
      </w:hyperlink>
      <w:r>
        <w:rPr>
          <w:rFonts w:ascii="arial" w:eastAsia="arial" w:hAnsi="arial" w:cs="arial"/>
          <w:b w:val="0"/>
          <w:i w:val="0"/>
          <w:strike w:val="0"/>
          <w:noProof w:val="0"/>
          <w:color w:val="000000"/>
          <w:position w:val="0"/>
          <w:sz w:val="20"/>
          <w:u w:val="none"/>
          <w:vertAlign w:val="baseline"/>
        </w:rPr>
        <w:t xml:space="preserve">. On November 17, 2022, the Clerk entered default against the Defendant Funds and all potential claimants. The Court, having been duly advised of and having considered the matter, </w:t>
      </w:r>
      <w:r>
        <w:rPr>
          <w:rFonts w:ascii="arial" w:eastAsia="arial" w:hAnsi="arial" w:cs="arial"/>
          <w:b/>
          <w:i w:val="0"/>
          <w:strike w:val="0"/>
          <w:noProof w:val="0"/>
          <w:color w:val="000000"/>
          <w:position w:val="0"/>
          <w:sz w:val="20"/>
          <w:u w:val="none"/>
          <w:vertAlign w:val="baseline"/>
        </w:rPr>
        <w:t>GRANTS</w:t>
      </w:r>
      <w:r>
        <w:rPr>
          <w:rFonts w:ascii="arial" w:eastAsia="arial" w:hAnsi="arial" w:cs="arial"/>
          <w:b w:val="0"/>
          <w:i w:val="0"/>
          <w:strike w:val="0"/>
          <w:noProof w:val="0"/>
          <w:color w:val="000000"/>
          <w:position w:val="0"/>
          <w:sz w:val="20"/>
          <w:u w:val="none"/>
          <w:vertAlign w:val="baseline"/>
        </w:rPr>
        <w:t xml:space="preserve"> the Government's Motion for Default Judgment, (ECF No. 19), and enters</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judgment as follows:</w:t>
      </w:r>
    </w:p>
    <w:p>
      <w:pPr>
        <w:keepNext w:val="0"/>
        <w:spacing w:before="200" w:after="0" w:line="260" w:lineRule="atLeast"/>
        <w:ind w:left="0" w:right="0" w:firstLine="0"/>
        <w:jc w:val="both"/>
      </w:pPr>
      <w:bookmarkStart w:id="46" w:name="Bookmark_para_18"/>
      <w:bookmarkEnd w:id="46"/>
      <w:r>
        <w:rPr>
          <w:rFonts w:ascii="arial" w:eastAsia="arial" w:hAnsi="arial" w:cs="arial"/>
          <w:b/>
          <w:i w:val="0"/>
          <w:strike w:val="0"/>
          <w:noProof w:val="0"/>
          <w:color w:val="000000"/>
          <w:position w:val="0"/>
          <w:sz w:val="20"/>
          <w:u w:val="none"/>
          <w:vertAlign w:val="baseline"/>
        </w:rPr>
        <w:t>IT IS HEREBY ORDERED, ADJUDGED AND DECREED:</w:t>
      </w:r>
    </w:p>
    <w:p>
      <w:pPr>
        <w:keepNext w:val="0"/>
        <w:spacing w:before="200" w:after="0" w:line="260" w:lineRule="atLeast"/>
        <w:ind w:left="0" w:right="0" w:firstLine="0"/>
        <w:jc w:val="both"/>
      </w:pPr>
      <w:bookmarkStart w:id="47" w:name="Bookmark_para_19"/>
      <w:bookmarkEnd w:id="47"/>
      <w:r>
        <w:rPr>
          <w:rFonts w:ascii="arial" w:eastAsia="arial" w:hAnsi="arial" w:cs="arial"/>
          <w:b w:val="0"/>
          <w:i w:val="0"/>
          <w:strike w:val="0"/>
          <w:noProof w:val="0"/>
          <w:color w:val="000000"/>
          <w:position w:val="0"/>
          <w:sz w:val="20"/>
          <w:u w:val="none"/>
          <w:vertAlign w:val="baseline"/>
        </w:rPr>
        <w:t>1. This Court has jurisdiction over the subject matter of this action and over the parties.</w:t>
      </w:r>
    </w:p>
    <w:p>
      <w:pPr>
        <w:keepNext w:val="0"/>
        <w:spacing w:before="240" w:after="0" w:line="260" w:lineRule="atLeast"/>
        <w:ind w:left="0" w:right="0" w:firstLine="0"/>
        <w:jc w:val="both"/>
      </w:pPr>
      <w:bookmarkStart w:id="48" w:name="Bookmark_para_20"/>
      <w:bookmarkEnd w:id="48"/>
      <w:r>
        <w:rPr>
          <w:rFonts w:ascii="arial" w:eastAsia="arial" w:hAnsi="arial" w:cs="arial"/>
          <w:b w:val="0"/>
          <w:i w:val="0"/>
          <w:strike w:val="0"/>
          <w:noProof w:val="0"/>
          <w:color w:val="000000"/>
          <w:position w:val="0"/>
          <w:sz w:val="20"/>
          <w:u w:val="none"/>
          <w:vertAlign w:val="baseline"/>
        </w:rPr>
        <w:t xml:space="preserve">2. The Verified Complaint for Forfeiture states a claim for relief pursuant to </w:t>
      </w:r>
      <w:hyperlink r:id="rId11" w:history="1">
        <w:r>
          <w:rPr>
            <w:rFonts w:ascii="arial" w:eastAsia="arial" w:hAnsi="arial" w:cs="arial"/>
            <w:b w:val="0"/>
            <w:i/>
            <w:strike w:val="0"/>
            <w:noProof w:val="0"/>
            <w:color w:val="0077CC"/>
            <w:position w:val="0"/>
            <w:sz w:val="20"/>
            <w:u w:val="single"/>
            <w:vertAlign w:val="baseline"/>
          </w:rPr>
          <w:t>18 U.S.C. § 981(a)(1)(A)</w:t>
        </w:r>
      </w:hyperlink>
      <w:r>
        <w:rPr>
          <w:rFonts w:ascii="arial" w:eastAsia="arial" w:hAnsi="arial" w:cs="arial"/>
          <w:b w:val="0"/>
          <w:i w:val="0"/>
          <w:strike w:val="0"/>
          <w:noProof w:val="0"/>
          <w:color w:val="000000"/>
          <w:position w:val="0"/>
          <w:sz w:val="20"/>
          <w:u w:val="none"/>
          <w:vertAlign w:val="baseline"/>
        </w:rPr>
        <w:t xml:space="preserve"> and </w:t>
      </w:r>
      <w:hyperlink r:id="rId11" w:history="1">
        <w:r>
          <w:rPr>
            <w:rFonts w:ascii="arial" w:eastAsia="arial" w:hAnsi="arial" w:cs="arial"/>
            <w:b w:val="0"/>
            <w:i/>
            <w:strike w:val="0"/>
            <w:noProof w:val="0"/>
            <w:color w:val="0077CC"/>
            <w:position w:val="0"/>
            <w:sz w:val="20"/>
            <w:u w:val="single"/>
            <w:vertAlign w:val="baseline"/>
          </w:rPr>
          <w:t>(C)</w:t>
        </w:r>
      </w:hyperlink>
      <w:r>
        <w:rPr>
          <w:rFonts w:ascii="arial" w:eastAsia="arial" w:hAnsi="arial" w:cs="arial"/>
          <w:b w:val="0"/>
          <w:i w:val="0"/>
          <w:strike w:val="0"/>
          <w:noProof w:val="0"/>
          <w:color w:val="000000"/>
          <w:position w:val="0"/>
          <w:sz w:val="20"/>
          <w:u w:val="none"/>
          <w:vertAlign w:val="baseline"/>
        </w:rPr>
        <w:t xml:space="preserve"> and </w:t>
      </w:r>
      <w:hyperlink r:id="rId12" w:history="1">
        <w:r>
          <w:rPr>
            <w:rFonts w:ascii="arial" w:eastAsia="arial" w:hAnsi="arial" w:cs="arial"/>
            <w:b w:val="0"/>
            <w:i/>
            <w:strike w:val="0"/>
            <w:noProof w:val="0"/>
            <w:color w:val="0077CC"/>
            <w:position w:val="0"/>
            <w:sz w:val="20"/>
            <w:u w:val="single"/>
            <w:vertAlign w:val="baseline"/>
          </w:rPr>
          <w:t>984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49" w:name="Bookmark_para_21"/>
      <w:bookmarkEnd w:id="49"/>
      <w:r>
        <w:rPr>
          <w:rFonts w:ascii="arial" w:eastAsia="arial" w:hAnsi="arial" w:cs="arial"/>
          <w:b w:val="0"/>
          <w:i w:val="0"/>
          <w:strike w:val="0"/>
          <w:noProof w:val="0"/>
          <w:color w:val="000000"/>
          <w:position w:val="0"/>
          <w:sz w:val="20"/>
          <w:u w:val="none"/>
          <w:vertAlign w:val="baseline"/>
        </w:rPr>
        <w:t>3. Notice of this action has been given in the manner required by law. No claim or answer was filed in this action by any claimant. The Court deems that all potential claimants admit the allegations of the Verified Complaint for Forfeiture to be true.</w:t>
      </w:r>
    </w:p>
    <w:p>
      <w:pPr>
        <w:keepNext w:val="0"/>
        <w:spacing w:before="200" w:after="0" w:line="260" w:lineRule="atLeast"/>
        <w:ind w:left="0" w:right="0" w:firstLine="0"/>
        <w:jc w:val="both"/>
      </w:pPr>
      <w:bookmarkStart w:id="50" w:name="Bookmark_para_22"/>
      <w:bookmarkEnd w:id="50"/>
      <w:r>
        <w:rPr>
          <w:rFonts w:ascii="arial" w:eastAsia="arial" w:hAnsi="arial" w:cs="arial"/>
          <w:b w:val="0"/>
          <w:i w:val="0"/>
          <w:strike w:val="0"/>
          <w:noProof w:val="0"/>
          <w:color w:val="000000"/>
          <w:position w:val="0"/>
          <w:sz w:val="20"/>
          <w:u w:val="none"/>
          <w:vertAlign w:val="baseline"/>
        </w:rPr>
        <w:t>4. A default judgment shall be and hereby is entered against the Defendant Funds and the interests of all potential claimants in the Defendant Funds.</w:t>
      </w:r>
    </w:p>
    <w:p>
      <w:pPr>
        <w:keepNext w:val="0"/>
        <w:spacing w:before="200" w:after="0" w:line="260" w:lineRule="atLeast"/>
        <w:ind w:left="0" w:right="0" w:firstLine="0"/>
        <w:jc w:val="both"/>
      </w:pPr>
      <w:bookmarkStart w:id="51" w:name="Bookmark_para_23"/>
      <w:bookmarkEnd w:id="51"/>
      <w:r>
        <w:rPr>
          <w:rFonts w:ascii="arial" w:eastAsia="arial" w:hAnsi="arial" w:cs="arial"/>
          <w:b w:val="0"/>
          <w:i w:val="0"/>
          <w:strike w:val="0"/>
          <w:noProof w:val="0"/>
          <w:color w:val="000000"/>
          <w:position w:val="0"/>
          <w:sz w:val="20"/>
          <w:u w:val="none"/>
          <w:vertAlign w:val="baseline"/>
        </w:rPr>
        <w:t>5. The Defendant Funds shall be and hereby are forfeited to the Government, which shall dispose of the Defendant Funds in the manner required by law.</w:t>
      </w:r>
    </w:p>
    <w:p>
      <w:pPr>
        <w:keepNext w:val="0"/>
        <w:spacing w:before="240" w:after="0" w:line="260" w:lineRule="atLeast"/>
        <w:ind w:left="0" w:right="0" w:firstLine="0"/>
        <w:jc w:val="both"/>
      </w:pPr>
      <w:bookmarkStart w:id="52" w:name="Bookmark_para_24"/>
      <w:bookmarkEnd w:id="52"/>
      <w:r>
        <w:rPr>
          <w:rFonts w:ascii="arial" w:eastAsia="arial" w:hAnsi="arial" w:cs="arial"/>
          <w:b w:val="0"/>
          <w:i w:val="0"/>
          <w:strike w:val="0"/>
          <w:noProof w:val="0"/>
          <w:color w:val="000000"/>
          <w:position w:val="0"/>
          <w:sz w:val="20"/>
          <w:u w:val="none"/>
          <w:vertAlign w:val="baseline"/>
        </w:rPr>
        <w:t xml:space="preserve">6. The Court finds there was reasonable cause for the seizure of the Defendant Funds and this judgment shall be construed as a certificate of reasonable cause under </w:t>
      </w:r>
      <w:hyperlink r:id="rId23" w:history="1">
        <w:r>
          <w:rPr>
            <w:rFonts w:ascii="arial" w:eastAsia="arial" w:hAnsi="arial" w:cs="arial"/>
            <w:b w:val="0"/>
            <w:i/>
            <w:strike w:val="0"/>
            <w:noProof w:val="0"/>
            <w:color w:val="0077CC"/>
            <w:position w:val="0"/>
            <w:sz w:val="20"/>
            <w:u w:val="single"/>
            <w:vertAlign w:val="baseline"/>
          </w:rPr>
          <w:t>28 U.S.C. § 2465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3" w:name="Bookmark_para_25"/>
      <w:bookmarkEnd w:id="53"/>
      <w:r>
        <w:rPr>
          <w:rFonts w:ascii="arial" w:eastAsia="arial" w:hAnsi="arial" w:cs="arial"/>
          <w:b w:val="0"/>
          <w:i w:val="0"/>
          <w:strike w:val="0"/>
          <w:noProof w:val="0"/>
          <w:color w:val="000000"/>
          <w:position w:val="0"/>
          <w:sz w:val="20"/>
          <w:u w:val="none"/>
          <w:vertAlign w:val="baseline"/>
        </w:rPr>
        <w:t xml:space="preserve">7. All dates and deadlines are </w:t>
      </w:r>
      <w:r>
        <w:rPr>
          <w:rFonts w:ascii="arial" w:eastAsia="arial" w:hAnsi="arial" w:cs="arial"/>
          <w:b/>
          <w:i w:val="0"/>
          <w:strike w:val="0"/>
          <w:noProof w:val="0"/>
          <w:color w:val="000000"/>
          <w:position w:val="0"/>
          <w:sz w:val="20"/>
          <w:u w:val="none"/>
          <w:vertAlign w:val="baseline"/>
        </w:rPr>
        <w:t>VACATED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4" w:name="Bookmark_para_26"/>
      <w:bookmarkEnd w:id="54"/>
      <w:r>
        <w:rPr>
          <w:rFonts w:ascii="arial" w:eastAsia="arial" w:hAnsi="arial" w:cs="arial"/>
          <w:b w:val="0"/>
          <w:i w:val="0"/>
          <w:strike w:val="0"/>
          <w:noProof w:val="0"/>
          <w:color w:val="000000"/>
          <w:position w:val="0"/>
          <w:sz w:val="20"/>
          <w:u w:val="none"/>
          <w:vertAlign w:val="baseline"/>
        </w:rPr>
        <w:t>8. The Clerk of the Court shall close this case.</w:t>
      </w:r>
    </w:p>
    <w:p>
      <w:pPr>
        <w:keepNext w:val="0"/>
        <w:spacing w:before="200" w:after="0" w:line="260" w:lineRule="atLeast"/>
        <w:ind w:left="0" w:right="0" w:firstLine="0"/>
        <w:jc w:val="both"/>
      </w:pPr>
      <w:bookmarkStart w:id="55" w:name="Bookmark_para_27"/>
      <w:bookmarkEnd w:id="55"/>
      <w:r>
        <w:rPr>
          <w:rFonts w:ascii="arial" w:eastAsia="arial" w:hAnsi="arial" w:cs="arial"/>
          <w:b/>
          <w:i w:val="0"/>
          <w:strike w:val="0"/>
          <w:noProof w:val="0"/>
          <w:color w:val="000000"/>
          <w:position w:val="0"/>
          <w:sz w:val="20"/>
          <w:u w:val="none"/>
          <w:vertAlign w:val="baseline"/>
        </w:rPr>
        <w:t>IT IS SO ORDERED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6" w:name="Bookmark_para_28"/>
      <w:bookmarkEnd w:id="56"/>
      <w:r>
        <w:rPr>
          <w:rFonts w:ascii="arial" w:eastAsia="arial" w:hAnsi="arial" w:cs="arial"/>
          <w:b w:val="0"/>
          <w:i w:val="0"/>
          <w:strike w:val="0"/>
          <w:noProof w:val="0"/>
          <w:color w:val="000000"/>
          <w:position w:val="0"/>
          <w:sz w:val="20"/>
          <w:u w:val="none"/>
          <w:vertAlign w:val="baseline"/>
        </w:rPr>
        <w:t>January 31, 2023</w:t>
      </w:r>
    </w:p>
    <w:p>
      <w:pPr>
        <w:keepNext w:val="0"/>
        <w:spacing w:before="200" w:after="0" w:line="260" w:lineRule="atLeast"/>
        <w:ind w:left="0" w:right="0" w:firstLine="0"/>
        <w:jc w:val="both"/>
      </w:pPr>
      <w:bookmarkStart w:id="57" w:name="Bookmark_para_29"/>
      <w:bookmarkEnd w:id="57"/>
      <w:r>
        <w:rPr>
          <w:rFonts w:ascii="arial" w:eastAsia="arial" w:hAnsi="arial" w:cs="arial"/>
          <w:b w:val="0"/>
          <w:i w:val="0"/>
          <w:strike w:val="0"/>
          <w:noProof w:val="0"/>
          <w:color w:val="000000"/>
          <w:position w:val="0"/>
          <w:sz w:val="20"/>
          <w:u w:val="none"/>
          <w:vertAlign w:val="baseline"/>
        </w:rPr>
        <w:t>/s/ Otis D. Wright</w:t>
      </w:r>
    </w:p>
    <w:p>
      <w:pPr>
        <w:keepNext w:val="0"/>
        <w:spacing w:before="200" w:after="0" w:line="260" w:lineRule="atLeast"/>
        <w:ind w:left="0" w:right="0" w:firstLine="0"/>
        <w:jc w:val="both"/>
      </w:pPr>
      <w:bookmarkStart w:id="58" w:name="Bookmark_para_30"/>
      <w:bookmarkEnd w:id="58"/>
      <w:r>
        <w:rPr>
          <w:rFonts w:ascii="arial" w:eastAsia="arial" w:hAnsi="arial" w:cs="arial"/>
          <w:b/>
          <w:i w:val="0"/>
          <w:strike w:val="0"/>
          <w:noProof w:val="0"/>
          <w:color w:val="000000"/>
          <w:position w:val="0"/>
          <w:sz w:val="20"/>
          <w:u w:val="none"/>
          <w:vertAlign w:val="baseline"/>
        </w:rPr>
        <w:t>OTIS D. WRIGHT, II</w:t>
      </w:r>
    </w:p>
    <w:p>
      <w:pPr>
        <w:keepNext w:val="0"/>
        <w:spacing w:before="200" w:after="0" w:line="260" w:lineRule="atLeast"/>
        <w:ind w:left="0" w:right="0" w:firstLine="0"/>
        <w:jc w:val="both"/>
      </w:pPr>
      <w:bookmarkStart w:id="59" w:name="Bookmark_para_31"/>
      <w:bookmarkEnd w:id="59"/>
      <w:r>
        <w:rPr>
          <w:rFonts w:ascii="arial" w:eastAsia="arial" w:hAnsi="arial" w:cs="arial"/>
          <w:b/>
          <w:i w:val="0"/>
          <w:strike w:val="0"/>
          <w:noProof w:val="0"/>
          <w:color w:val="000000"/>
          <w:position w:val="0"/>
          <w:sz w:val="20"/>
          <w:u w:val="none"/>
          <w:vertAlign w:val="baseline"/>
        </w:rPr>
        <w:t>UNITED STATES DISTRICT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$15,768,787.86 in Funds, 2023 U.S. Dist. LEXIS 16495</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statutes-legislation&amp;id=urn:contentItem:677P-FND3-CGX8-048C-00000-00&amp;context=1519360" TargetMode="External" /><Relationship Id="rId11" Type="http://schemas.openxmlformats.org/officeDocument/2006/relationships/hyperlink" Target="https://advance.lexis.com/api/document?collection=statutes-legislation&amp;id=urn:contentItem:8SG9-5042-D6RV-H074-00000-00&amp;context=1519360" TargetMode="External" /><Relationship Id="rId12" Type="http://schemas.openxmlformats.org/officeDocument/2006/relationships/hyperlink" Target="https://advance.lexis.com/api/document?collection=statutes-legislation&amp;id=urn:contentItem:8SG9-5042-D6RV-H077-00000-00&amp;context=1519360" TargetMode="External" /><Relationship Id="rId13" Type="http://schemas.openxmlformats.org/officeDocument/2006/relationships/hyperlink" Target="https://advance.lexis.com/api/document?collection=statutes-legislation&amp;id=urn:contentItem:5GYC-25Y1-FG36-105D-00000-00&amp;context=1519360" TargetMode="External" /><Relationship Id="rId14" Type="http://schemas.openxmlformats.org/officeDocument/2006/relationships/hyperlink" Target="https://advance.lexis.com/api/document?collection=statutes-legislation&amp;id=urn:contentItem:8JDD-2XH2-8T6X-72R7-00000-00&amp;context=1519360" TargetMode="External" /><Relationship Id="rId15" Type="http://schemas.openxmlformats.org/officeDocument/2006/relationships/hyperlink" Target="https://advance.lexis.com/api/document?collection=statutes-legislation&amp;id=urn:contentItem:5GYC-2421-6N19-F161-00000-00&amp;context=1519360" TargetMode="External" /><Relationship Id="rId16" Type="http://schemas.openxmlformats.org/officeDocument/2006/relationships/hyperlink" Target="https://advance.lexis.com/api/document?collection=statutes-legislation&amp;id=urn:contentItem:8SDD-0VT2-D6RV-H0NF-00000-00&amp;context=1519360" TargetMode="External" /><Relationship Id="rId17" Type="http://schemas.openxmlformats.org/officeDocument/2006/relationships/hyperlink" Target="https://advance.lexis.com/api/document?collection=cases&amp;id=urn:contentItem:3S4X-JGJ0-0039-W497-00000-00&amp;context=1519360" TargetMode="External" /><Relationship Id="rId18" Type="http://schemas.openxmlformats.org/officeDocument/2006/relationships/hyperlink" Target="https://advance.lexis.com/api/document?collection=cases&amp;id=urn:contentItem:47N5-9610-0038-Y32G-00000-00&amp;context=1519360" TargetMode="External" /><Relationship Id="rId19" Type="http://schemas.openxmlformats.org/officeDocument/2006/relationships/hyperlink" Target="https://advance.lexis.com/api/document?collection=cases&amp;id=urn:contentItem:3S4X-B550-0039-P55X-00000-00&amp;context=1519360" TargetMode="External" /><Relationship Id="rId2" Type="http://schemas.openxmlformats.org/officeDocument/2006/relationships/webSettings" Target="webSettings.xml" /><Relationship Id="rId20" Type="http://schemas.openxmlformats.org/officeDocument/2006/relationships/hyperlink" Target="https://advance.lexis.com/api/document?collection=cases&amp;id=urn:contentItem:3S4X-2MK0-003B-512N-00000-00&amp;context=1519360" TargetMode="External" /><Relationship Id="rId21" Type="http://schemas.openxmlformats.org/officeDocument/2006/relationships/hyperlink" Target="https://advance.lexis.com/api/document?collection=cases&amp;id=urn:contentItem:3S4X-7NR0-001B-K3W0-00000-00&amp;context=1519360" TargetMode="External" /><Relationship Id="rId22" Type="http://schemas.openxmlformats.org/officeDocument/2006/relationships/hyperlink" Target="https://advance.lexis.com/api/document?collection=cases&amp;id=urn:contentItem:3S4X-0CT0-0039-M14F-00000-00&amp;context=1519360" TargetMode="External" /><Relationship Id="rId23" Type="http://schemas.openxmlformats.org/officeDocument/2006/relationships/hyperlink" Target="https://advance.lexis.com/api/document?collection=statutes-legislation&amp;id=urn:contentItem:8SG9-5HW2-D6RV-H0XM-00000-00&amp;context=1519360" TargetMode="External" /><Relationship Id="rId24" Type="http://schemas.openxmlformats.org/officeDocument/2006/relationships/theme" Target="theme/theme1.xml" /><Relationship Id="rId25"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cases&amp;id=urn:contentItem:67FK-MB11-K054-G00G-00000-00&amp;context=1519360" TargetMode="External" /><Relationship Id="rId9" Type="http://schemas.openxmlformats.org/officeDocument/2006/relationships/hyperlink" Target="https://advance.lexis.com/api/document?collection=statutes-legislation&amp;id=urn:contentItem:8SG9-5042-D6RV-H00J-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$15,768,787.86 in Funds, 2023 U.S. Dist. LEXIS 16495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47</vt:lpwstr>
  </property>
  <property fmtid="{D5CDD505-2E9C-101B-9397-08002B2CF9AE}" pid="3" name="LADocCount">
    <vt:lpwstr>1</vt:lpwstr>
  </property>
  <property fmtid="{D5CDD505-2E9C-101B-9397-08002B2CF9AE}" pid="4" name="LADocumentID:47">
    <vt:lpwstr>Doc::urn:hlct:5|contextualFeaturePermID::1519360</vt:lpwstr>
  </property>
  <property fmtid="{D5CDD505-2E9C-101B-9397-08002B2CF9AE}" pid="5" name="UserPermID">
    <vt:lpwstr>urn:user:PA186186283</vt:lpwstr>
  </property>
</Properties>
</file>