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Sherwood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Decided; November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CR22-0127JLR</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200046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7329638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JOHN MICHAEL SHERWOOD,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9" w:history="1">
        <w:r>
          <w:rPr>
            <w:rFonts w:ascii="arial" w:eastAsia="arial" w:hAnsi="arial" w:cs="arial"/>
            <w:b w:val="0"/>
            <w:i/>
            <w:strike w:val="0"/>
            <w:noProof w:val="0"/>
            <w:color w:val="0077CC"/>
            <w:position w:val="0"/>
            <w:sz w:val="20"/>
            <w:u w:val="single"/>
            <w:vertAlign w:val="baseline"/>
          </w:rPr>
          <w:t>United States v. Sherwood, 2024 U.S. Dist. LEXIS 27189, 2024 WL 553957 (W.D. Wash., Feb. 12,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0" w:history="1">
        <w:r>
          <w:rPr>
            <w:rFonts w:ascii="arial" w:eastAsia="arial" w:hAnsi="arial" w:cs="arial"/>
            <w:b w:val="0"/>
            <w:i/>
            <w:strike w:val="0"/>
            <w:noProof w:val="0"/>
            <w:color w:val="0077CC"/>
            <w:position w:val="0"/>
            <w:sz w:val="20"/>
            <w:u w:val="single"/>
            <w:vertAlign w:val="baseline"/>
          </w:rPr>
          <w:t>United States v. Sherwood, 2024 U.S. Dist. LEXIS 104559, 2024 WL 2959685 (W.D. Wash., June 12,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1" w:history="1">
        <w:r>
          <w:rPr>
            <w:rFonts w:ascii="arial" w:eastAsia="arial" w:hAnsi="arial" w:cs="arial"/>
            <w:b w:val="0"/>
            <w:i/>
            <w:strike w:val="0"/>
            <w:noProof w:val="0"/>
            <w:color w:val="0077CC"/>
            <w:position w:val="0"/>
            <w:sz w:val="20"/>
            <w:u w:val="single"/>
            <w:vertAlign w:val="baseline"/>
          </w:rPr>
          <w:t>United States v. Sherwood, 2024 U.S. Dist. LEXIS 121335, 2024 WL 3359413 (W.D. Wash., July 10,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in part, Motion denied by, in part </w:t>
      </w:r>
      <w:hyperlink r:id="rId12" w:history="1">
        <w:r>
          <w:rPr>
            <w:rFonts w:ascii="arial" w:eastAsia="arial" w:hAnsi="arial" w:cs="arial"/>
            <w:b w:val="0"/>
            <w:i/>
            <w:strike w:val="0"/>
            <w:noProof w:val="0"/>
            <w:color w:val="0077CC"/>
            <w:position w:val="0"/>
            <w:sz w:val="20"/>
            <w:u w:val="single"/>
            <w:vertAlign w:val="baseline"/>
          </w:rPr>
          <w:t>United States v. Sherwood, 2024 U.S. Dist. LEXIS 134481, 2024 WL 3540582 (W.D. Wash., July 25,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3" w:history="1">
        <w:r>
          <w:rPr>
            <w:rFonts w:ascii="arial" w:eastAsia="arial" w:hAnsi="arial" w:cs="arial"/>
            <w:b w:val="0"/>
            <w:i/>
            <w:strike w:val="0"/>
            <w:noProof w:val="0"/>
            <w:color w:val="0077CC"/>
            <w:position w:val="0"/>
            <w:sz w:val="20"/>
            <w:u w:val="single"/>
            <w:vertAlign w:val="baseline"/>
          </w:rPr>
          <w:t>United States v. Sherwood, 2024 U.S. Dist. LEXIS 138853, 2024 WL 3623516 (W.D. Wash., Aug. 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for new trial denied by </w:t>
      </w:r>
      <w:hyperlink r:id="rId14" w:history="1">
        <w:r>
          <w:rPr>
            <w:rFonts w:ascii="arial" w:eastAsia="arial" w:hAnsi="arial" w:cs="arial"/>
            <w:b w:val="0"/>
            <w:i/>
            <w:strike w:val="0"/>
            <w:noProof w:val="0"/>
            <w:color w:val="0077CC"/>
            <w:position w:val="0"/>
            <w:sz w:val="20"/>
            <w:u w:val="single"/>
            <w:vertAlign w:val="baseline"/>
          </w:rPr>
          <w:t>United States v. Sherwood, 2024 U.S. Dist. LEXIS 155794 (W.D. Wash., Aug. 29,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incarcerated, records, argues, housed, limit instruction, prison, drugs, inextricably intertwined, time period, duffle bag, conspiracy, implicated, discusses, introduce, picture, phone, dorm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John Michael Sherwood, Defendant: Peter Thomas Geisness, LEAD ATTORNEY, GEISNESS LAW FIRM, SEATTLE, WA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Vincent T Lombardi, LEAD ATTORNEY, Sean H Waite, US ATTORNEY'S OFFICE (SEA), SEATTLE, WA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L. ROBART,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L. ROBART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Plaintiff the United States of America's (the "Government")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seeking leave to introduce into evidence the fact that Defendant John Michael Sherwood served time in the same prison facility and unit with his charged co-defendant, Kevin Gartry. (MIL (Dkt. # 50).) Mr. Sherwood opposes the motion. (Resp. (Dkt. # 50).) The court has considered the motion, the parties' submissions, the relevant portions of the record, and the governing law. The court also heard argument on the motion on November 7,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11/7/23 Min. Entry (Dkt. # 54).) Being fully advised, the court GRANTS the Government's motion.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action arises from the discovery, in April 2021, of duffle bags containing large quantities of drugs near Port Angeles, Washington.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2.) The Government's investigation revealed that the duffle bags were purchased by Mr. Sherwood, a United States citizen with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ties to Illinois, Rhode Island, and Texas; that Mr. Sherwood had rented a hotel and storage locker in Port Angeles during this time period; that Mr. Sherwood's phone was "pinging" in the area and time period where the drugs were discovered; and that witnesses implicated Mr. Sherwood in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Further investigation revealed that Mr. Sherwood was working with Mr. Gartry, whom the Government characterizes as a "notorious smuggler based in British Columbia," Canada.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Mr. Sherwood and Mr. Gartry both have extensive criminal histories.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Relevant to this motion, Bureau of Prisons records show that Mr. Sherwood and Mr. Gartry were housed in the same unit at the West Texas Detention Facility for approximately six months, between October 17, 2019, and March 20,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Government seeks to prove at trial that Mr. Sherwood and Mr. Gartry "conspired together to move a massive amount of drugs from the United States into Canada."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Government states that its evidence of the conspiracy includes "financial records, statements made by Sherwood to others about 'Kevin,' phone records, recorded jail calls where Sherwood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discusses a person he refers to variously as 'Kevin' and 'KG,'" and "electronic communications seized from Gartry in Canada where he discusses Sherwood's arrest with the third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Nevertheless, the Government believes that "one key piece of the picture" is missing: evidence of how Mr. Sherwood and Mr. Gartry knew one another.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The Government moves, therefore, for an order allowing it to introduce to the jury evidence that the two men were incarcerated together for six months approximately one year before the events at issue in this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5"/>
      <w:bookmarkEnd w:id="12"/>
      <w:hyperlink r:id="rId15" w:history="1">
        <w:r>
          <w:rPr>
            <w:rFonts w:ascii="arial" w:eastAsia="arial" w:hAnsi="arial" w:cs="arial"/>
            <w:b w:val="0"/>
            <w:i/>
            <w:strike w:val="0"/>
            <w:color w:val="0077CC"/>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not admissible to prove a person's character in order to show that on a particular occasion the person acted in accordance with the character." </w:t>
      </w:r>
      <w:hyperlink r:id="rId15"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Such evidence may, however, "be admissible for another purpose, such as proving motive, opportunity, intent, preparation, plan, knowledge, identity, absence of mistake, or lack of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404(b)(2)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Government argues that evidence that Mr. Sherwood and Mr. Gartry were incarcerated at the same time and in the same place is admissible under two theories. First, it argues that </w:t>
      </w:r>
      <w:hyperlink r:id="rId1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does not apply to this evidence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because it is "inextricably intertwined" or intrinsic to the alleged crime and is, therefore, direct evidence of the crime itself. (Mot. at 5-6). Second, it argues that records that the two men were housed together in prison are admissible under </w:t>
      </w:r>
      <w:hyperlink r:id="rId1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as proof of Mr. Sherwood's opportunity to meet Mr. Gartry and to begin their criminal association.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It "concedes that the preferred evidence is prejudicial" because "any reference to a defendant having been in custody on some other charge can have that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It argues, however, that the probative value is significant and that the court can give a limiting instruction to minimize any resulting prejudice.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(citing 9th Cir. Model Crim. Jury Instr. 2.10).)</w:t>
      </w:r>
    </w:p>
    <w:p>
      <w:pPr>
        <w:keepNext w:val="0"/>
        <w:spacing w:before="200" w:after="0" w:line="260" w:lineRule="atLeast"/>
        <w:ind w:left="0" w:right="0" w:firstLine="0"/>
        <w:jc w:val="both"/>
      </w:pPr>
      <w:bookmarkStart w:id="14" w:name="Bookmark_para_7"/>
      <w:bookmarkEnd w:id="14"/>
      <w:bookmarkStart w:id="15" w:name="Bookmark_I69KR13J28T4XX0020000400"/>
      <w:bookmarkEnd w:id="15"/>
      <w:r>
        <w:rPr>
          <w:rFonts w:ascii="arial" w:eastAsia="arial" w:hAnsi="arial" w:cs="arial"/>
          <w:b w:val="0"/>
          <w:i w:val="0"/>
          <w:strike w:val="0"/>
          <w:noProof w:val="0"/>
          <w:color w:val="000000"/>
          <w:position w:val="0"/>
          <w:sz w:val="20"/>
          <w:u w:val="none"/>
          <w:vertAlign w:val="baseline"/>
        </w:rPr>
        <w:t xml:space="preserve">The court agrees with the Government. Evidence of other acts "may be admitted 'when it [is] necessary to do so in order to permit the prosecutor to offer a coherent and comprehensible story regarding the commission of the crime.'" </w:t>
      </w:r>
      <w:bookmarkStart w:id="16" w:name="Bookmark_I69KR13J28T4XX0010000400"/>
      <w:bookmarkEnd w:id="16"/>
      <w:hyperlink r:id="rId16" w:history="1">
        <w:r>
          <w:rPr>
            <w:rFonts w:ascii="arial" w:eastAsia="arial" w:hAnsi="arial" w:cs="arial"/>
            <w:b w:val="0"/>
            <w:i/>
            <w:strike w:val="0"/>
            <w:noProof w:val="0"/>
            <w:color w:val="0077CC"/>
            <w:position w:val="0"/>
            <w:sz w:val="20"/>
            <w:u w:val="single"/>
            <w:vertAlign w:val="baseline"/>
          </w:rPr>
          <w:t>United States v. DeGeorge</w:t>
        </w:r>
      </w:hyperlink>
      <w:hyperlink r:id="rId16" w:history="1">
        <w:r>
          <w:rPr>
            <w:rFonts w:ascii="arial" w:eastAsia="arial" w:hAnsi="arial" w:cs="arial"/>
            <w:b w:val="0"/>
            <w:i/>
            <w:strike w:val="0"/>
            <w:noProof w:val="0"/>
            <w:color w:val="0077CC"/>
            <w:position w:val="0"/>
            <w:sz w:val="20"/>
            <w:u w:val="single"/>
            <w:vertAlign w:val="baseline"/>
          </w:rPr>
          <w:t>, 380 F.3d 1203, 1220 (9th Cir. 2004)</w:t>
        </w:r>
      </w:hyperlink>
      <w:r>
        <w:rPr>
          <w:rFonts w:ascii="arial" w:eastAsia="arial" w:hAnsi="arial" w:cs="arial"/>
          <w:b w:val="0"/>
          <w:i w:val="0"/>
          <w:strike w:val="0"/>
          <w:noProof w:val="0"/>
          <w:color w:val="000000"/>
          <w:position w:val="0"/>
          <w:sz w:val="20"/>
          <w:u w:val="none"/>
          <w:vertAlign w:val="baseline"/>
        </w:rPr>
        <w:t xml:space="preserve"> (quoting </w:t>
      </w:r>
      <w:bookmarkStart w:id="17" w:name="Bookmark_I69KR13J28T4XX0030000400"/>
      <w:bookmarkEnd w:id="17"/>
      <w:hyperlink r:id="rId17" w:history="1">
        <w:r>
          <w:rPr>
            <w:rFonts w:ascii="arial" w:eastAsia="arial" w:hAnsi="arial" w:cs="arial"/>
            <w:b w:val="0"/>
            <w:i/>
            <w:strike w:val="0"/>
            <w:noProof w:val="0"/>
            <w:color w:val="0077CC"/>
            <w:position w:val="0"/>
            <w:sz w:val="20"/>
            <w:u w:val="single"/>
            <w:vertAlign w:val="baseline"/>
          </w:rPr>
          <w:t>United States v. Vizcarra-Martinez</w:t>
        </w:r>
      </w:hyperlink>
      <w:hyperlink r:id="rId17" w:history="1">
        <w:r>
          <w:rPr>
            <w:rFonts w:ascii="arial" w:eastAsia="arial" w:hAnsi="arial" w:cs="arial"/>
            <w:b w:val="0"/>
            <w:i/>
            <w:strike w:val="0"/>
            <w:noProof w:val="0"/>
            <w:color w:val="0077CC"/>
            <w:position w:val="0"/>
            <w:sz w:val="20"/>
            <w:u w:val="single"/>
            <w:vertAlign w:val="baseline"/>
          </w:rPr>
          <w:t>, 66 F.3d 1006, 1012 (9th Cir. 1995)</w:t>
        </w:r>
      </w:hyperlink>
      <w:r>
        <w:rPr>
          <w:rFonts w:ascii="arial" w:eastAsia="arial" w:hAnsi="arial" w:cs="arial"/>
          <w:b w:val="0"/>
          <w:i w:val="0"/>
          <w:strike w:val="0"/>
          <w:noProof w:val="0"/>
          <w:color w:val="000000"/>
          <w:position w:val="0"/>
          <w:sz w:val="20"/>
          <w:u w:val="none"/>
          <w:vertAlign w:val="baseline"/>
        </w:rPr>
        <w:t>). The fact that Mr. Gartry and Mr. Sherwood spent nearly six months in the same dorm in the same prison is inextricably intertwined with, and highly probative of, the conspiracy charge in this case. Moreover, the court is not persuaded that a "sanitized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version" of these facts will suffice; Mr. Sherwood's proposal that the court allow only evidence that he and Mr. Gartry "lived in Texas and knew each other during that six month period" is insufficient to show how the two became associated with one another and paints a misleading picture about the amount of contact the two may have had during that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3-4.)</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The court will not, however, allow Mr. Sherwood's prior incarceration to be used as evidence that he is a hardened criminal or has a propensity to commit crimes. Accordingly, the Government's discussion of Mr. Sherwood's incarceration at the West Texas Detention Facility will be limited presenting evidence that, for approximately six months between October 17, 2019, and March 20, 2020, Mr. Sherwood and Mr. Gartry were detained there and housed in the same unit or dorm. The Government will not be permitted to discuss the reasons for Mr. Sherwood's and Mr. Gartry's incarcerations at the West Texas Detention Facility or make any implications about the inmates who are housed there.</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The court will also provide the jury with a limiting instruction before opening statements. Mr. Sherwood may provide the court with a draft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limiting instruction to consider before trial begins.</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Dated this 7th day of November, 2023.</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/s/ James L. Robart</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JAMES L. ROBART</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Sherwood, 2023 U.S. Dist. LEXIS 200046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C7R-P3Y3-RV3D-X1N4-00000-00&amp;context=1519360" TargetMode="External" /><Relationship Id="rId11" Type="http://schemas.openxmlformats.org/officeDocument/2006/relationships/hyperlink" Target="https://advance.lexis.com/api/document?collection=cases&amp;id=urn:contentItem:6CFP-W8K3-RS4R-V51N-00000-00&amp;context=1519360" TargetMode="External" /><Relationship Id="rId12" Type="http://schemas.openxmlformats.org/officeDocument/2006/relationships/hyperlink" Target="https://advance.lexis.com/api/document?collection=cases&amp;id=urn:contentItem:6CJX-F263-RSKM-81FM-00000-00&amp;context=1519360" TargetMode="External" /><Relationship Id="rId13" Type="http://schemas.openxmlformats.org/officeDocument/2006/relationships/hyperlink" Target="https://advance.lexis.com/api/document?collection=cases&amp;id=urn:contentItem:6CMD-79J3-RSW7-Y2YV-00000-00&amp;context=1519360" TargetMode="External" /><Relationship Id="rId14" Type="http://schemas.openxmlformats.org/officeDocument/2006/relationships/hyperlink" Target="https://advance.lexis.com/api/document?collection=cases&amp;id=urn:contentItem:6CVC-DH13-RRSG-G2TY-00000-00&amp;context=1519360" TargetMode="External" /><Relationship Id="rId15" Type="http://schemas.openxmlformats.org/officeDocument/2006/relationships/hyperlink" Target="https://advance.lexis.com/api/document?collection=statutes-legislation&amp;id=urn:contentItem:6182-R703-GXJ9-32BN-00000-00&amp;context=1519360" TargetMode="External" /><Relationship Id="rId16" Type="http://schemas.openxmlformats.org/officeDocument/2006/relationships/hyperlink" Target="https://advance.lexis.com/api/document?collection=cases&amp;id=urn:contentItem:4D6S-6130-0038-X04N-00000-00&amp;context=1519360" TargetMode="External" /><Relationship Id="rId17" Type="http://schemas.openxmlformats.org/officeDocument/2006/relationships/hyperlink" Target="https://advance.lexis.com/api/document?collection=cases&amp;id=urn:contentItem:3S4X-DK70-001T-D4DX-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K8-5VY1-JS0R-20NG-00000-00&amp;context=1519360" TargetMode="External" /><Relationship Id="rId9" Type="http://schemas.openxmlformats.org/officeDocument/2006/relationships/hyperlink" Target="https://advance.lexis.com/api/document?collection=cases&amp;id=urn:contentItem:6B9Y-BNP3-RYVK-82F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Sherwood, 2023 U.S. Dist. LEXIS 200046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urn:user:PA186186283</vt:lpwstr>
  </property>
</Properties>
</file>