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Rainey v. Atty. Cassity Ann Brewer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South Carolina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2023, Decided; January 25,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No. 9:22-03920-JFA-MHC</w:t>
      </w:r>
    </w:p>
    <w:p>
      <w:pPr>
        <w:keepNext w:val="0"/>
        <w:spacing w:after="0" w:line="240" w:lineRule="atLeast"/>
        <w:ind w:right="0"/>
        <w:jc w:val="both"/>
      </w:pPr>
      <w:bookmarkStart w:id="0" w:name="Bookmark_2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68130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2999980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Christopher Allan Rainey, Plaintiff, v. Attorney Cassity Ann Brewer, Esquire,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civil action, case number, state actor, RECOMMENDATION, appointed, diversity, Inmate, color of state law, summary dismissal, state law claim, district court, pro se, PublicIndex, assigned, alleges, parties, visited, courts, amend, hear, http</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Christopher Allan Rainey, Plaintiff, Pro se, Columbia, SC.</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Molly H. Cherry,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Molly H. Cherry</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This is a civil action filed by Plaintiff Christopher Allan Rainey. Under </w:t>
      </w:r>
      <w:hyperlink r:id="rId10" w:history="1">
        <w:r>
          <w:rPr>
            <w:rFonts w:ascii="arial" w:eastAsia="arial" w:hAnsi="arial" w:cs="arial"/>
            <w:b w:val="0"/>
            <w:i/>
            <w:strike w:val="0"/>
            <w:noProof w:val="0"/>
            <w:color w:val="0077CC"/>
            <w:position w:val="0"/>
            <w:sz w:val="20"/>
            <w:u w:val="single"/>
            <w:vertAlign w:val="baseline"/>
          </w:rPr>
          <w:t>28 U.S.C. § 636(b)</w:t>
        </w:r>
      </w:hyperlink>
      <w:r>
        <w:rPr>
          <w:rFonts w:ascii="arial" w:eastAsia="arial" w:hAnsi="arial" w:cs="arial"/>
          <w:b w:val="0"/>
          <w:i w:val="0"/>
          <w:strike w:val="0"/>
          <w:noProof w:val="0"/>
          <w:color w:val="000000"/>
          <w:position w:val="0"/>
          <w:sz w:val="20"/>
          <w:u w:val="none"/>
          <w:vertAlign w:val="baseline"/>
        </w:rPr>
        <w:t xml:space="preserve"> and Local Civil Rule 73.02(B)(2) (D.S.C.), pretrial proceedings in this action have been referred to the assigned United States Magistrate Judge.</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By Order dated December 8, 2022, Plaintiff was notified of pleading deficiencies and given the opportunity to amend his Complaint within twenty-one days (plus three days for mail time). ECF No. 5.</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Plaintiff has not filed an amended complaint.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Plaintiff, an inmate at the Broad River Road Institution of the South Carolina Department of Corrections (SCDC), alleges claims against Defendant attorney Cassity Ann Brewer. He brings this action pursuant to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alleging that Defendant violated his due process rights and subjected him to cruel and unusual punishment.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Complaint, ECF No. 1 at 4.</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Plaintiff states that Defendant was appointed to represent him on his post-conviction relief (PCR) case. He alleges that for a period of over two years Defendant never visited him to discuss his case, only wrote to him two times, did not get him "taken in front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courts for any hearings or anything[,]" and refused to do anything on his case even though Plaintiff claims he has "clear proof [that he] was set up by police and [is] in prison unlawfully." ECF No. 1 at 4-6. Plaintiff requests that he be awarded $100,000 for mental anguish, that he be "taken back to court on [his] PCR," and that Defendant be fined or disbarred from the practice of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w:t>
      </w:r>
    </w:p>
    <w:p>
      <w:pPr>
        <w:keepNext w:val="0"/>
        <w:spacing w:before="200" w:after="0" w:line="260" w:lineRule="atLeast"/>
        <w:ind w:left="0" w:right="0" w:firstLine="0"/>
        <w:jc w:val="both"/>
      </w:pPr>
      <w:bookmarkStart w:id="12" w:name="Bookmark_para_5"/>
      <w:bookmarkEnd w:id="12"/>
      <w:bookmarkStart w:id="13" w:name="Bookmark_I6838MMR2HM6PM0020000400"/>
      <w:bookmarkEnd w:id="13"/>
      <w:r>
        <w:rPr>
          <w:rFonts w:ascii="arial" w:eastAsia="arial" w:hAnsi="arial" w:cs="arial"/>
          <w:b w:val="0"/>
          <w:i w:val="0"/>
          <w:strike w:val="0"/>
          <w:noProof w:val="0"/>
          <w:color w:val="000000"/>
          <w:position w:val="0"/>
          <w:sz w:val="20"/>
          <w:u w:val="none"/>
          <w:vertAlign w:val="baseline"/>
        </w:rPr>
        <w:t>Records from SCDC and Chester County indicate that Plaintiff pled guilty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to a charge of first-degree burglary (case number 2019A1220300073) and was sentenced to eight years' imprisonment on October 24, 2019. No direct appeal was filed. On December 6, 2019, Plaintiff filed an application for PCR (case number 2019CP1200620), and Defendant was later appointed to represent him. On April 11, 2022, an order of substitution of counsel was entered such that Defendant no longer represents Plaintiff. Another attorney (Arthur Aiken) was appointed to represent Plaintiff in the currently pending PCR action.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Chester County Sixth Judicial Circuit Public Index, https://publicindex.sccourts.org/Chester/PublicIndex/PISearch.aspx [search case numbers listed above]; SCDC Incarcerated Inmate Search, http://public.doc.state.sc.us/scdc-public/[Search</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Inmate "Christophe Rainey"] (last visited Jan. 24, 2023).</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STANDARD OF REVIEW</w:t>
      </w:r>
    </w:p>
    <w:p>
      <w:pPr>
        <w:keepNext w:val="0"/>
        <w:spacing w:before="240" w:after="0" w:line="260" w:lineRule="atLeast"/>
        <w:ind w:left="0" w:right="0" w:firstLine="0"/>
        <w:jc w:val="both"/>
      </w:pPr>
      <w:bookmarkStart w:id="17" w:name="Bookmark_para_6"/>
      <w:bookmarkEnd w:id="17"/>
      <w:bookmarkStart w:id="18" w:name="Bookmark_I6838MMR2HM6PM0040000400"/>
      <w:bookmarkEnd w:id="18"/>
      <w:bookmarkStart w:id="19" w:name="Bookmark_I6838MMS28T3WW0020000400"/>
      <w:bookmarkEnd w:id="19"/>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is reviewed pursuant to the procedural provisions of </w:t>
      </w:r>
      <w:hyperlink r:id="rId12" w:history="1">
        <w:r>
          <w:rPr>
            <w:rFonts w:ascii="arial" w:eastAsia="arial" w:hAnsi="arial" w:cs="arial"/>
            <w:b w:val="0"/>
            <w:i/>
            <w:strike w:val="0"/>
            <w:noProof w:val="0"/>
            <w:color w:val="0077CC"/>
            <w:position w:val="0"/>
            <w:sz w:val="20"/>
            <w:u w:val="single"/>
            <w:vertAlign w:val="baseline"/>
          </w:rPr>
          <w:t>28 U.S.C. § 1915</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Prison Litigation Reform Act, Pub. L. No. 104-134, 110 Stat. 1321 (1996)</w:t>
      </w:r>
      <w:r>
        <w:rPr>
          <w:rFonts w:ascii="arial" w:eastAsia="arial" w:hAnsi="arial" w:cs="arial"/>
          <w:b w:val="0"/>
          <w:i w:val="0"/>
          <w:strike w:val="0"/>
          <w:noProof w:val="0"/>
          <w:color w:val="000000"/>
          <w:position w:val="0"/>
          <w:sz w:val="20"/>
          <w:u w:val="none"/>
          <w:vertAlign w:val="baseline"/>
        </w:rPr>
        <w:t xml:space="preserve">, and in light of the following precedents: </w:t>
      </w:r>
      <w:bookmarkStart w:id="20" w:name="Bookmark_I6838MMR2HM6PM0030000400"/>
      <w:bookmarkEnd w:id="20"/>
      <w:hyperlink r:id="rId13" w:history="1">
        <w:r>
          <w:rPr>
            <w:rFonts w:ascii="arial" w:eastAsia="arial" w:hAnsi="arial" w:cs="arial"/>
            <w:b w:val="0"/>
            <w:i/>
            <w:strike w:val="0"/>
            <w:noProof w:val="0"/>
            <w:color w:val="0077CC"/>
            <w:position w:val="0"/>
            <w:sz w:val="20"/>
            <w:u w:val="single"/>
            <w:vertAlign w:val="baseline"/>
          </w:rPr>
          <w:t>Denton v. Hernandez</w:t>
        </w:r>
      </w:hyperlink>
      <w:hyperlink r:id="rId13" w:history="1">
        <w:r>
          <w:rPr>
            <w:rFonts w:ascii="arial" w:eastAsia="arial" w:hAnsi="arial" w:cs="arial"/>
            <w:b w:val="0"/>
            <w:i/>
            <w:strike w:val="0"/>
            <w:noProof w:val="0"/>
            <w:color w:val="0077CC"/>
            <w:position w:val="0"/>
            <w:sz w:val="20"/>
            <w:u w:val="single"/>
            <w:vertAlign w:val="baseline"/>
          </w:rPr>
          <w:t>, 504 U.S. 25, 112 S. Ct. 1728, 118 L. Ed. 2d 340 (1992)</w:t>
        </w:r>
      </w:hyperlink>
      <w:r>
        <w:rPr>
          <w:rFonts w:ascii="arial" w:eastAsia="arial" w:hAnsi="arial" w:cs="arial"/>
          <w:b w:val="0"/>
          <w:i w:val="0"/>
          <w:strike w:val="0"/>
          <w:noProof w:val="0"/>
          <w:color w:val="000000"/>
          <w:position w:val="0"/>
          <w:sz w:val="20"/>
          <w:u w:val="none"/>
          <w:vertAlign w:val="baseline"/>
        </w:rPr>
        <w:t xml:space="preserve">, </w:t>
      </w:r>
      <w:bookmarkStart w:id="21" w:name="Bookmark_I6838MMR2HM6PM0050000400"/>
      <w:bookmarkEnd w:id="21"/>
      <w:hyperlink r:id="rId14" w:history="1">
        <w:r>
          <w:rPr>
            <w:rFonts w:ascii="arial" w:eastAsia="arial" w:hAnsi="arial" w:cs="arial"/>
            <w:b w:val="0"/>
            <w:i/>
            <w:strike w:val="0"/>
            <w:noProof w:val="0"/>
            <w:color w:val="0077CC"/>
            <w:position w:val="0"/>
            <w:sz w:val="20"/>
            <w:u w:val="single"/>
            <w:vertAlign w:val="baseline"/>
          </w:rPr>
          <w:t>Neitzke v. Williams</w:t>
        </w:r>
      </w:hyperlink>
      <w:hyperlink r:id="rId14" w:history="1">
        <w:r>
          <w:rPr>
            <w:rFonts w:ascii="arial" w:eastAsia="arial" w:hAnsi="arial" w:cs="arial"/>
            <w:b w:val="0"/>
            <w:i/>
            <w:strike w:val="0"/>
            <w:noProof w:val="0"/>
            <w:color w:val="0077CC"/>
            <w:position w:val="0"/>
            <w:sz w:val="20"/>
            <w:u w:val="single"/>
            <w:vertAlign w:val="baseline"/>
          </w:rPr>
          <w:t>, 490 U.S. 319, 109 S. Ct. 1827, 104 L. Ed. 2d 338 (1989)</w:t>
        </w:r>
      </w:hyperlink>
      <w:r>
        <w:rPr>
          <w:rFonts w:ascii="arial" w:eastAsia="arial" w:hAnsi="arial" w:cs="arial"/>
          <w:b w:val="0"/>
          <w:i w:val="0"/>
          <w:strike w:val="0"/>
          <w:noProof w:val="0"/>
          <w:color w:val="000000"/>
          <w:position w:val="0"/>
          <w:sz w:val="20"/>
          <w:u w:val="none"/>
          <w:vertAlign w:val="baseline"/>
        </w:rPr>
        <w:t xml:space="preserve">, </w:t>
      </w:r>
      <w:bookmarkStart w:id="22" w:name="Bookmark_I6838MMS2SF7NC0020000400"/>
      <w:bookmarkEnd w:id="22"/>
      <w:hyperlink r:id="rId15" w:history="1">
        <w:r>
          <w:rPr>
            <w:rFonts w:ascii="arial" w:eastAsia="arial" w:hAnsi="arial" w:cs="arial"/>
            <w:b w:val="0"/>
            <w:i/>
            <w:strike w:val="0"/>
            <w:noProof w:val="0"/>
            <w:color w:val="0077CC"/>
            <w:position w:val="0"/>
            <w:sz w:val="20"/>
            <w:u w:val="single"/>
            <w:vertAlign w:val="baseline"/>
          </w:rPr>
          <w:t>Haines v. Kerner</w:t>
        </w:r>
      </w:hyperlink>
      <w:hyperlink r:id="rId15" w:history="1">
        <w:r>
          <w:rPr>
            <w:rFonts w:ascii="arial" w:eastAsia="arial" w:hAnsi="arial" w:cs="arial"/>
            <w:b w:val="0"/>
            <w:i/>
            <w:strike w:val="0"/>
            <w:noProof w:val="0"/>
            <w:color w:val="0077CC"/>
            <w:position w:val="0"/>
            <w:sz w:val="20"/>
            <w:u w:val="single"/>
            <w:vertAlign w:val="baseline"/>
          </w:rPr>
          <w:t>, 404 U.S. 519, 92 S. Ct. 594, 30 L. Ed. 2d 652 (1972)</w:t>
        </w:r>
      </w:hyperlink>
      <w:r>
        <w:rPr>
          <w:rFonts w:ascii="arial" w:eastAsia="arial" w:hAnsi="arial" w:cs="arial"/>
          <w:b w:val="0"/>
          <w:i w:val="0"/>
          <w:strike w:val="0"/>
          <w:noProof w:val="0"/>
          <w:color w:val="000000"/>
          <w:position w:val="0"/>
          <w:sz w:val="20"/>
          <w:u w:val="none"/>
          <w:vertAlign w:val="baseline"/>
        </w:rPr>
        <w:t xml:space="preserve">, and </w:t>
      </w:r>
      <w:bookmarkStart w:id="23" w:name="Bookmark_I6838MMS2SF7NC0040000400"/>
      <w:bookmarkEnd w:id="23"/>
      <w:hyperlink r:id="rId16" w:history="1">
        <w:r>
          <w:rPr>
            <w:rFonts w:ascii="arial" w:eastAsia="arial" w:hAnsi="arial" w:cs="arial"/>
            <w:b w:val="0"/>
            <w:i/>
            <w:strike w:val="0"/>
            <w:noProof w:val="0"/>
            <w:color w:val="0077CC"/>
            <w:position w:val="0"/>
            <w:sz w:val="20"/>
            <w:u w:val="single"/>
            <w:vertAlign w:val="baseline"/>
          </w:rPr>
          <w:t>Todd v. Baskerville</w:t>
        </w:r>
      </w:hyperlink>
      <w:hyperlink r:id="rId16" w:history="1">
        <w:r>
          <w:rPr>
            <w:rFonts w:ascii="arial" w:eastAsia="arial" w:hAnsi="arial" w:cs="arial"/>
            <w:b w:val="0"/>
            <w:i/>
            <w:strike w:val="0"/>
            <w:noProof w:val="0"/>
            <w:color w:val="0077CC"/>
            <w:position w:val="0"/>
            <w:sz w:val="20"/>
            <w:u w:val="single"/>
            <w:vertAlign w:val="baseline"/>
          </w:rPr>
          <w:t>, 712 F.2d 70 (4th Cir. 1983)</w:t>
        </w:r>
      </w:hyperlink>
      <w:r>
        <w:rPr>
          <w:rFonts w:ascii="arial" w:eastAsia="arial" w:hAnsi="arial" w:cs="arial"/>
          <w:b w:val="0"/>
          <w:i w:val="0"/>
          <w:strike w:val="0"/>
          <w:noProof w:val="0"/>
          <w:color w:val="000000"/>
          <w:position w:val="0"/>
          <w:sz w:val="20"/>
          <w:u w:val="none"/>
          <w:vertAlign w:val="baseline"/>
        </w:rPr>
        <w:t xml:space="preserve">. </w:t>
      </w:r>
      <w:bookmarkStart w:id="24" w:name="Bookmark_I6838MMT2D6MV40010000400"/>
      <w:bookmarkEnd w:id="24"/>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complaints are held to a less stringent standard than those drafted by attorneys, and a court is charged with liberally construing a complaint filed by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 to allow the development of a potentially meritorious case. </w:t>
      </w:r>
      <w:r>
        <w:rPr>
          <w:rFonts w:ascii="arial" w:eastAsia="arial" w:hAnsi="arial" w:cs="arial"/>
          <w:b w:val="0"/>
          <w:i/>
          <w:strike w:val="0"/>
          <w:noProof w:val="0"/>
          <w:color w:val="000000"/>
          <w:position w:val="0"/>
          <w:sz w:val="20"/>
          <w:u w:val="none"/>
          <w:vertAlign w:val="baseline"/>
        </w:rPr>
        <w:t xml:space="preserve">See </w:t>
      </w:r>
      <w:bookmarkStart w:id="25" w:name="Bookmark_I6838MMS28T3WW0010000400"/>
      <w:bookmarkEnd w:id="25"/>
      <w:hyperlink r:id="rId17" w:history="1">
        <w:r>
          <w:rPr>
            <w:rFonts w:ascii="arial" w:eastAsia="arial" w:hAnsi="arial" w:cs="arial"/>
            <w:b w:val="0"/>
            <w:i/>
            <w:strike w:val="0"/>
            <w:noProof w:val="0"/>
            <w:color w:val="0077CC"/>
            <w:position w:val="0"/>
            <w:sz w:val="20"/>
            <w:u w:val="single"/>
            <w:vertAlign w:val="baseline"/>
          </w:rPr>
          <w:t>Erickson v. Pardus</w:t>
        </w:r>
      </w:hyperlink>
      <w:hyperlink r:id="rId17" w:history="1">
        <w:r>
          <w:rPr>
            <w:rFonts w:ascii="arial" w:eastAsia="arial" w:hAnsi="arial" w:cs="arial"/>
            <w:b w:val="0"/>
            <w:i/>
            <w:strike w:val="0"/>
            <w:noProof w:val="0"/>
            <w:color w:val="0077CC"/>
            <w:position w:val="0"/>
            <w:sz w:val="20"/>
            <w:u w:val="single"/>
            <w:vertAlign w:val="baseline"/>
          </w:rPr>
          <w:t>, 551 U.S. 89, 94, 127 S. Ct. 2197, 167 L. Ed. 2d 1081 (2007)</w:t>
        </w:r>
      </w:hyperlink>
      <w:r>
        <w:rPr>
          <w:rFonts w:ascii="arial" w:eastAsia="arial" w:hAnsi="arial" w:cs="arial"/>
          <w:b w:val="0"/>
          <w:i w:val="0"/>
          <w:strike w:val="0"/>
          <w:noProof w:val="0"/>
          <w:color w:val="000000"/>
          <w:position w:val="0"/>
          <w:sz w:val="20"/>
          <w:u w:val="none"/>
          <w:vertAlign w:val="baseline"/>
        </w:rPr>
        <w:t xml:space="preserve">; </w:t>
      </w:r>
      <w:bookmarkStart w:id="26" w:name="Bookmark_I6838MMS28T3WW0030000400"/>
      <w:bookmarkEnd w:id="26"/>
      <w:hyperlink r:id="rId18" w:history="1">
        <w:r>
          <w:rPr>
            <w:rFonts w:ascii="arial" w:eastAsia="arial" w:hAnsi="arial" w:cs="arial"/>
            <w:b w:val="0"/>
            <w:i/>
            <w:strike w:val="0"/>
            <w:noProof w:val="0"/>
            <w:color w:val="0077CC"/>
            <w:position w:val="0"/>
            <w:sz w:val="20"/>
            <w:u w:val="single"/>
            <w:vertAlign w:val="baseline"/>
          </w:rPr>
          <w:t>King v. Rubenstein</w:t>
        </w:r>
      </w:hyperlink>
      <w:hyperlink r:id="rId18" w:history="1">
        <w:r>
          <w:rPr>
            <w:rFonts w:ascii="arial" w:eastAsia="arial" w:hAnsi="arial" w:cs="arial"/>
            <w:b w:val="0"/>
            <w:i/>
            <w:strike w:val="0"/>
            <w:noProof w:val="0"/>
            <w:color w:val="0077CC"/>
            <w:position w:val="0"/>
            <w:sz w:val="20"/>
            <w:u w:val="single"/>
            <w:vertAlign w:val="baseline"/>
          </w:rPr>
          <w:t>, 825 F.3d 206, 214 (4th Cir. 2016)</w:t>
        </w:r>
      </w:hyperlink>
      <w:r>
        <w:rPr>
          <w:rFonts w:ascii="arial" w:eastAsia="arial" w:hAnsi="arial" w:cs="arial"/>
          <w:b w:val="0"/>
          <w:i w:val="0"/>
          <w:strike w:val="0"/>
          <w:noProof w:val="0"/>
          <w:color w:val="000000"/>
          <w:position w:val="0"/>
          <w:sz w:val="20"/>
          <w:u w:val="none"/>
          <w:vertAlign w:val="baseline"/>
        </w:rPr>
        <w:t xml:space="preserve">. However, the requirement of liberal construction does not mean that this Court can ignore a clear failure in the pleading to allege facts which set forth a claim currently cognizable in a federal district court. </w:t>
      </w:r>
      <w:bookmarkStart w:id="27" w:name="Bookmark_I6838MMT2D6MV40010000400_2"/>
      <w:bookmarkEnd w:id="27"/>
      <w:r>
        <w:rPr>
          <w:rFonts w:ascii="arial" w:eastAsia="arial" w:hAnsi="arial" w:cs="arial"/>
          <w:b w:val="0"/>
          <w:i/>
          <w:strike w:val="0"/>
          <w:noProof w:val="0"/>
          <w:color w:val="000000"/>
          <w:position w:val="0"/>
          <w:sz w:val="20"/>
          <w:u w:val="none"/>
          <w:vertAlign w:val="baseline"/>
        </w:rPr>
        <w:t xml:space="preserve">See </w:t>
      </w:r>
      <w:bookmarkStart w:id="28" w:name="Bookmark_I6838MMS28T3WW0050000400"/>
      <w:bookmarkEnd w:id="28"/>
      <w:hyperlink r:id="rId19" w:history="1">
        <w:r>
          <w:rPr>
            <w:rFonts w:ascii="arial" w:eastAsia="arial" w:hAnsi="arial" w:cs="arial"/>
            <w:b w:val="0"/>
            <w:i/>
            <w:strike w:val="0"/>
            <w:noProof w:val="0"/>
            <w:color w:val="0077CC"/>
            <w:position w:val="0"/>
            <w:sz w:val="20"/>
            <w:u w:val="single"/>
            <w:vertAlign w:val="baseline"/>
          </w:rPr>
          <w:t>Weller v. Dep't of Soc. Servs.</w:t>
        </w:r>
      </w:hyperlink>
      <w:hyperlink r:id="rId19" w:history="1">
        <w:r>
          <w:rPr>
            <w:rFonts w:ascii="arial" w:eastAsia="arial" w:hAnsi="arial" w:cs="arial"/>
            <w:b w:val="0"/>
            <w:i/>
            <w:strike w:val="0"/>
            <w:noProof w:val="0"/>
            <w:color w:val="0077CC"/>
            <w:position w:val="0"/>
            <w:sz w:val="20"/>
            <w:u w:val="single"/>
            <w:vertAlign w:val="baseline"/>
          </w:rPr>
          <w:t>, 901 F.2d 387 (4th Cir. 1990)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9" w:name="Bookmark_I6838MMT2D6MV40020000400"/>
      <w:bookmarkEnd w:id="29"/>
      <w:hyperlink r:id="rId20" w:history="1">
        <w:r>
          <w:rPr>
            <w:rFonts w:ascii="arial" w:eastAsia="arial" w:hAnsi="arial" w:cs="arial"/>
            <w:b w:val="0"/>
            <w:i/>
            <w:strike w:val="0"/>
            <w:noProof w:val="0"/>
            <w:color w:val="0077CC"/>
            <w:position w:val="0"/>
            <w:sz w:val="20"/>
            <w:u w:val="single"/>
            <w:vertAlign w:val="baseline"/>
          </w:rPr>
          <w:t>Ashcroft v. Iqbal</w:t>
        </w:r>
      </w:hyperlink>
      <w:hyperlink r:id="rId20" w:history="1">
        <w:r>
          <w:rPr>
            <w:rFonts w:ascii="arial" w:eastAsia="arial" w:hAnsi="arial" w:cs="arial"/>
            <w:b w:val="0"/>
            <w:i/>
            <w:strike w:val="0"/>
            <w:noProof w:val="0"/>
            <w:color w:val="0077CC"/>
            <w:position w:val="0"/>
            <w:sz w:val="20"/>
            <w:u w:val="single"/>
            <w:vertAlign w:val="baseline"/>
          </w:rPr>
          <w:t>, 556 U.S. 662, 684, 129 S. Ct. 1937, 173 L. Ed. 2d 868 (2009)</w:t>
        </w:r>
      </w:hyperlink>
      <w:r>
        <w:rPr>
          <w:rFonts w:ascii="arial" w:eastAsia="arial" w:hAnsi="arial" w:cs="arial"/>
          <w:b w:val="0"/>
          <w:i w:val="0"/>
          <w:strike w:val="0"/>
          <w:noProof w:val="0"/>
          <w:color w:val="000000"/>
          <w:position w:val="0"/>
          <w:sz w:val="20"/>
          <w:u w:val="none"/>
          <w:vertAlign w:val="baseline"/>
        </w:rPr>
        <w:t xml:space="preserve"> (outlining pleading requirements under </w:t>
      </w:r>
      <w:hyperlink r:id="rId21" w:history="1">
        <w:r>
          <w:rPr>
            <w:rFonts w:ascii="arial" w:eastAsia="arial" w:hAnsi="arial" w:cs="arial"/>
            <w:b w:val="0"/>
            <w:i/>
            <w:strike w:val="0"/>
            <w:noProof w:val="0"/>
            <w:color w:val="0077CC"/>
            <w:position w:val="0"/>
            <w:sz w:val="20"/>
            <w:u w:val="single"/>
            <w:vertAlign w:val="baseline"/>
          </w:rPr>
          <w:t>Rule 8 of the Federal Rules of Civil Procedure</w:t>
        </w:r>
      </w:hyperlink>
      <w:r>
        <w:rPr>
          <w:rFonts w:ascii="arial" w:eastAsia="arial" w:hAnsi="arial" w:cs="arial"/>
          <w:b w:val="0"/>
          <w:i w:val="0"/>
          <w:strike w:val="0"/>
          <w:noProof w:val="0"/>
          <w:color w:val="000000"/>
          <w:position w:val="0"/>
          <w:sz w:val="20"/>
          <w:u w:val="none"/>
          <w:vertAlign w:val="baseline"/>
        </w:rPr>
        <w:t xml:space="preserve"> for "all civil actions").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DISCUSSION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Defendant is not a State Actor</w:t>
      </w:r>
    </w:p>
    <w:p>
      <w:pPr>
        <w:keepNext w:val="0"/>
        <w:spacing w:before="240" w:after="0" w:line="260" w:lineRule="atLeast"/>
        <w:ind w:left="0" w:right="0" w:firstLine="0"/>
        <w:jc w:val="both"/>
      </w:pPr>
      <w:bookmarkStart w:id="30" w:name="Bookmark_para_7"/>
      <w:bookmarkEnd w:id="30"/>
      <w:bookmarkStart w:id="31" w:name="Bookmark_I6838MMT2D6MV40050000400"/>
      <w:bookmarkEnd w:id="31"/>
      <w:bookmarkStart w:id="32" w:name="Bookmark_I6838MMV2SF7NH0030000400"/>
      <w:bookmarkEnd w:id="32"/>
      <w:r>
        <w:rPr>
          <w:rFonts w:ascii="arial" w:eastAsia="arial" w:hAnsi="arial" w:cs="arial"/>
          <w:b w:val="0"/>
          <w:i w:val="0"/>
          <w:strike w:val="0"/>
          <w:noProof w:val="0"/>
          <w:color w:val="000000"/>
          <w:position w:val="0"/>
          <w:sz w:val="20"/>
          <w:u w:val="none"/>
          <w:vertAlign w:val="baseline"/>
        </w:rPr>
        <w:t xml:space="preserve">As noted above, Plaintiff appears to assert constitutional claims against Defendant pursuant to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However, Plaintiff has alleged no facts to indicate that Defendant acted under color of state law.</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5" w:name="Bookmark_I6838MMT2D6MV40040000400"/>
      <w:bookmarkEnd w:id="35"/>
      <w:hyperlink r:id="rId22" w:history="1">
        <w:r>
          <w:rPr>
            <w:rFonts w:ascii="arial" w:eastAsia="arial" w:hAnsi="arial" w:cs="arial"/>
            <w:b w:val="0"/>
            <w:i/>
            <w:strike w:val="0"/>
            <w:noProof w:val="0"/>
            <w:color w:val="0077CC"/>
            <w:position w:val="0"/>
            <w:sz w:val="20"/>
            <w:u w:val="single"/>
            <w:vertAlign w:val="baseline"/>
          </w:rPr>
          <w:t>Vermont v. Brillon</w:t>
        </w:r>
      </w:hyperlink>
      <w:hyperlink r:id="rId22" w:history="1">
        <w:r>
          <w:rPr>
            <w:rFonts w:ascii="arial" w:eastAsia="arial" w:hAnsi="arial" w:cs="arial"/>
            <w:b w:val="0"/>
            <w:i/>
            <w:strike w:val="0"/>
            <w:noProof w:val="0"/>
            <w:color w:val="0077CC"/>
            <w:position w:val="0"/>
            <w:sz w:val="20"/>
            <w:u w:val="single"/>
            <w:vertAlign w:val="baseline"/>
          </w:rPr>
          <w:t>, 556 U.S. 81, 91, 129 S. Ct. 1283, 173 L. Ed. 2d 231 (2009)</w:t>
        </w:r>
      </w:hyperlink>
      <w:r>
        <w:rPr>
          <w:rFonts w:ascii="arial" w:eastAsia="arial" w:hAnsi="arial" w:cs="arial"/>
          <w:b w:val="0"/>
          <w:i w:val="0"/>
          <w:strike w:val="0"/>
          <w:noProof w:val="0"/>
          <w:color w:val="000000"/>
          <w:position w:val="0"/>
          <w:sz w:val="20"/>
          <w:u w:val="none"/>
          <w:vertAlign w:val="baseline"/>
        </w:rPr>
        <w:t xml:space="preserve"> (noting that a publicly assigned or privately retained counsel for a criminal defendant is not ordinarily considered a state actor); </w:t>
      </w:r>
      <w:bookmarkStart w:id="36" w:name="Bookmark_I6838MMT28T3WY0010000400"/>
      <w:bookmarkEnd w:id="36"/>
      <w:hyperlink r:id="rId23" w:history="1">
        <w:r>
          <w:rPr>
            <w:rFonts w:ascii="arial" w:eastAsia="arial" w:hAnsi="arial" w:cs="arial"/>
            <w:b w:val="0"/>
            <w:i/>
            <w:strike w:val="0"/>
            <w:noProof w:val="0"/>
            <w:color w:val="0077CC"/>
            <w:position w:val="0"/>
            <w:sz w:val="20"/>
            <w:u w:val="single"/>
            <w:vertAlign w:val="baseline"/>
          </w:rPr>
          <w:t>Polk Cnty. v. Dodson</w:t>
        </w:r>
      </w:hyperlink>
      <w:hyperlink r:id="rId23" w:history="1">
        <w:r>
          <w:rPr>
            <w:rFonts w:ascii="arial" w:eastAsia="arial" w:hAnsi="arial" w:cs="arial"/>
            <w:b w:val="0"/>
            <w:i/>
            <w:strike w:val="0"/>
            <w:noProof w:val="0"/>
            <w:color w:val="0077CC"/>
            <w:position w:val="0"/>
            <w:sz w:val="20"/>
            <w:u w:val="single"/>
            <w:vertAlign w:val="baseline"/>
          </w:rPr>
          <w:t>, 454 U.S. 312, 317-324 nn. 8-16 (1981)</w:t>
        </w:r>
      </w:hyperlink>
      <w:r>
        <w:rPr>
          <w:rFonts w:ascii="arial" w:eastAsia="arial" w:hAnsi="arial" w:cs="arial"/>
          <w:b w:val="0"/>
          <w:i w:val="0"/>
          <w:strike w:val="0"/>
          <w:noProof w:val="0"/>
          <w:color w:val="000000"/>
          <w:position w:val="0"/>
          <w:sz w:val="20"/>
          <w:u w:val="none"/>
          <w:vertAlign w:val="baseline"/>
        </w:rPr>
        <w:t xml:space="preserve"> ("A lawyer representing a client is not, by virtue of being an officer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the court, a state actor 'under color of state law' within the meaning of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37" w:name="Bookmark_I6838MMT28T3WY0030000400"/>
      <w:bookmarkEnd w:id="37"/>
      <w:hyperlink r:id="rId24" w:history="1">
        <w:r>
          <w:rPr>
            <w:rFonts w:ascii="arial" w:eastAsia="arial" w:hAnsi="arial" w:cs="arial"/>
            <w:b w:val="0"/>
            <w:i/>
            <w:strike w:val="0"/>
            <w:noProof w:val="0"/>
            <w:color w:val="0077CC"/>
            <w:position w:val="0"/>
            <w:sz w:val="20"/>
            <w:u w:val="single"/>
            <w:vertAlign w:val="baseline"/>
          </w:rPr>
          <w:t>Hall v. Quillen</w:t>
        </w:r>
      </w:hyperlink>
      <w:hyperlink r:id="rId24" w:history="1">
        <w:r>
          <w:rPr>
            <w:rFonts w:ascii="arial" w:eastAsia="arial" w:hAnsi="arial" w:cs="arial"/>
            <w:b w:val="0"/>
            <w:i/>
            <w:strike w:val="0"/>
            <w:noProof w:val="0"/>
            <w:color w:val="0077CC"/>
            <w:position w:val="0"/>
            <w:sz w:val="20"/>
            <w:u w:val="single"/>
            <w:vertAlign w:val="baseline"/>
          </w:rPr>
          <w:t>, 631 F.2d 1154, 1155-1156 &amp; nn. 2-3 (4th Cir. 1980)</w:t>
        </w:r>
      </w:hyperlink>
      <w:r>
        <w:rPr>
          <w:rFonts w:ascii="arial" w:eastAsia="arial" w:hAnsi="arial" w:cs="arial"/>
          <w:b w:val="0"/>
          <w:i w:val="0"/>
          <w:strike w:val="0"/>
          <w:noProof w:val="0"/>
          <w:color w:val="000000"/>
          <w:position w:val="0"/>
          <w:sz w:val="20"/>
          <w:u w:val="none"/>
          <w:vertAlign w:val="baseline"/>
        </w:rPr>
        <w:t xml:space="preserve"> (courtappointed attorney); </w:t>
      </w:r>
      <w:bookmarkStart w:id="38" w:name="Bookmark_I6838MMT28T3WY0050000400"/>
      <w:bookmarkEnd w:id="38"/>
      <w:hyperlink r:id="rId25" w:history="1">
        <w:r>
          <w:rPr>
            <w:rFonts w:ascii="arial" w:eastAsia="arial" w:hAnsi="arial" w:cs="arial"/>
            <w:b w:val="0"/>
            <w:i/>
            <w:strike w:val="0"/>
            <w:noProof w:val="0"/>
            <w:color w:val="0077CC"/>
            <w:position w:val="0"/>
            <w:sz w:val="20"/>
            <w:u w:val="single"/>
            <w:vertAlign w:val="baseline"/>
          </w:rPr>
          <w:t>Deas v. Potts</w:t>
        </w:r>
      </w:hyperlink>
      <w:hyperlink r:id="rId25" w:history="1">
        <w:r>
          <w:rPr>
            <w:rFonts w:ascii="arial" w:eastAsia="arial" w:hAnsi="arial" w:cs="arial"/>
            <w:b w:val="0"/>
            <w:i/>
            <w:strike w:val="0"/>
            <w:noProof w:val="0"/>
            <w:color w:val="0077CC"/>
            <w:position w:val="0"/>
            <w:sz w:val="20"/>
            <w:u w:val="single"/>
            <w:vertAlign w:val="baseline"/>
          </w:rPr>
          <w:t>, 547 F.2d 800 (4th Cir. 1976)</w:t>
        </w:r>
      </w:hyperlink>
      <w:r>
        <w:rPr>
          <w:rFonts w:ascii="arial" w:eastAsia="arial" w:hAnsi="arial" w:cs="arial"/>
          <w:b w:val="0"/>
          <w:i w:val="0"/>
          <w:strike w:val="0"/>
          <w:noProof w:val="0"/>
          <w:color w:val="000000"/>
          <w:position w:val="0"/>
          <w:sz w:val="20"/>
          <w:u w:val="none"/>
          <w:vertAlign w:val="baseline"/>
        </w:rPr>
        <w:t xml:space="preserve"> (private attorney). Thus, Defendant is subject to summary dismissal as a party Defendant to this action.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State Law Claim(s)</w:t>
      </w:r>
    </w:p>
    <w:p>
      <w:pPr>
        <w:keepNext w:val="0"/>
        <w:spacing w:before="200" w:after="0" w:line="260" w:lineRule="atLeast"/>
        <w:ind w:left="0" w:right="0" w:firstLine="0"/>
        <w:jc w:val="both"/>
      </w:pPr>
      <w:bookmarkStart w:id="39" w:name="Bookmark_para_8"/>
      <w:bookmarkEnd w:id="39"/>
      <w:bookmarkStart w:id="40" w:name="Bookmark_I6838MMV2SF7NH0050000400"/>
      <w:bookmarkEnd w:id="40"/>
      <w:r>
        <w:rPr>
          <w:rFonts w:ascii="arial" w:eastAsia="arial" w:hAnsi="arial" w:cs="arial"/>
          <w:b w:val="0"/>
          <w:i w:val="0"/>
          <w:strike w:val="0"/>
          <w:noProof w:val="0"/>
          <w:color w:val="000000"/>
          <w:position w:val="0"/>
          <w:sz w:val="20"/>
          <w:u w:val="none"/>
          <w:vertAlign w:val="baseline"/>
        </w:rPr>
        <w:t xml:space="preserve">To the extent that Plaintiff may also be attempting to assert claims under South Carolina law, such claims are subject to summary dismissal. As noted above, Plaintiff fails to state a federal claim against Defendant such that only the state law claims would remain, and federal courts are allowed to hear and decide state-law claims only in conjunction with federal-law claims, through the exercise of "supplemental jurisdiction."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28 U.S.C. §1367</w:t>
        </w:r>
      </w:hyperlink>
      <w:r>
        <w:rPr>
          <w:rFonts w:ascii="arial" w:eastAsia="arial" w:hAnsi="arial" w:cs="arial"/>
          <w:b w:val="0"/>
          <w:i w:val="0"/>
          <w:strike w:val="0"/>
          <w:noProof w:val="0"/>
          <w:color w:val="000000"/>
          <w:position w:val="0"/>
          <w:sz w:val="20"/>
          <w:u w:val="none"/>
          <w:vertAlign w:val="baseline"/>
        </w:rPr>
        <w:t xml:space="preserve">; </w:t>
      </w:r>
      <w:bookmarkStart w:id="41" w:name="Bookmark_I6838MMV2SF7NH0040000400"/>
      <w:bookmarkEnd w:id="41"/>
      <w:hyperlink r:id="rId27" w:history="1">
        <w:r>
          <w:rPr>
            <w:rFonts w:ascii="arial" w:eastAsia="arial" w:hAnsi="arial" w:cs="arial"/>
            <w:b w:val="0"/>
            <w:i/>
            <w:strike w:val="0"/>
            <w:noProof w:val="0"/>
            <w:color w:val="0077CC"/>
            <w:position w:val="0"/>
            <w:sz w:val="20"/>
            <w:u w:val="single"/>
            <w:vertAlign w:val="baseline"/>
          </w:rPr>
          <w:t>Wisconsin Dep't of Corrs. v. Schacht</w:t>
        </w:r>
      </w:hyperlink>
      <w:hyperlink r:id="rId27" w:history="1">
        <w:r>
          <w:rPr>
            <w:rFonts w:ascii="arial" w:eastAsia="arial" w:hAnsi="arial" w:cs="arial"/>
            <w:b w:val="0"/>
            <w:i/>
            <w:strike w:val="0"/>
            <w:noProof w:val="0"/>
            <w:color w:val="0077CC"/>
            <w:position w:val="0"/>
            <w:sz w:val="20"/>
            <w:u w:val="single"/>
            <w:vertAlign w:val="baseline"/>
          </w:rPr>
          <w:t>, 524 U.S. 381, 387, 118 S. Ct. 2047, 141 L. Ed. 2d 364 (1998)</w:t>
        </w:r>
      </w:hyperlink>
      <w:r>
        <w:rPr>
          <w:rFonts w:ascii="arial" w:eastAsia="arial" w:hAnsi="arial" w:cs="arial"/>
          <w:b w:val="0"/>
          <w:i w:val="0"/>
          <w:strike w:val="0"/>
          <w:noProof w:val="0"/>
          <w:color w:val="000000"/>
          <w:position w:val="0"/>
          <w:sz w:val="20"/>
          <w:u w:val="none"/>
          <w:vertAlign w:val="baseline"/>
        </w:rPr>
        <w:t xml:space="preserve">. </w:t>
      </w:r>
      <w:bookmarkStart w:id="42" w:name="Bookmark_I6838MMV2D6MV80020000400"/>
      <w:bookmarkEnd w:id="42"/>
      <w:r>
        <w:rPr>
          <w:rFonts w:ascii="arial" w:eastAsia="arial" w:hAnsi="arial" w:cs="arial"/>
          <w:b w:val="0"/>
          <w:i w:val="0"/>
          <w:strike w:val="0"/>
          <w:noProof w:val="0"/>
          <w:color w:val="000000"/>
          <w:position w:val="0"/>
          <w:sz w:val="20"/>
          <w:u w:val="none"/>
          <w:vertAlign w:val="baseline"/>
        </w:rPr>
        <w:t xml:space="preserve">Of course, a district court may have jurisdiction of a civil action "where the matter in controversy exceeds the sum or value of $75,000...and is between - (1) citizens of different States...". </w:t>
      </w:r>
      <w:hyperlink r:id="rId28" w:history="1">
        <w:r>
          <w:rPr>
            <w:rFonts w:ascii="arial" w:eastAsia="arial" w:hAnsi="arial" w:cs="arial"/>
            <w:b w:val="0"/>
            <w:i/>
            <w:strike w:val="0"/>
            <w:noProof w:val="0"/>
            <w:color w:val="0077CC"/>
            <w:position w:val="0"/>
            <w:sz w:val="20"/>
            <w:u w:val="single"/>
            <w:vertAlign w:val="baseline"/>
          </w:rPr>
          <w:t>28 U.S.C. § 1332</w:t>
        </w:r>
      </w:hyperlink>
      <w:r>
        <w:rPr>
          <w:rFonts w:ascii="arial" w:eastAsia="arial" w:hAnsi="arial" w:cs="arial"/>
          <w:b w:val="0"/>
          <w:i w:val="0"/>
          <w:strike w:val="0"/>
          <w:noProof w:val="0"/>
          <w:color w:val="000000"/>
          <w:position w:val="0"/>
          <w:sz w:val="20"/>
          <w:u w:val="none"/>
          <w:vertAlign w:val="baseline"/>
        </w:rPr>
        <w:t xml:space="preserve">. </w:t>
      </w:r>
      <w:bookmarkStart w:id="43" w:name="Bookmark_I6838MMV2D6MV80020000400_2"/>
      <w:bookmarkEnd w:id="43"/>
      <w:r>
        <w:rPr>
          <w:rFonts w:ascii="arial" w:eastAsia="arial" w:hAnsi="arial" w:cs="arial"/>
          <w:b w:val="0"/>
          <w:i w:val="0"/>
          <w:strike w:val="0"/>
          <w:noProof w:val="0"/>
          <w:color w:val="000000"/>
          <w:position w:val="0"/>
          <w:sz w:val="20"/>
          <w:u w:val="none"/>
          <w:vertAlign w:val="baseline"/>
        </w:rPr>
        <w:t xml:space="preserve">However, Plaintiff has not alleged complete diversity of the parties. </w:t>
      </w:r>
      <w:r>
        <w:rPr>
          <w:rFonts w:ascii="arial" w:eastAsia="arial" w:hAnsi="arial" w:cs="arial"/>
          <w:b w:val="0"/>
          <w:i/>
          <w:strike w:val="0"/>
          <w:noProof w:val="0"/>
          <w:color w:val="000000"/>
          <w:position w:val="0"/>
          <w:sz w:val="20"/>
          <w:u w:val="none"/>
          <w:vertAlign w:val="baseline"/>
        </w:rPr>
        <w:t xml:space="preserve">See </w:t>
      </w:r>
      <w:bookmarkStart w:id="44" w:name="Bookmark_I6838MMV2D6MV80010000400"/>
      <w:bookmarkEnd w:id="44"/>
      <w:hyperlink r:id="rId29" w:history="1">
        <w:r>
          <w:rPr>
            <w:rFonts w:ascii="arial" w:eastAsia="arial" w:hAnsi="arial" w:cs="arial"/>
            <w:b w:val="0"/>
            <w:i/>
            <w:strike w:val="0"/>
            <w:noProof w:val="0"/>
            <w:color w:val="0077CC"/>
            <w:position w:val="0"/>
            <w:sz w:val="20"/>
            <w:u w:val="single"/>
            <w:vertAlign w:val="baseline"/>
          </w:rPr>
          <w:t>Owen Equipment &amp; Erection Co. v. Kroger</w:t>
        </w:r>
      </w:hyperlink>
      <w:hyperlink r:id="rId29" w:history="1">
        <w:r>
          <w:rPr>
            <w:rFonts w:ascii="arial" w:eastAsia="arial" w:hAnsi="arial" w:cs="arial"/>
            <w:b w:val="0"/>
            <w:i/>
            <w:strike w:val="0"/>
            <w:noProof w:val="0"/>
            <w:color w:val="0077CC"/>
            <w:position w:val="0"/>
            <w:sz w:val="20"/>
            <w:u w:val="single"/>
            <w:vertAlign w:val="baseline"/>
          </w:rPr>
          <w:t>, 437 U.S. 365, 372-374, 98 S. Ct. 2396, 57 L. Ed. 2d 274 (1978)</w:t>
        </w:r>
      </w:hyperlink>
      <w:r>
        <w:rPr>
          <w:rFonts w:ascii="arial" w:eastAsia="arial" w:hAnsi="arial" w:cs="arial"/>
          <w:b w:val="0"/>
          <w:i w:val="0"/>
          <w:strike w:val="0"/>
          <w:noProof w:val="0"/>
          <w:color w:val="000000"/>
          <w:position w:val="0"/>
          <w:sz w:val="20"/>
          <w:u w:val="none"/>
          <w:vertAlign w:val="baseline"/>
        </w:rPr>
        <w:t xml:space="preserve"> (Complete diversity of parties means that no party on one side may be a citizen of the same State as any party on the other side. Here, Plaintiff and Defendants both appear to be citizens of South Carolina such that there is no diversity jurisdiction.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i/>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ECF No. 1 at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RECOMMENDATION</w:t>
      </w:r>
    </w:p>
    <w:p>
      <w:pPr>
        <w:keepNext w:val="0"/>
        <w:spacing w:before="200" w:after="0" w:line="260" w:lineRule="atLeast"/>
        <w:ind w:left="0" w:right="0" w:firstLine="0"/>
        <w:jc w:val="both"/>
      </w:pPr>
      <w:bookmarkStart w:id="45" w:name="Bookmark_para_9"/>
      <w:bookmarkEnd w:id="45"/>
      <w:bookmarkStart w:id="46" w:name="Bookmark_I6838MMV2D6MV80040000400"/>
      <w:bookmarkEnd w:id="46"/>
      <w:r>
        <w:rPr>
          <w:rFonts w:ascii="arial" w:eastAsia="arial" w:hAnsi="arial" w:cs="arial"/>
          <w:b w:val="0"/>
          <w:i w:val="0"/>
          <w:strike w:val="0"/>
          <w:noProof w:val="0"/>
          <w:color w:val="000000"/>
          <w:position w:val="0"/>
          <w:sz w:val="20"/>
          <w:u w:val="none"/>
          <w:vertAlign w:val="baseline"/>
        </w:rPr>
        <w:t>Based on the foregoing, it is recommended that the Court dismiss this action without prejudice, without leave to amend,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and without issuance and service of process.</w:t>
      </w:r>
    </w:p>
    <w:p>
      <w:pPr>
        <w:keepNext w:val="0"/>
        <w:spacing w:before="200" w:after="0" w:line="260" w:lineRule="atLeast"/>
        <w:ind w:left="0" w:right="0" w:firstLine="0"/>
        <w:jc w:val="both"/>
      </w:pPr>
      <w:bookmarkStart w:id="49" w:name="Bookmark_para_10"/>
      <w:bookmarkEnd w:id="49"/>
      <w:r>
        <w:rPr>
          <w:rFonts w:ascii="arial" w:eastAsia="arial" w:hAnsi="arial" w:cs="arial"/>
          <w:b/>
          <w:i w:val="0"/>
          <w:strike w:val="0"/>
          <w:noProof w:val="0"/>
          <w:color w:val="000000"/>
          <w:position w:val="0"/>
          <w:sz w:val="20"/>
          <w:u w:val="none"/>
          <w:vertAlign w:val="baseline"/>
        </w:rPr>
        <w:t>Plaintiff's attention is directed to the important notice on the following page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 w:name="Bookmark_para_11"/>
      <w:bookmarkEnd w:id="50"/>
      <w:r>
        <w:rPr>
          <w:rFonts w:ascii="arial" w:eastAsia="arial" w:hAnsi="arial" w:cs="arial"/>
          <w:b w:val="0"/>
          <w:i w:val="0"/>
          <w:strike w:val="0"/>
          <w:noProof w:val="0"/>
          <w:color w:val="000000"/>
          <w:position w:val="0"/>
          <w:sz w:val="20"/>
          <w:u w:val="none"/>
          <w:vertAlign w:val="baseline"/>
        </w:rPr>
        <w:t>/s/ Molly H. Cherry</w:t>
      </w:r>
    </w:p>
    <w:p>
      <w:pPr>
        <w:keepNext w:val="0"/>
        <w:spacing w:before="200" w:after="0" w:line="260" w:lineRule="atLeast"/>
        <w:ind w:left="0" w:right="0" w:firstLine="0"/>
        <w:jc w:val="both"/>
      </w:pPr>
      <w:bookmarkStart w:id="51" w:name="Bookmark_para_12"/>
      <w:bookmarkEnd w:id="51"/>
      <w:r>
        <w:rPr>
          <w:rFonts w:ascii="arial" w:eastAsia="arial" w:hAnsi="arial" w:cs="arial"/>
          <w:b w:val="0"/>
          <w:i w:val="0"/>
          <w:strike w:val="0"/>
          <w:noProof w:val="0"/>
          <w:color w:val="000000"/>
          <w:position w:val="0"/>
          <w:sz w:val="20"/>
          <w:u w:val="none"/>
          <w:vertAlign w:val="baseline"/>
        </w:rPr>
        <w:t>Molly H. Cherry</w:t>
      </w:r>
    </w:p>
    <w:p>
      <w:pPr>
        <w:keepNext w:val="0"/>
        <w:spacing w:before="200" w:after="0" w:line="260" w:lineRule="atLeast"/>
        <w:ind w:left="0" w:right="0" w:firstLine="0"/>
        <w:jc w:val="both"/>
      </w:pPr>
      <w:bookmarkStart w:id="52" w:name="Bookmark_para_13"/>
      <w:bookmarkEnd w:id="52"/>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00" w:after="0" w:line="260" w:lineRule="atLeast"/>
        <w:ind w:left="0" w:right="0" w:firstLine="0"/>
        <w:jc w:val="both"/>
      </w:pPr>
      <w:bookmarkStart w:id="53" w:name="Bookmark_para_14"/>
      <w:bookmarkEnd w:id="53"/>
      <w:r>
        <w:rPr>
          <w:rFonts w:ascii="arial" w:eastAsia="arial" w:hAnsi="arial" w:cs="arial"/>
          <w:b w:val="0"/>
          <w:i w:val="0"/>
          <w:strike w:val="0"/>
          <w:noProof w:val="0"/>
          <w:color w:val="000000"/>
          <w:position w:val="0"/>
          <w:sz w:val="20"/>
          <w:u w:val="none"/>
          <w:vertAlign w:val="baseline"/>
        </w:rPr>
        <w:t>January 25, 2023</w:t>
      </w:r>
    </w:p>
    <w:p>
      <w:pPr>
        <w:keepNext w:val="0"/>
        <w:spacing w:before="200" w:after="0" w:line="260" w:lineRule="atLeast"/>
        <w:ind w:left="0" w:right="0" w:firstLine="0"/>
        <w:jc w:val="both"/>
      </w:pPr>
      <w:bookmarkStart w:id="54" w:name="Bookmark_para_15"/>
      <w:bookmarkEnd w:id="54"/>
      <w:r>
        <w:rPr>
          <w:rFonts w:ascii="arial" w:eastAsia="arial" w:hAnsi="arial" w:cs="arial"/>
          <w:b w:val="0"/>
          <w:i w:val="0"/>
          <w:strike w:val="0"/>
          <w:noProof w:val="0"/>
          <w:color w:val="000000"/>
          <w:position w:val="0"/>
          <w:sz w:val="20"/>
          <w:u w:val="none"/>
          <w:vertAlign w:val="baseline"/>
        </w:rPr>
        <w:t>Charleston, South Carolina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Plaintiff filed a note with the court on December 19, 2022, in which he states that he is a mental patient, he does not understand this, and asks that someone explain what is "going on." ECF No. 8. A note informing Plaintiff that the Clerk's office is unable to provide legal advice, another copy of the Order, and a blank complaint form were mailed to Plaintiff on December 19, 2022. ECF No. 9.</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r>
        <w:rPr>
          <w:rFonts w:ascii="arial" w:eastAsia="arial" w:hAnsi="arial" w:cs="arial"/>
          <w:b w:val="0"/>
          <w:i w:val="0"/>
          <w:strike w:val="0"/>
          <w:noProof w:val="0"/>
          <w:color w:val="000000"/>
          <w:position w:val="0"/>
          <w:sz w:val="18"/>
          <w:u w:val="none"/>
          <w:vertAlign w:val="baseline"/>
        </w:rPr>
        <w:t xml:space="preserve">The plea was entered pursuant </w:t>
      </w:r>
      <w:r>
        <w:rPr>
          <w:rFonts w:ascii="arial" w:eastAsia="arial" w:hAnsi="arial" w:cs="arial"/>
          <w:b w:val="0"/>
          <w:i/>
          <w:strike w:val="0"/>
          <w:noProof w:val="0"/>
          <w:color w:val="000000"/>
          <w:position w:val="0"/>
          <w:sz w:val="18"/>
          <w:u w:val="none"/>
          <w:vertAlign w:val="baseline"/>
        </w:rPr>
        <w:t xml:space="preserve">to </w:t>
      </w:r>
      <w:bookmarkStart w:id="15" w:name="Bookmark_I6838MMR2HM6PM0010000400"/>
      <w:bookmarkEnd w:id="15"/>
      <w:hyperlink r:id="rId1" w:history="1">
        <w:r>
          <w:rPr>
            <w:rFonts w:ascii="arial" w:eastAsia="arial" w:hAnsi="arial" w:cs="arial"/>
            <w:b w:val="0"/>
            <w:i/>
            <w:strike w:val="0"/>
            <w:noProof w:val="0"/>
            <w:color w:val="0077CC"/>
            <w:position w:val="0"/>
            <w:sz w:val="18"/>
            <w:u w:val="single"/>
            <w:vertAlign w:val="baseline"/>
          </w:rPr>
          <w:t>Alford v. North Carolina</w:t>
        </w:r>
      </w:hyperlink>
      <w:hyperlink r:id="rId1" w:history="1">
        <w:r>
          <w:rPr>
            <w:rFonts w:ascii="arial" w:eastAsia="arial" w:hAnsi="arial" w:cs="arial"/>
            <w:b w:val="0"/>
            <w:i/>
            <w:strike w:val="0"/>
            <w:noProof w:val="0"/>
            <w:color w:val="0077CC"/>
            <w:position w:val="0"/>
            <w:sz w:val="18"/>
            <w:u w:val="single"/>
            <w:vertAlign w:val="baseline"/>
          </w:rPr>
          <w:t>, 400 U.S. 25, 91 S. Ct. 160, 27 L. Ed. 2d 162 (1970)</w:t>
        </w:r>
      </w:hyperlink>
      <w:r>
        <w:rPr>
          <w:rFonts w:ascii="arial" w:eastAsia="arial" w:hAnsi="arial" w:cs="arial"/>
          <w:b w:val="0"/>
          <w:i w:val="0"/>
          <w:strike w:val="0"/>
          <w:noProof w:val="0"/>
          <w:color w:val="000000"/>
          <w:position w:val="0"/>
          <w:sz w:val="18"/>
          <w:u w:val="none"/>
          <w:vertAlign w:val="baseline"/>
        </w:rPr>
        <w:t xml:space="preserve"> (upholding the constitutionality of a court accepting a plea from a person who does not admit committing the crime, but who believes the evidence would be sufficient to support a conviction and does not wish to risk a trial).</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 w:name="Bookmark_fnpara_3"/>
      <w:bookmarkEnd w:id="16"/>
      <w:r>
        <w:rPr>
          <w:rFonts w:ascii="arial" w:eastAsia="arial" w:hAnsi="arial" w:cs="arial"/>
          <w:b w:val="0"/>
          <w:i w:val="0"/>
          <w:strike w:val="0"/>
          <w:noProof w:val="0"/>
          <w:color w:val="000000"/>
          <w:position w:val="0"/>
          <w:sz w:val="18"/>
          <w:u w:val="none"/>
          <w:vertAlign w:val="baseline"/>
        </w:rPr>
        <w:t xml:space="preserve">Records from SCDC also indicate that Plaintiff received a one-year sentence in Lee County on August 2, 2022, on the charge of making a bomb threat (case number 2021A3110100285). He received two concurrent two-year sentences in Richland County on November 16, 2022, on charges of making a bomb threat and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/possessing contraband (case numbers 2021A4010500016 and 2021A4010500017).</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3" w:name="Bookmark_fnpara_4"/>
      <w:bookmarkEnd w:id="33"/>
      <w:r>
        <w:rPr>
          <w:rFonts w:ascii="arial" w:eastAsia="arial" w:hAnsi="arial" w:cs="arial"/>
          <w:b w:val="0"/>
          <w:i w:val="0"/>
          <w:strike w:val="0"/>
          <w:noProof w:val="0"/>
          <w:color w:val="000000"/>
          <w:position w:val="0"/>
          <w:sz w:val="18"/>
          <w:u w:val="none"/>
          <w:vertAlign w:val="baseline"/>
        </w:rPr>
        <w:t xml:space="preserve">To state a claim under </w:t>
      </w:r>
      <w:hyperlink r:id="rId2"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a plaintiff must allege two essential elements: (1) that a right secured by the Constitution or laws of the United States was violated, and (2) that the alleged violation was committed by a person acting under the color of state law. </w:t>
      </w:r>
      <w:bookmarkStart w:id="34" w:name="Bookmark_I6838MMV2SF7NH0020000400"/>
      <w:bookmarkEnd w:id="34"/>
      <w:hyperlink r:id="rId3" w:history="1">
        <w:r>
          <w:rPr>
            <w:rFonts w:ascii="arial" w:eastAsia="arial" w:hAnsi="arial" w:cs="arial"/>
            <w:b w:val="0"/>
            <w:i/>
            <w:strike w:val="0"/>
            <w:noProof w:val="0"/>
            <w:color w:val="0077CC"/>
            <w:position w:val="0"/>
            <w:sz w:val="18"/>
            <w:u w:val="single"/>
            <w:vertAlign w:val="baseline"/>
          </w:rPr>
          <w:t>West v. Atkins</w:t>
        </w:r>
      </w:hyperlink>
      <w:hyperlink r:id="rId3" w:history="1">
        <w:r>
          <w:rPr>
            <w:rFonts w:ascii="arial" w:eastAsia="arial" w:hAnsi="arial" w:cs="arial"/>
            <w:b w:val="0"/>
            <w:i/>
            <w:strike w:val="0"/>
            <w:noProof w:val="0"/>
            <w:color w:val="0077CC"/>
            <w:position w:val="0"/>
            <w:sz w:val="18"/>
            <w:u w:val="single"/>
            <w:vertAlign w:val="baseline"/>
          </w:rPr>
          <w:t>, 487 U.S. 42, 48, 108 S. Ct. 2250, 101 L. Ed. 2d 40 (1988)</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7" w:name="Bookmark_fnpara_5"/>
      <w:bookmarkEnd w:id="47"/>
      <w:r>
        <w:rPr>
          <w:rFonts w:ascii="arial" w:eastAsia="arial" w:hAnsi="arial" w:cs="arial"/>
          <w:b w:val="0"/>
          <w:i/>
          <w:strike w:val="0"/>
          <w:noProof w:val="0"/>
          <w:color w:val="000000"/>
          <w:position w:val="0"/>
          <w:sz w:val="18"/>
          <w:u w:val="none"/>
          <w:vertAlign w:val="baseline"/>
        </w:rPr>
        <w:t xml:space="preserve">See </w:t>
      </w:r>
      <w:bookmarkStart w:id="48" w:name="Bookmark_I6838MMV2D6MV80030000400"/>
      <w:bookmarkEnd w:id="48"/>
      <w:hyperlink r:id="rId4" w:history="1">
        <w:r>
          <w:rPr>
            <w:rFonts w:ascii="arial" w:eastAsia="arial" w:hAnsi="arial" w:cs="arial"/>
            <w:b w:val="0"/>
            <w:i/>
            <w:strike w:val="0"/>
            <w:noProof w:val="0"/>
            <w:color w:val="0077CC"/>
            <w:position w:val="0"/>
            <w:sz w:val="18"/>
            <w:u w:val="single"/>
            <w:vertAlign w:val="baseline"/>
          </w:rPr>
          <w:t>Britt v. DeJoy</w:t>
        </w:r>
      </w:hyperlink>
      <w:hyperlink r:id="rId4" w:history="1">
        <w:r>
          <w:rPr>
            <w:rFonts w:ascii="arial" w:eastAsia="arial" w:hAnsi="arial" w:cs="arial"/>
            <w:b w:val="0"/>
            <w:i/>
            <w:strike w:val="0"/>
            <w:noProof w:val="0"/>
            <w:color w:val="0077CC"/>
            <w:position w:val="0"/>
            <w:sz w:val="18"/>
            <w:u w:val="single"/>
            <w:vertAlign w:val="baseline"/>
          </w:rPr>
          <w:t>, 45 F.4th 790 (4th Cir. 2022)</w:t>
        </w:r>
      </w:hyperlink>
      <w:r>
        <w:rPr>
          <w:rFonts w:ascii="arial" w:eastAsia="arial" w:hAnsi="arial" w:cs="arial"/>
          <w:b w:val="0"/>
          <w:i w:val="0"/>
          <w:strike w:val="0"/>
          <w:noProof w:val="0"/>
          <w:color w:val="000000"/>
          <w:position w:val="0"/>
          <w:sz w:val="18"/>
          <w:u w:val="none"/>
          <w:vertAlign w:val="baseline"/>
        </w:rPr>
        <w:t xml:space="preserve"> (noting that "[w]hen a district court dismisses a complaint or all claims without granting leave to amend, its order is final and appealable").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Rainey v. Atty. Cassity Ann Brewer, 2023 U.S. Dist. LEXIS 68130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BK-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SG9-5HW2-D6RV-H0RK-00000-00&amp;context=1519360" TargetMode="External" /><Relationship Id="rId13" Type="http://schemas.openxmlformats.org/officeDocument/2006/relationships/hyperlink" Target="https://advance.lexis.com/api/document?collection=cases&amp;id=urn:contentItem:3S4W-XDX0-003B-R3RC-00000-00&amp;context=1519360" TargetMode="External" /><Relationship Id="rId14" Type="http://schemas.openxmlformats.org/officeDocument/2006/relationships/hyperlink" Target="https://advance.lexis.com/api/document?collection=cases&amp;id=urn:contentItem:3S4X-BDG0-003B-42B7-00000-00&amp;context=1519360" TargetMode="External" /><Relationship Id="rId15" Type="http://schemas.openxmlformats.org/officeDocument/2006/relationships/hyperlink" Target="https://advance.lexis.com/api/document?collection=cases&amp;id=urn:contentItem:3S4X-DB70-003B-S53V-00000-00&amp;context=1519360" TargetMode="External" /><Relationship Id="rId16" Type="http://schemas.openxmlformats.org/officeDocument/2006/relationships/hyperlink" Target="https://advance.lexis.com/api/document?collection=cases&amp;id=urn:contentItem:3S4W-YY30-003B-G291-00000-00&amp;context=1519360" TargetMode="External" /><Relationship Id="rId17" Type="http://schemas.openxmlformats.org/officeDocument/2006/relationships/hyperlink" Target="https://advance.lexis.com/api/document?collection=cases&amp;id=urn:contentItem:4NWM-S330-004B-Y00V-00000-00&amp;context=1519360" TargetMode="External" /><Relationship Id="rId18" Type="http://schemas.openxmlformats.org/officeDocument/2006/relationships/hyperlink" Target="https://advance.lexis.com/api/document?collection=cases&amp;id=urn:contentItem:5JYG-36D1-F04K-M0B8-00000-00&amp;context=1519360" TargetMode="External" /><Relationship Id="rId19" Type="http://schemas.openxmlformats.org/officeDocument/2006/relationships/hyperlink" Target="https://advance.lexis.com/api/document?collection=cases&amp;id=urn:contentItem:3S4X-5SG0-003B-51W3-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W9Y-4KS0-TXFX-1325-00000-00&amp;context=1519360" TargetMode="External" /><Relationship Id="rId21" Type="http://schemas.openxmlformats.org/officeDocument/2006/relationships/hyperlink" Target="https://advance.lexis.com/api/document?collection=statutes-legislation&amp;id=urn:contentItem:5GYC-1WP1-6N19-F0YK-00000-00&amp;context=1519360" TargetMode="External" /><Relationship Id="rId22" Type="http://schemas.openxmlformats.org/officeDocument/2006/relationships/hyperlink" Target="https://advance.lexis.com/api/document?collection=cases&amp;id=urn:contentItem:4VT0-PSD0-TXFX-12H2-00000-00&amp;context=1519360" TargetMode="External" /><Relationship Id="rId23" Type="http://schemas.openxmlformats.org/officeDocument/2006/relationships/hyperlink" Target="https://advance.lexis.com/api/document?collection=cases&amp;id=urn:contentItem:3S4X-5Y50-003B-S2RF-00000-00&amp;context=1519360" TargetMode="External" /><Relationship Id="rId24" Type="http://schemas.openxmlformats.org/officeDocument/2006/relationships/hyperlink" Target="https://advance.lexis.com/api/document?collection=cases&amp;id=urn:contentItem:3S4X-8K00-0039-W0HR-00000-00&amp;context=1519360" TargetMode="External" /><Relationship Id="rId25" Type="http://schemas.openxmlformats.org/officeDocument/2006/relationships/hyperlink" Target="https://advance.lexis.com/api/document?collection=cases&amp;id=urn:contentItem:3S4X-1CR0-0039-M0NT-00000-00&amp;context=1519360" TargetMode="External" /><Relationship Id="rId26" Type="http://schemas.openxmlformats.org/officeDocument/2006/relationships/hyperlink" Target="https://advance.lexis.com/api/document?collection=statutes-legislation&amp;id=urn:contentItem:8SG9-5HW2-D6RV-H0HC-00000-00&amp;context=1519360" TargetMode="External" /><Relationship Id="rId27" Type="http://schemas.openxmlformats.org/officeDocument/2006/relationships/hyperlink" Target="https://advance.lexis.com/api/document?collection=cases&amp;id=urn:contentItem:3TGV-N230-002K-6001-00000-00&amp;context=1519360" TargetMode="External" /><Relationship Id="rId28" Type="http://schemas.openxmlformats.org/officeDocument/2006/relationships/hyperlink" Target="https://advance.lexis.com/api/document?collection=statutes-legislation&amp;id=urn:contentItem:8SG9-5HW2-D6RV-H0G4-00000-00&amp;context=1519360" TargetMode="External" /><Relationship Id="rId29" Type="http://schemas.openxmlformats.org/officeDocument/2006/relationships/hyperlink" Target="https://advance.lexis.com/api/document?collection=cases&amp;id=urn:contentItem:3S4X-8R80-003B-S1FW-00000-00&amp;context=1519360" TargetMode="External" /><Relationship Id="rId3" Type="http://schemas.openxmlformats.org/officeDocument/2006/relationships/webSettings" Target="webSettings.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25-XJR1-JTNR-M4SR-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DV70-003B-S04R-00000-00&amp;context=1519360" TargetMode="External" /><Relationship Id="rId2" Type="http://schemas.openxmlformats.org/officeDocument/2006/relationships/hyperlink" Target="https://advance.lexis.com/api/document?collection=statutes-legislation&amp;id=urn:contentItem:8SHT-0712-D6RV-H526-00000-00&amp;context=1519360" TargetMode="External" /><Relationship Id="rId3" Type="http://schemas.openxmlformats.org/officeDocument/2006/relationships/hyperlink" Target="https://advance.lexis.com/api/document?collection=cases&amp;id=urn:contentItem:3S4X-F000-003B-4384-00000-00&amp;context=1519360" TargetMode="External" /><Relationship Id="rId4" Type="http://schemas.openxmlformats.org/officeDocument/2006/relationships/hyperlink" Target="https://advance.lexis.com/api/document?collection=cases&amp;id=urn:contentItem:665V-J8K1-F7ND-G31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Rainey v. Atty. Cassity Ann Brewer, 2023 U.S. Dist. LEXIS 68130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Doc::urn:hlct:5|contextualFeaturePermID::1519360</vt:lpwstr>
  </property>
  <property fmtid="{D5CDD505-2E9C-101B-9397-08002B2CF9AE}" pid="5" name="UserPermID">
    <vt:lpwstr>urn:user:PA186186283</vt:lpwstr>
  </property>
</Properties>
</file>