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Gomez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2023, Decided; July 19,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 23-00732 TUC-JGZ (JR)</w:t>
      </w:r>
    </w:p>
    <w:p>
      <w:pPr>
        <w:keepNext w:val="0"/>
        <w:spacing w:after="0" w:line="240" w:lineRule="atLeast"/>
        <w:ind w:right="0"/>
        <w:jc w:val="both"/>
      </w:pPr>
      <w:bookmarkStart w:id="0" w:name="Bookmark_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138836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5056455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vs. Jesus Gomez,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Motion denied by </w:t>
      </w:r>
      <w:hyperlink r:id="rId9" w:history="1">
        <w:r>
          <w:rPr>
            <w:rFonts w:ascii="arial" w:eastAsia="arial" w:hAnsi="arial" w:cs="arial"/>
            <w:b w:val="0"/>
            <w:i/>
            <w:strike w:val="0"/>
            <w:noProof w:val="0"/>
            <w:color w:val="0077CC"/>
            <w:position w:val="0"/>
            <w:sz w:val="20"/>
            <w:u w:val="single"/>
            <w:vertAlign w:val="baseline"/>
          </w:rPr>
          <w:t>United States v. Gomez, 2023 U.S. Dist. LEXIS 138253 (D. Ariz., Aug. 7,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indictment, exportation, election, charges, duplicity, Recommendation, regulation, caliber, firearm, Reply, grand jury, duplicitous, concealed</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Jesus Gomez, 56466-510, Defendant: Angeles Rodriguez-Madera, LEAD ATTORNEY, Federal Public Defenders Office - Tucson, Tucson,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Matthew Colson Cassell, LEAD ATTORNEY, US Attorneys Office - Tucson, AZ, Tucson, AZ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Jacqueline M. Rateau,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Jacqueline M. Rateau</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This matter was referred to Magistrate Judge Rateau for pretrial matters. Pending before the Court is Defendant's Motion to Dismiss Indictment or, in the Alternative, to Require the Government to Elect Between Charges (Duplicity) ("Motion"). (Doc. 16). The Government filed the Government's Response to Defendant's Motion to Dismiss (ECF 16) ("Response"). (Doc. 17). Defendant filed his Reply to Government's Response to Defendant's Motion to Dismiss Indictment. (Doc. 28). The Court heard argument on July 13, 2023 (Doc. 24). No testimony was presented and no evidence was received. Each party presented legal argument. Trial is scheduled for September 26, 2023, and the plea deadline is September 8, 2023. (Doc. 22).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Defendant is charged in a one count indictment with knowingly and fraudulently exporting and sending from the United States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attempting to export and send from the United States, a .22 caliber pistol and two .22 caliber firearm magazines knowing the same to be intended for exportation contrary to any law or regulation of the United States in violation of </w:t>
      </w:r>
      <w:hyperlink r:id="rId10" w:history="1">
        <w:r>
          <w:rPr>
            <w:rFonts w:ascii="arial" w:eastAsia="arial" w:hAnsi="arial" w:cs="arial"/>
            <w:b w:val="0"/>
            <w:i/>
            <w:strike w:val="0"/>
            <w:noProof w:val="0"/>
            <w:color w:val="0077CC"/>
            <w:position w:val="0"/>
            <w:sz w:val="20"/>
            <w:u w:val="single"/>
            <w:vertAlign w:val="baseline"/>
          </w:rPr>
          <w:t>18 U.S.C. § 554(a)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In his Motion, Defendant argues that the indictment should be dismissed because it is impermissibly duplicitous in that it joins in a single count, two offenses—the exportation of a firearm and ammunition and the attempted exportation of a firearm and ammunition. In the alternative, Defendant argue that the Court should order the Government to elect between the charges of exportation and attempted exportation. In its Response, the Government defended the indictment as not duplicitous but also agreed to make an election and stated it would proceed on the "attempt" language of the statute only.</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At the July 13, 2023 hearing, the Court indicated that given the Government's election, Defendant's Motion was likely moot. Defense counsel disagreed, withdrew that portion of the Motion and argued that the indictment should be dismissed entirely. The Court ordered defense counsel to file a reply memorandum which was received by the Court on July 19, 2023. At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hearing, defense counsel stated that her reply memorandum would refer to grand jury testimony. In anticipation of that argument, the Court ordered that the Government submit the grand jury testimony to the Court for an in-camera review. The transcript was received by the Court on July 19, 2023. The Court has reviewed the transcript. The Assistant United States Attorney presented only an attempt charge to the grand jury.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Charges</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The Indictment reads:</w:t>
      </w:r>
    </w:p>
    <w:p>
      <w:pPr>
        <w:keepNext w:val="0"/>
        <w:spacing w:before="240" w:after="0" w:line="260" w:lineRule="atLeast"/>
        <w:ind w:left="40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On or about April 27, 2023, in the District of Arizona, JESUS GOMEZ knowingly and fraudulently exported and sent from the United States </w:t>
      </w:r>
      <w:r>
        <w:rPr>
          <w:rFonts w:ascii="arial" w:eastAsia="arial" w:hAnsi="arial" w:cs="arial"/>
          <w:b/>
          <w:i w:val="0"/>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attempted to export and send from the United States, any merchandise, article, or object contrary to any law or regulation of the United States, and received, concealed, bought, sold, and in any manner facilitated the transportation, concealment, and sale of such merchandise, article or object, that is: one (1) Smith and Wesson Model M&amp;P 22 compact pistol in .22LR caliber and two (2) .22 caliber firearm magazines; knowing the same to be intended for exportation contrary to any law or regulation of the United States, to wit, </w:t>
      </w:r>
      <w:hyperlink r:id="rId11" w:history="1">
        <w:r>
          <w:rPr>
            <w:rFonts w:ascii="arial" w:eastAsia="arial" w:hAnsi="arial" w:cs="arial"/>
            <w:b w:val="0"/>
            <w:i/>
            <w:strike w:val="0"/>
            <w:noProof w:val="0"/>
            <w:color w:val="0077CC"/>
            <w:position w:val="0"/>
            <w:sz w:val="20"/>
            <w:u w:val="single"/>
            <w:vertAlign w:val="baseline"/>
          </w:rPr>
          <w:t>Title 50, United States Code Section 4819</w:t>
        </w:r>
      </w:hyperlink>
      <w:r>
        <w:rPr>
          <w:rFonts w:ascii="arial" w:eastAsia="arial" w:hAnsi="arial" w:cs="arial"/>
          <w:b w:val="0"/>
          <w:i w:val="0"/>
          <w:strike w:val="0"/>
          <w:noProof w:val="0"/>
          <w:color w:val="000000"/>
          <w:position w:val="0"/>
          <w:sz w:val="20"/>
          <w:u w:val="none"/>
          <w:vertAlign w:val="baseline"/>
        </w:rPr>
        <w:t xml:space="preserve">; Title 15, Code of Federal Regulations, Part 774; and Title 15, Code of Federal Regulations, Part 738; in violation of Title </w:t>
      </w:r>
      <w:hyperlink r:id="rId10" w:history="1">
        <w:r>
          <w:rPr>
            <w:rFonts w:ascii="arial" w:eastAsia="arial" w:hAnsi="arial" w:cs="arial"/>
            <w:b w:val="0"/>
            <w:i/>
            <w:strike w:val="0"/>
            <w:noProof w:val="0"/>
            <w:color w:val="0077CC"/>
            <w:position w:val="0"/>
            <w:sz w:val="20"/>
            <w:u w:val="single"/>
            <w:vertAlign w:val="baseline"/>
          </w:rPr>
          <w:t>18, United States Code, Section 554 (a)</w:t>
        </w:r>
      </w:hyperlink>
      <w:r>
        <w:rPr>
          <w:rFonts w:ascii="arial" w:eastAsia="arial" w:hAnsi="arial" w:cs="arial"/>
          <w:b w:val="0"/>
          <w:i w:val="0"/>
          <w:strike w:val="0"/>
          <w:noProof w:val="0"/>
          <w:color w:val="000000"/>
          <w:position w:val="0"/>
          <w:sz w:val="20"/>
          <w:u w:val="none"/>
          <w:vertAlign w:val="baseline"/>
        </w:rPr>
        <w:t xml:space="preserve">. All in violation of Title </w:t>
      </w:r>
      <w:hyperlink r:id="rId10" w:history="1">
        <w:r>
          <w:rPr>
            <w:rFonts w:ascii="arial" w:eastAsia="arial" w:hAnsi="arial" w:cs="arial"/>
            <w:b w:val="0"/>
            <w:i/>
            <w:strike w:val="0"/>
            <w:noProof w:val="0"/>
            <w:color w:val="0077CC"/>
            <w:position w:val="0"/>
            <w:sz w:val="20"/>
            <w:u w:val="single"/>
            <w:vertAlign w:val="baseline"/>
          </w:rPr>
          <w:t>18, United States Code, Section 554 (a)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13 (emphasis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added).</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 xml:space="preserve">The charged statute,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Goods from the United States, reads:</w:t>
      </w:r>
    </w:p>
    <w:p>
      <w:pPr>
        <w:keepNext w:val="0"/>
        <w:spacing w:before="200" w:after="0" w:line="260" w:lineRule="atLeast"/>
        <w:ind w:left="40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 xml:space="preserve">Whoever fraudulently or knowingly exports or sends from the United States, </w:t>
      </w:r>
      <w:r>
        <w:rPr>
          <w:rFonts w:ascii="arial" w:eastAsia="arial" w:hAnsi="arial" w:cs="arial"/>
          <w:b/>
          <w:i w:val="0"/>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attempts to export or send from the United States, any merchandise, article, or object contrary to any law or regulation of the United States, or receives, conceals, buys, sells, or in any manner facilitates the transportation, concealment, or sale of such merchandise, article or object, prior to exportation, knowing the same to be intended for exportation contrary to any law or regulation of the United States, shall be fined under this title, imprisoned not more than 10 years, or both.</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18 U.S.C. § 554 (a)</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Duplicity</w:t>
      </w:r>
    </w:p>
    <w:p>
      <w:pPr>
        <w:keepNext w:val="0"/>
        <w:spacing w:before="240" w:after="0" w:line="260" w:lineRule="atLeast"/>
        <w:ind w:left="0" w:right="0" w:firstLine="0"/>
        <w:jc w:val="both"/>
      </w:pPr>
      <w:bookmarkStart w:id="16" w:name="Bookmark_para_9"/>
      <w:bookmarkEnd w:id="16"/>
      <w:bookmarkStart w:id="17" w:name="Bookmark_I68YC9SF2D6N9S0020000400"/>
      <w:bookmarkEnd w:id="17"/>
      <w:bookmarkStart w:id="18" w:name="Bookmark_I68YC9SF2D6N9S0040000400"/>
      <w:bookmarkEnd w:id="18"/>
      <w:r>
        <w:rPr>
          <w:rFonts w:ascii="arial" w:eastAsia="arial" w:hAnsi="arial" w:cs="arial"/>
          <w:b w:val="0"/>
          <w:i w:val="0"/>
          <w:strike w:val="0"/>
          <w:noProof w:val="0"/>
          <w:color w:val="000000"/>
          <w:position w:val="0"/>
          <w:sz w:val="20"/>
          <w:u w:val="none"/>
          <w:vertAlign w:val="baseline"/>
        </w:rPr>
        <w:t xml:space="preserve">Charging two offenses in one count of an indictment is contrary to </w:t>
      </w:r>
      <w:hyperlink r:id="rId12" w:history="1">
        <w:r>
          <w:rPr>
            <w:rFonts w:ascii="arial" w:eastAsia="arial" w:hAnsi="arial" w:cs="arial"/>
            <w:b w:val="0"/>
            <w:i/>
            <w:strike w:val="0"/>
            <w:noProof w:val="0"/>
            <w:color w:val="0077CC"/>
            <w:position w:val="0"/>
            <w:sz w:val="20"/>
            <w:u w:val="single"/>
            <w:vertAlign w:val="baseline"/>
          </w:rPr>
          <w:t>Rule 8(a) of the Federal Rules of Criminal Procedure</w:t>
        </w:r>
      </w:hyperlink>
      <w:r>
        <w:rPr>
          <w:rFonts w:ascii="arial" w:eastAsia="arial" w:hAnsi="arial" w:cs="arial"/>
          <w:b w:val="0"/>
          <w:i w:val="0"/>
          <w:strike w:val="0"/>
          <w:noProof w:val="0"/>
          <w:color w:val="000000"/>
          <w:position w:val="0"/>
          <w:sz w:val="20"/>
          <w:u w:val="none"/>
          <w:vertAlign w:val="baseline"/>
        </w:rPr>
        <w:t xml:space="preserve">, which requires that an indictment contain "a separate count for each offense." An indictment is duplicitous when it joins two or more distinct and separate offenses into a single count." </w:t>
      </w:r>
      <w:bookmarkStart w:id="19" w:name="Bookmark_I68YC9SF2D6N9S0010000400"/>
      <w:bookmarkEnd w:id="19"/>
      <w:hyperlink r:id="rId13" w:history="1">
        <w:r>
          <w:rPr>
            <w:rFonts w:ascii="arial" w:eastAsia="arial" w:hAnsi="arial" w:cs="arial"/>
            <w:b w:val="0"/>
            <w:i/>
            <w:strike w:val="0"/>
            <w:noProof w:val="0"/>
            <w:color w:val="0077CC"/>
            <w:position w:val="0"/>
            <w:sz w:val="20"/>
            <w:u w:val="single"/>
            <w:vertAlign w:val="baseline"/>
          </w:rPr>
          <w:t>United States v. Mancuso</w:t>
        </w:r>
      </w:hyperlink>
      <w:hyperlink r:id="rId13" w:history="1">
        <w:r>
          <w:rPr>
            <w:rFonts w:ascii="arial" w:eastAsia="arial" w:hAnsi="arial" w:cs="arial"/>
            <w:b w:val="0"/>
            <w:i/>
            <w:strike w:val="0"/>
            <w:noProof w:val="0"/>
            <w:color w:val="0077CC"/>
            <w:position w:val="0"/>
            <w:sz w:val="20"/>
            <w:u w:val="single"/>
            <w:vertAlign w:val="baseline"/>
          </w:rPr>
          <w:t>, 718 F.3d 780, 792 (9th Cir. 2013)</w:t>
        </w:r>
      </w:hyperlink>
      <w:r>
        <w:rPr>
          <w:rFonts w:ascii="arial" w:eastAsia="arial" w:hAnsi="arial" w:cs="arial"/>
          <w:b w:val="0"/>
          <w:i w:val="0"/>
          <w:strike w:val="0"/>
          <w:noProof w:val="0"/>
          <w:color w:val="000000"/>
          <w:position w:val="0"/>
          <w:sz w:val="20"/>
          <w:u w:val="none"/>
          <w:vertAlign w:val="baseline"/>
        </w:rPr>
        <w:t xml:space="preserve">. In reviewing an indictment for duplicity, the correct inquiry is not whether the evidence introduced at trial supports charging several crimes, but whether the "indictment itself can be read to charge only one violation in each count." </w:t>
      </w:r>
      <w:bookmarkStart w:id="20" w:name="Bookmark_I68YC9SF2D6N9S0030000400"/>
      <w:bookmarkEnd w:id="20"/>
      <w:hyperlink r:id="rId14" w:history="1">
        <w:r>
          <w:rPr>
            <w:rFonts w:ascii="arial" w:eastAsia="arial" w:hAnsi="arial" w:cs="arial"/>
            <w:b w:val="0"/>
            <w:i/>
            <w:strike w:val="0"/>
            <w:noProof w:val="0"/>
            <w:color w:val="0077CC"/>
            <w:position w:val="0"/>
            <w:sz w:val="20"/>
            <w:u w:val="single"/>
            <w:vertAlign w:val="baseline"/>
          </w:rPr>
          <w:t>United States v. Martin</w:t>
        </w:r>
      </w:hyperlink>
      <w:hyperlink r:id="rId14" w:history="1">
        <w:r>
          <w:rPr>
            <w:rFonts w:ascii="arial" w:eastAsia="arial" w:hAnsi="arial" w:cs="arial"/>
            <w:b w:val="0"/>
            <w:i/>
            <w:strike w:val="0"/>
            <w:noProof w:val="0"/>
            <w:color w:val="0077CC"/>
            <w:position w:val="0"/>
            <w:sz w:val="20"/>
            <w:u w:val="single"/>
            <w:vertAlign w:val="baseline"/>
          </w:rPr>
          <w:t>, 4 F.3d 757, 759 (9th Cir.1993)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 w:name="Bookmark_para_10"/>
      <w:bookmarkEnd w:id="21"/>
      <w:bookmarkStart w:id="22" w:name="Bookmark_I68YC9SG2N1R500010000400"/>
      <w:bookmarkEnd w:id="22"/>
      <w:r>
        <w:rPr>
          <w:rFonts w:ascii="arial" w:eastAsia="arial" w:hAnsi="arial" w:cs="arial"/>
          <w:b w:val="0"/>
          <w:i w:val="0"/>
          <w:strike w:val="0"/>
          <w:noProof w:val="0"/>
          <w:color w:val="000000"/>
          <w:position w:val="0"/>
          <w:sz w:val="20"/>
          <w:u w:val="none"/>
          <w:vertAlign w:val="baseline"/>
        </w:rPr>
        <w:t>The vices of duplicity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arise from breaches of the defendant's </w:t>
      </w:r>
      <w:hyperlink r:id="rId1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knowledge of the charges against him since conviction on a duplicitous count could be obtained without a unanimous verdict as to each of the offenses contained in the count. </w:t>
      </w:r>
      <w:bookmarkStart w:id="23" w:name="Bookmark_I68YC9SF2D6N9S0050000400"/>
      <w:bookmarkEnd w:id="23"/>
      <w:hyperlink r:id="rId16" w:history="1">
        <w:r>
          <w:rPr>
            <w:rFonts w:ascii="arial" w:eastAsia="arial" w:hAnsi="arial" w:cs="arial"/>
            <w:b w:val="0"/>
            <w:i/>
            <w:strike w:val="0"/>
            <w:noProof w:val="0"/>
            <w:color w:val="0077CC"/>
            <w:position w:val="0"/>
            <w:sz w:val="20"/>
            <w:u w:val="single"/>
            <w:vertAlign w:val="baseline"/>
          </w:rPr>
          <w:t>United States v. Aguilar</w:t>
        </w:r>
      </w:hyperlink>
      <w:hyperlink r:id="rId16" w:history="1">
        <w:r>
          <w:rPr>
            <w:rFonts w:ascii="arial" w:eastAsia="arial" w:hAnsi="arial" w:cs="arial"/>
            <w:b w:val="0"/>
            <w:i/>
            <w:strike w:val="0"/>
            <w:noProof w:val="0"/>
            <w:color w:val="0077CC"/>
            <w:position w:val="0"/>
            <w:sz w:val="20"/>
            <w:u w:val="single"/>
            <w:vertAlign w:val="baseline"/>
          </w:rPr>
          <w:t>, 756 F.2d 1418, 1420 n.2 (9th Cir. 1985)</w:t>
        </w:r>
      </w:hyperlink>
      <w:r>
        <w:rPr>
          <w:rFonts w:ascii="arial" w:eastAsia="arial" w:hAnsi="arial" w:cs="arial"/>
          <w:b w:val="0"/>
          <w:i w:val="0"/>
          <w:strike w:val="0"/>
          <w:noProof w:val="0"/>
          <w:color w:val="000000"/>
          <w:position w:val="0"/>
          <w:sz w:val="20"/>
          <w:u w:val="none"/>
          <w:vertAlign w:val="baseline"/>
        </w:rPr>
        <w:t xml:space="preserve">. A duplicitous indictment also could eviscerate the defendant's </w:t>
      </w:r>
      <w:hyperlink r:id="rId17"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protection against double jeopardy, because of a lack of clarity concerning the offense for which he is charged or convicted</w:t>
      </w:r>
      <w:bookmarkStart w:id="24" w:name="Bookmark_I68YC9SG2N1R500010000400_2"/>
      <w:bookmarkEnd w:id="24"/>
      <w:r>
        <w:rPr>
          <w:rFonts w:ascii="arial" w:eastAsia="arial" w:hAnsi="arial" w:cs="arial"/>
          <w:b w:val="0"/>
          <w:i/>
          <w:strike w:val="0"/>
          <w:noProof w:val="0"/>
          <w:color w:val="000000"/>
          <w:position w:val="0"/>
          <w:sz w:val="20"/>
          <w:u w:val="none"/>
          <w:vertAlign w:val="baseline"/>
        </w:rPr>
        <w:t>. Id.</w:t>
      </w:r>
    </w:p>
    <w:p>
      <w:pPr>
        <w:keepNext w:val="0"/>
        <w:spacing w:before="240" w:after="0" w:line="260" w:lineRule="atLeast"/>
        <w:ind w:left="0" w:right="0" w:firstLine="0"/>
        <w:jc w:val="both"/>
      </w:pPr>
      <w:bookmarkStart w:id="25" w:name="Bookmark_para_11"/>
      <w:bookmarkEnd w:id="25"/>
      <w:bookmarkStart w:id="26" w:name="Bookmark_I68YC9SG2N1R500030000400"/>
      <w:bookmarkEnd w:id="26"/>
      <w:r>
        <w:rPr>
          <w:rFonts w:ascii="arial" w:eastAsia="arial" w:hAnsi="arial" w:cs="arial"/>
          <w:b w:val="0"/>
          <w:i w:val="0"/>
          <w:strike w:val="0"/>
          <w:noProof w:val="0"/>
          <w:color w:val="000000"/>
          <w:position w:val="0"/>
          <w:sz w:val="20"/>
          <w:u w:val="none"/>
          <w:vertAlign w:val="baseline"/>
        </w:rPr>
        <w:t xml:space="preserve">Duplicity may be cured in multiple ways: "(1) the government elects between the charges in the offending court, or (2) the court provides an instruction requiring all members of the jury to agree as to which of the distinct charges the defendant actually committed." </w:t>
      </w:r>
      <w:bookmarkStart w:id="27" w:name="Bookmark_I68YC9SG2N1R500020000400"/>
      <w:bookmarkEnd w:id="27"/>
      <w:r>
        <w:rPr>
          <w:rFonts w:ascii="arial" w:eastAsia="arial" w:hAnsi="arial" w:cs="arial"/>
          <w:b w:val="0"/>
          <w:i/>
          <w:strike w:val="0"/>
          <w:noProof w:val="0"/>
          <w:color w:val="000000"/>
          <w:position w:val="0"/>
          <w:sz w:val="20"/>
          <w:u w:val="none"/>
          <w:vertAlign w:val="baseline"/>
        </w:rPr>
        <w:t>United States v. Ramirez-Martinez</w:t>
      </w:r>
      <w:r>
        <w:rPr>
          <w:rFonts w:ascii="arial" w:eastAsia="arial" w:hAnsi="arial" w:cs="arial"/>
          <w:b w:val="0"/>
          <w:i/>
          <w:strike w:val="0"/>
          <w:noProof w:val="0"/>
          <w:color w:val="000000"/>
          <w:position w:val="0"/>
          <w:sz w:val="20"/>
          <w:u w:val="none"/>
          <w:vertAlign w:val="baseline"/>
        </w:rPr>
        <w:t>, 273 F.3d 903, 905 (9th Cir. 2001)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overruled on other grounds by </w:t>
      </w:r>
      <w:bookmarkStart w:id="28" w:name="Bookmark_I68YC9SG2N1R500040000400"/>
      <w:bookmarkEnd w:id="28"/>
      <w:hyperlink r:id="rId18" w:history="1">
        <w:r>
          <w:rPr>
            <w:rFonts w:ascii="arial" w:eastAsia="arial" w:hAnsi="arial" w:cs="arial"/>
            <w:b w:val="0"/>
            <w:i/>
            <w:strike w:val="0"/>
            <w:noProof w:val="0"/>
            <w:color w:val="0077CC"/>
            <w:position w:val="0"/>
            <w:sz w:val="20"/>
            <w:u w:val="single"/>
            <w:vertAlign w:val="baseline"/>
          </w:rPr>
          <w:t>United States v. Lopez</w:t>
        </w:r>
      </w:hyperlink>
      <w:hyperlink r:id="rId18" w:history="1">
        <w:r>
          <w:rPr>
            <w:rFonts w:ascii="arial" w:eastAsia="arial" w:hAnsi="arial" w:cs="arial"/>
            <w:b w:val="0"/>
            <w:i/>
            <w:strike w:val="0"/>
            <w:noProof w:val="0"/>
            <w:color w:val="0077CC"/>
            <w:position w:val="0"/>
            <w:sz w:val="20"/>
            <w:u w:val="single"/>
            <w:vertAlign w:val="baseline"/>
          </w:rPr>
          <w:t>, 484 F.3d 1186, 1192 (9th Cir.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Analysis</w:t>
      </w:r>
    </w:p>
    <w:p>
      <w:pPr>
        <w:keepNext w:val="0"/>
        <w:spacing w:before="200" w:after="0" w:line="260" w:lineRule="atLeast"/>
        <w:ind w:left="0" w:right="0" w:firstLine="0"/>
        <w:jc w:val="both"/>
      </w:pPr>
      <w:bookmarkStart w:id="29" w:name="Bookmark_para_12"/>
      <w:bookmarkEnd w:id="29"/>
      <w:r>
        <w:rPr>
          <w:rFonts w:ascii="arial" w:eastAsia="arial" w:hAnsi="arial" w:cs="arial"/>
          <w:b w:val="0"/>
          <w:i w:val="0"/>
          <w:strike w:val="0"/>
          <w:noProof w:val="0"/>
          <w:color w:val="000000"/>
          <w:position w:val="0"/>
          <w:sz w:val="20"/>
          <w:u w:val="none"/>
          <w:vertAlign w:val="baseline"/>
        </w:rPr>
        <w:t xml:space="preserve">Defendant is charged in the indictment with both completed and attempted conduct. (Doc. 13). The Government elects to present evidence at trial to prove that Defendant "concealed the firearm and magazine in his vehicle and knowingly attempted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them in Mexico, knowing that it was illegal." (Doc. 17 at 5). Thus, the Government represents that it "is willing to elect to proceed on the applicable statutory language: 'attempted to export and send from the United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States ... one (1) Smith and Wesson Model M&amp;P 22 compact pistol in .22LR caliber and two (2) .22 caliber firearm magazines, knowing the same to be intended for exportation contrary to any law or regulation of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Government also intends to request a jury instruction that includes the fourth element for attempt.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0" w:name="Bookmark_para_13"/>
      <w:bookmarkEnd w:id="30"/>
      <w:r>
        <w:rPr>
          <w:rFonts w:ascii="arial" w:eastAsia="arial" w:hAnsi="arial" w:cs="arial"/>
          <w:b w:val="0"/>
          <w:i w:val="0"/>
          <w:strike w:val="0"/>
          <w:noProof w:val="0"/>
          <w:color w:val="000000"/>
          <w:position w:val="0"/>
          <w:sz w:val="20"/>
          <w:u w:val="none"/>
          <w:vertAlign w:val="baseline"/>
        </w:rPr>
        <w:t>Accordingly, in light of the Government's representation, any duplicity issue is remedied. As such, this Court recommends accepting the Government's election and dismissing the surplus language, thereby denying Defendant's Motion to the extent it seeks dismissal of the Indictment.</w:t>
      </w:r>
    </w:p>
    <w:p>
      <w:pPr>
        <w:keepNext w:val="0"/>
        <w:spacing w:before="200" w:after="0" w:line="260" w:lineRule="atLeast"/>
        <w:ind w:left="0" w:right="0" w:firstLine="0"/>
        <w:jc w:val="both"/>
      </w:pPr>
      <w:bookmarkStart w:id="31" w:name="Bookmark_para_14"/>
      <w:bookmarkEnd w:id="31"/>
      <w:r>
        <w:rPr>
          <w:rFonts w:ascii="arial" w:eastAsia="arial" w:hAnsi="arial" w:cs="arial"/>
          <w:b w:val="0"/>
          <w:i w:val="0"/>
          <w:strike w:val="0"/>
          <w:noProof w:val="0"/>
          <w:color w:val="000000"/>
          <w:position w:val="0"/>
          <w:sz w:val="20"/>
          <w:u w:val="none"/>
          <w:vertAlign w:val="baseline"/>
        </w:rPr>
        <w:t xml:space="preserve">Defendant argues in his Reply that the Government's election is insufficient to cure the duplicity defect in the indictment contending that "[t]he amendment of an indictment, particularly if the amendment broadens or alters the offense charged, is reversible error since it violates the defendant's </w:t>
      </w:r>
      <w:hyperlink r:id="rId17"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 to stand trial only on the charges made by a grand jury in its indictment." (Doc. 28 at 2). Defendant urges that "it is unclear as to what could have been discussed and decided upon by the Grand Jury during deliberation[]" in his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w:t>
      </w:r>
    </w:p>
    <w:p>
      <w:pPr>
        <w:keepNext w:val="0"/>
        <w:spacing w:before="200" w:after="0" w:line="260" w:lineRule="atLeast"/>
        <w:ind w:left="0" w:right="0" w:firstLine="0"/>
        <w:jc w:val="both"/>
      </w:pPr>
      <w:bookmarkStart w:id="32" w:name="Bookmark_para_15"/>
      <w:bookmarkEnd w:id="32"/>
      <w:r>
        <w:rPr>
          <w:rFonts w:ascii="arial" w:eastAsia="arial" w:hAnsi="arial" w:cs="arial"/>
          <w:b w:val="0"/>
          <w:i w:val="0"/>
          <w:strike w:val="0"/>
          <w:noProof w:val="0"/>
          <w:color w:val="000000"/>
          <w:position w:val="0"/>
          <w:sz w:val="20"/>
          <w:u w:val="none"/>
          <w:vertAlign w:val="baseline"/>
        </w:rPr>
        <w:t>This Court rejects Defendant's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argument that the Government's election is insufficient to cure any duplicity defect in the indictment. This Court has reviewed the grand jury transcript in camera and finds that the Government presented only an attempt charge to the grand jury. Thus, this Court finds that Defendant's concerns raised in his Reply regarding grand jury deliberations are unsupported.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Recommendation</w:t>
      </w:r>
    </w:p>
    <w:p>
      <w:pPr>
        <w:keepNext w:val="0"/>
        <w:spacing w:before="200" w:after="0" w:line="260" w:lineRule="atLeast"/>
        <w:ind w:left="0" w:right="0" w:firstLine="0"/>
        <w:jc w:val="both"/>
      </w:pPr>
      <w:bookmarkStart w:id="33" w:name="Bookmark_para_16"/>
      <w:bookmarkEnd w:id="33"/>
      <w:r>
        <w:rPr>
          <w:rFonts w:ascii="arial" w:eastAsia="arial" w:hAnsi="arial" w:cs="arial"/>
          <w:b w:val="0"/>
          <w:i w:val="0"/>
          <w:strike w:val="0"/>
          <w:noProof w:val="0"/>
          <w:color w:val="000000"/>
          <w:position w:val="0"/>
          <w:sz w:val="20"/>
          <w:u w:val="none"/>
          <w:vertAlign w:val="baseline"/>
        </w:rPr>
        <w:t xml:space="preserve">Based on the foregoing and pursuant to </w:t>
      </w:r>
      <w:hyperlink r:id="rId19" w:history="1">
        <w:r>
          <w:rPr>
            <w:rFonts w:ascii="arial" w:eastAsia="arial" w:hAnsi="arial" w:cs="arial"/>
            <w:b w:val="0"/>
            <w:i/>
            <w:strike w:val="0"/>
            <w:noProof w:val="0"/>
            <w:color w:val="0077CC"/>
            <w:position w:val="0"/>
            <w:sz w:val="20"/>
            <w:u w:val="single"/>
            <w:vertAlign w:val="baseline"/>
          </w:rPr>
          <w:t>28 U.S.C. § 636(b)</w:t>
        </w:r>
      </w:hyperlink>
      <w:r>
        <w:rPr>
          <w:rFonts w:ascii="arial" w:eastAsia="arial" w:hAnsi="arial" w:cs="arial"/>
          <w:b w:val="0"/>
          <w:i w:val="0"/>
          <w:strike w:val="0"/>
          <w:noProof w:val="0"/>
          <w:color w:val="000000"/>
          <w:position w:val="0"/>
          <w:sz w:val="20"/>
          <w:u w:val="none"/>
          <w:vertAlign w:val="baseline"/>
        </w:rPr>
        <w:t xml:space="preserve"> and Local Rule Civil 72.1, Rules of Practice of the United States District Court, District of Arizona, the Magistrate Judge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that the District Court, after an independent review of the record, </w:t>
      </w:r>
      <w:r>
        <w:rPr>
          <w:rFonts w:ascii="arial" w:eastAsia="arial" w:hAnsi="arial" w:cs="arial"/>
          <w:b/>
          <w:i w:val="0"/>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Defendant's Motion. (Doc. 16).</w:t>
      </w:r>
    </w:p>
    <w:p>
      <w:pPr>
        <w:keepNext w:val="0"/>
        <w:spacing w:before="240" w:after="0" w:line="260" w:lineRule="atLeast"/>
        <w:ind w:left="0" w:right="0" w:firstLine="0"/>
        <w:jc w:val="both"/>
      </w:pPr>
      <w:bookmarkStart w:id="34" w:name="Bookmark_para_17"/>
      <w:bookmarkEnd w:id="34"/>
      <w:r>
        <w:rPr>
          <w:rFonts w:ascii="arial" w:eastAsia="arial" w:hAnsi="arial" w:cs="arial"/>
          <w:b w:val="0"/>
          <w:i w:val="0"/>
          <w:strike w:val="0"/>
          <w:noProof w:val="0"/>
          <w:color w:val="000000"/>
          <w:position w:val="0"/>
          <w:sz w:val="20"/>
          <w:u w:val="none"/>
          <w:vertAlign w:val="baseline"/>
        </w:rPr>
        <w:t xml:space="preserve">This Recommendation is not an order that is immediately appealable to the Ninth Circuit Court of Appeals. Any notice of appeal pursuant to </w:t>
      </w:r>
      <w:r>
        <w:rPr>
          <w:rFonts w:ascii="arial" w:eastAsia="arial" w:hAnsi="arial" w:cs="arial"/>
          <w:b w:val="0"/>
          <w:i/>
          <w:strike w:val="0"/>
          <w:noProof w:val="0"/>
          <w:color w:val="000000"/>
          <w:position w:val="0"/>
          <w:sz w:val="20"/>
          <w:u w:val="none"/>
          <w:vertAlign w:val="baseline"/>
        </w:rPr>
        <w:t>Rule 4(a)(1), Federal Rules of Appellate Procedure</w:t>
      </w:r>
      <w:r>
        <w:rPr>
          <w:rFonts w:ascii="arial" w:eastAsia="arial" w:hAnsi="arial" w:cs="arial"/>
          <w:b w:val="0"/>
          <w:i w:val="0"/>
          <w:strike w:val="0"/>
          <w:noProof w:val="0"/>
          <w:color w:val="000000"/>
          <w:position w:val="0"/>
          <w:sz w:val="20"/>
          <w:u w:val="none"/>
          <w:vertAlign w:val="baseline"/>
        </w:rPr>
        <w:t xml:space="preserve">, should not be filed until entry of the District Court's judgment. However, the parties shall have 14 days from the date of service of a copy of this recommendation within which to file specific written objections with the District Court.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and Rules 72(b), 6(a) and </w:t>
      </w:r>
      <w:hyperlink r:id="rId20" w:history="1">
        <w:r>
          <w:rPr>
            <w:rFonts w:ascii="arial" w:eastAsia="arial" w:hAnsi="arial" w:cs="arial"/>
            <w:b w:val="0"/>
            <w:i/>
            <w:strike w:val="0"/>
            <w:noProof w:val="0"/>
            <w:color w:val="0077CC"/>
            <w:position w:val="0"/>
            <w:sz w:val="20"/>
            <w:u w:val="single"/>
            <w:vertAlign w:val="baseline"/>
          </w:rPr>
          <w:t>6(e) of the Federal Rules of Civil Procedure</w:t>
        </w:r>
      </w:hyperlink>
      <w:r>
        <w:rPr>
          <w:rFonts w:ascii="arial" w:eastAsia="arial" w:hAnsi="arial" w:cs="arial"/>
          <w:b w:val="0"/>
          <w:i w:val="0"/>
          <w:strike w:val="0"/>
          <w:noProof w:val="0"/>
          <w:color w:val="000000"/>
          <w:position w:val="0"/>
          <w:sz w:val="20"/>
          <w:u w:val="none"/>
          <w:vertAlign w:val="baseline"/>
        </w:rPr>
        <w:t xml:space="preserve">. Thereafter, the parties have fourteen (14) days within which to file a response to the objections. No replies are permitted without leave of court. </w:t>
      </w:r>
      <w:bookmarkStart w:id="35" w:name="Bookmark_I68YC9SG2HM6910020000400"/>
      <w:bookmarkEnd w:id="35"/>
      <w:r>
        <w:rPr>
          <w:rFonts w:ascii="arial" w:eastAsia="arial" w:hAnsi="arial" w:cs="arial"/>
          <w:b w:val="0"/>
          <w:i w:val="0"/>
          <w:strike w:val="0"/>
          <w:noProof w:val="0"/>
          <w:color w:val="000000"/>
          <w:position w:val="0"/>
          <w:sz w:val="20"/>
          <w:u w:val="none"/>
          <w:vertAlign w:val="baseline"/>
        </w:rPr>
        <w:t xml:space="preserve">If any objections are filed, this action should be designated case number: </w:t>
      </w:r>
      <w:r>
        <w:rPr>
          <w:rFonts w:ascii="arial" w:eastAsia="arial" w:hAnsi="arial" w:cs="arial"/>
          <w:b/>
          <w:i w:val="0"/>
          <w:strike w:val="0"/>
          <w:noProof w:val="0"/>
          <w:color w:val="000000"/>
          <w:position w:val="0"/>
          <w:sz w:val="20"/>
          <w:u w:val="none"/>
          <w:vertAlign w:val="baseline"/>
        </w:rPr>
        <w:t>CR 23-00732-TUC-JGZ</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Failure to timely file objections to any factual or legal determination of the Magistrate Judge may be considered a waiver of a party's right to de novo consideration of the issues. </w:t>
      </w:r>
      <w:r>
        <w:rPr>
          <w:rFonts w:ascii="arial" w:eastAsia="arial" w:hAnsi="arial" w:cs="arial"/>
          <w:b w:val="0"/>
          <w:i/>
          <w:strike w:val="0"/>
          <w:noProof w:val="0"/>
          <w:color w:val="000000"/>
          <w:position w:val="0"/>
          <w:sz w:val="20"/>
          <w:u w:val="none"/>
          <w:vertAlign w:val="baseline"/>
        </w:rPr>
        <w:t xml:space="preserve">See </w:t>
      </w:r>
      <w:bookmarkStart w:id="36" w:name="Bookmark_I68YC9SG2HM6910010000400"/>
      <w:bookmarkEnd w:id="36"/>
      <w:hyperlink r:id="rId21" w:history="1">
        <w:r>
          <w:rPr>
            <w:rFonts w:ascii="arial" w:eastAsia="arial" w:hAnsi="arial" w:cs="arial"/>
            <w:b w:val="0"/>
            <w:i/>
            <w:strike w:val="0"/>
            <w:noProof w:val="0"/>
            <w:color w:val="0077CC"/>
            <w:position w:val="0"/>
            <w:sz w:val="20"/>
            <w:u w:val="single"/>
            <w:vertAlign w:val="baseline"/>
          </w:rPr>
          <w:t>United States v. Reyna-Tapia</w:t>
        </w:r>
      </w:hyperlink>
      <w:hyperlink r:id="rId21" w:history="1">
        <w:r>
          <w:rPr>
            <w:rFonts w:ascii="arial" w:eastAsia="arial" w:hAnsi="arial" w:cs="arial"/>
            <w:b w:val="0"/>
            <w:i/>
            <w:strike w:val="0"/>
            <w:noProof w:val="0"/>
            <w:color w:val="0077CC"/>
            <w:position w:val="0"/>
            <w:sz w:val="20"/>
            <w:u w:val="single"/>
            <w:vertAlign w:val="baseline"/>
          </w:rPr>
          <w:t>, 328 F.3d 1114, 1121 (9th Cir. 2003)</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00" w:after="0" w:line="260" w:lineRule="atLeast"/>
        <w:ind w:left="0" w:right="0" w:firstLine="0"/>
        <w:jc w:val="both"/>
      </w:pPr>
      <w:bookmarkStart w:id="37" w:name="Bookmark_para_18"/>
      <w:bookmarkEnd w:id="37"/>
      <w:r>
        <w:rPr>
          <w:rFonts w:ascii="arial" w:eastAsia="arial" w:hAnsi="arial" w:cs="arial"/>
          <w:b w:val="0"/>
          <w:i w:val="0"/>
          <w:strike w:val="0"/>
          <w:noProof w:val="0"/>
          <w:color w:val="000000"/>
          <w:position w:val="0"/>
          <w:sz w:val="20"/>
          <w:u w:val="none"/>
          <w:vertAlign w:val="baseline"/>
        </w:rPr>
        <w:t>Dated this 19th day of July, 2023.</w:t>
      </w:r>
    </w:p>
    <w:p>
      <w:pPr>
        <w:keepNext w:val="0"/>
        <w:spacing w:before="200" w:after="0" w:line="260" w:lineRule="atLeast"/>
        <w:ind w:left="0" w:right="0" w:firstLine="0"/>
        <w:jc w:val="both"/>
      </w:pPr>
      <w:bookmarkStart w:id="38" w:name="Bookmark_para_19"/>
      <w:bookmarkEnd w:id="38"/>
      <w:r>
        <w:rPr>
          <w:rFonts w:ascii="arial" w:eastAsia="arial" w:hAnsi="arial" w:cs="arial"/>
          <w:b w:val="0"/>
          <w:i w:val="0"/>
          <w:strike w:val="0"/>
          <w:noProof w:val="0"/>
          <w:color w:val="000000"/>
          <w:position w:val="0"/>
          <w:sz w:val="20"/>
          <w:u w:val="none"/>
          <w:vertAlign w:val="baseline"/>
        </w:rPr>
        <w:t>/s/ Jacqueline M. Rateau</w:t>
      </w:r>
    </w:p>
    <w:p>
      <w:pPr>
        <w:keepNext w:val="0"/>
        <w:spacing w:before="200" w:after="0" w:line="260" w:lineRule="atLeast"/>
        <w:ind w:left="0" w:right="0" w:firstLine="0"/>
        <w:jc w:val="both"/>
      </w:pPr>
      <w:bookmarkStart w:id="39" w:name="Bookmark_para_20"/>
      <w:bookmarkEnd w:id="39"/>
      <w:r>
        <w:rPr>
          <w:rFonts w:ascii="arial" w:eastAsia="arial" w:hAnsi="arial" w:cs="arial"/>
          <w:b w:val="0"/>
          <w:i w:val="0"/>
          <w:strike w:val="0"/>
          <w:noProof w:val="0"/>
          <w:color w:val="000000"/>
          <w:position w:val="0"/>
          <w:sz w:val="20"/>
          <w:u w:val="none"/>
          <w:vertAlign w:val="baseline"/>
        </w:rPr>
        <w:t>Honorable Jacqueline M. Rateau</w:t>
      </w:r>
    </w:p>
    <w:p>
      <w:pPr>
        <w:keepNext w:val="0"/>
        <w:spacing w:before="200" w:after="0" w:line="260" w:lineRule="atLeast"/>
        <w:ind w:left="0" w:right="0" w:firstLine="0"/>
        <w:jc w:val="both"/>
      </w:pPr>
      <w:bookmarkStart w:id="40" w:name="Bookmark_para_21"/>
      <w:bookmarkEnd w:id="40"/>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Gomez, 2023 U.S. Dist. LEXIS 138836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SG9-5042-D6RV-H00W-00000-00&amp;context=1519360" TargetMode="External" /><Relationship Id="rId11" Type="http://schemas.openxmlformats.org/officeDocument/2006/relationships/hyperlink" Target="https://advance.lexis.com/api/document?collection=statutes-legislation&amp;id=urn:contentItem:8TT7-MN12-8T6X-74H6-00000-00&amp;context=1519360" TargetMode="External" /><Relationship Id="rId12" Type="http://schemas.openxmlformats.org/officeDocument/2006/relationships/hyperlink" Target="https://advance.lexis.com/api/document?collection=statutes-legislation&amp;id=urn:contentItem:5GYC-2731-FG36-13T4-00000-00&amp;context=1519360" TargetMode="External" /><Relationship Id="rId13" Type="http://schemas.openxmlformats.org/officeDocument/2006/relationships/hyperlink" Target="https://advance.lexis.com/api/document?collection=cases&amp;id=urn:contentItem:589V-X0M1-F04K-V0G0-00000-00&amp;context=1519360" TargetMode="External" /><Relationship Id="rId14" Type="http://schemas.openxmlformats.org/officeDocument/2006/relationships/hyperlink" Target="https://advance.lexis.com/api/document?collection=cases&amp;id=urn:contentItem:3S4X-D2F0-003B-P4N7-00000-00&amp;context=1519360" TargetMode="External" /><Relationship Id="rId15" Type="http://schemas.openxmlformats.org/officeDocument/2006/relationships/hyperlink" Target="https://advance.lexis.com/api/document?collection=statutes-legislation&amp;id=urn:contentItem:8T9R-T4F2-D6RV-H37N-00000-00&amp;context=1519360" TargetMode="External" /><Relationship Id="rId16" Type="http://schemas.openxmlformats.org/officeDocument/2006/relationships/hyperlink" Target="https://advance.lexis.com/api/document?collection=cases&amp;id=urn:contentItem:3S4X-HWM0-0039-P2DN-00000-00&amp;context=1519360" TargetMode="External" /><Relationship Id="rId17" Type="http://schemas.openxmlformats.org/officeDocument/2006/relationships/hyperlink" Target="https://advance.lexis.com/api/document?collection=statutes-legislation&amp;id=urn:contentItem:8T9R-T3X2-8T6X-731X-00000-00&amp;context=1519360" TargetMode="External" /><Relationship Id="rId18" Type="http://schemas.openxmlformats.org/officeDocument/2006/relationships/hyperlink" Target="https://advance.lexis.com/api/document?collection=cases&amp;id=urn:contentItem:4NNR-K1B0-0038-X0R1-00000-00&amp;context=1519360" TargetMode="External" /><Relationship Id="rId19" Type="http://schemas.openxmlformats.org/officeDocument/2006/relationships/hyperlink" Target="https://advance.lexis.com/api/document?collection=statutes-legislation&amp;id=urn:contentItem:8SG9-5HW2-D6RV-H0BK-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statutes-legislation&amp;id=urn:contentItem:69J2-Y0B3-RT0R-B2NX-00000-00&amp;context=1519360" TargetMode="External" /><Relationship Id="rId21" Type="http://schemas.openxmlformats.org/officeDocument/2006/relationships/hyperlink" Target="https://advance.lexis.com/api/document?collection=cases&amp;id=urn:contentItem:48JK-5MW0-0038-X2T8-00000-00&amp;context=1519360"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X3-DJ81-DXPM-S516-00000-00&amp;context=1519360" TargetMode="External" /><Relationship Id="rId9" Type="http://schemas.openxmlformats.org/officeDocument/2006/relationships/hyperlink" Target="https://advance.lexis.com/api/document?collection=cases&amp;id=urn:contentItem:68WX-H0V1-JBM1-M3S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Gomez, 2023 U.S. Dist. LEXIS 138836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vt:lpwstr>
  </property>
  <property fmtid="{D5CDD505-2E9C-101B-9397-08002B2CF9AE}" pid="3" name="LADocCount">
    <vt:lpwstr>1</vt:lpwstr>
  </property>
  <property fmtid="{D5CDD505-2E9C-101B-9397-08002B2CF9AE}" pid="4" name="LADocumentID:5">
    <vt:lpwstr>Doc::urn:hlct:5|contextualFeaturePermID::1519360</vt:lpwstr>
  </property>
  <property fmtid="{D5CDD505-2E9C-101B-9397-08002B2CF9AE}" pid="5" name="UserPermID">
    <vt:lpwstr>urn:user:PA186186283</vt:lpwstr>
  </property>
</Properties>
</file>