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Martinez-Villela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22-40086 Summary Calendar</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7735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2733457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JESUS MARTINEZ-VILLELA,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5:21-CR-951-1.</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district court, motion to dismiss, nonjurisdictional, unconditional, indictment, waived, trial court proceedings, favorable testimony, implicate, witnesses, deported, pretrial, counts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Amy Howell Alaniz,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Jesus Martinez-Villela, Defendant - Appellant: Susan J. Clouthier, Clouthier Law, P.L.L.C., The Woodlands, TX.</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HIGGINSON, and WILLETT, Circuit Judges.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A grand jury charged defendant-appellant Jesus Martinez-Villela with eighteen counts of various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Martinez-Villela filed a motion to dismiss his indictment, arguing that the Government denied his right to due process under the </w:t>
      </w:r>
      <w:hyperlink r:id="rId10"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his right to compulsory process under the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when it deported two witnesses who could have provided material and favorable testimony to his case. The district court denied the motion without prejudice, and Martinez-Villela ultimately pleaded guilty to all eighteen counts, without a plea agreement. He was sentenced to 120 months of imprisonment and five years of supervised release.</w:t>
      </w:r>
    </w:p>
    <w:p>
      <w:pPr>
        <w:keepNext w:val="0"/>
        <w:spacing w:before="240" w:after="0" w:line="260" w:lineRule="atLeast"/>
        <w:ind w:left="0" w:right="0" w:firstLine="0"/>
        <w:jc w:val="both"/>
      </w:pPr>
      <w:bookmarkStart w:id="15" w:name="Bookmark_para_5"/>
      <w:bookmarkEnd w:id="15"/>
      <w:bookmarkStart w:id="16" w:name="Bookmark_I67Y766D2HM6WV0020000400"/>
      <w:bookmarkEnd w:id="16"/>
      <w:r>
        <w:rPr>
          <w:rFonts w:ascii="arial" w:eastAsia="arial" w:hAnsi="arial" w:cs="arial"/>
          <w:b w:val="0"/>
          <w:i w:val="0"/>
          <w:strike w:val="0"/>
          <w:noProof w:val="0"/>
          <w:color w:val="000000"/>
          <w:position w:val="0"/>
          <w:sz w:val="20"/>
          <w:u w:val="none"/>
          <w:vertAlign w:val="baseline"/>
        </w:rPr>
        <w:t>On appeal, Martinez-Villela argues that the district court erred in denying his motion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dismiss the indictment because the Government violated his constitutional rights when it deported witnesses who had material and favorable testimony. </w:t>
      </w:r>
      <w:bookmarkStart w:id="17" w:name="Bookmark_I67Y766D2SF8M10010000400"/>
      <w:bookmarkEnd w:id="17"/>
      <w:r>
        <w:rPr>
          <w:rFonts w:ascii="arial" w:eastAsia="arial" w:hAnsi="arial" w:cs="arial"/>
          <w:b w:val="0"/>
          <w:i w:val="0"/>
          <w:strike w:val="0"/>
          <w:noProof w:val="0"/>
          <w:color w:val="000000"/>
          <w:position w:val="0"/>
          <w:sz w:val="20"/>
          <w:u w:val="none"/>
          <w:vertAlign w:val="baseline"/>
        </w:rPr>
        <w:t xml:space="preserve">Generally, an unconditional guilty plea like Martinez-Villela's waives all nonjurisdictional defects in the trial court proceedings that occurred before the entry of the plea and are unrelated to the voluntariness of the plea in the trial court proceedings. </w:t>
      </w:r>
      <w:bookmarkStart w:id="18" w:name="Bookmark_I67Y766D2HM6WV0010000400"/>
      <w:bookmarkEnd w:id="18"/>
      <w:hyperlink r:id="rId12" w:history="1">
        <w:r>
          <w:rPr>
            <w:rFonts w:ascii="arial" w:eastAsia="arial" w:hAnsi="arial" w:cs="arial"/>
            <w:b w:val="0"/>
            <w:i/>
            <w:strike w:val="0"/>
            <w:noProof w:val="0"/>
            <w:color w:val="0077CC"/>
            <w:position w:val="0"/>
            <w:sz w:val="20"/>
            <w:u w:val="single"/>
            <w:vertAlign w:val="baseline"/>
          </w:rPr>
          <w:t>Tollett v. Henderson</w:t>
        </w:r>
      </w:hyperlink>
      <w:hyperlink r:id="rId12"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xml:space="preserve">; </w:t>
      </w:r>
      <w:bookmarkStart w:id="19" w:name="Bookmark_I67Y766D2HM6WV0030000400"/>
      <w:bookmarkEnd w:id="19"/>
      <w:hyperlink r:id="rId13" w:history="1">
        <w:r>
          <w:rPr>
            <w:rFonts w:ascii="arial" w:eastAsia="arial" w:hAnsi="arial" w:cs="arial"/>
            <w:b w:val="0"/>
            <w:i/>
            <w:strike w:val="0"/>
            <w:noProof w:val="0"/>
            <w:color w:val="0077CC"/>
            <w:position w:val="0"/>
            <w:sz w:val="20"/>
            <w:u w:val="single"/>
            <w:vertAlign w:val="baseline"/>
          </w:rPr>
          <w:t>Smith v. Estelle</w:t>
        </w:r>
      </w:hyperlink>
      <w:hyperlink r:id="rId13" w:history="1">
        <w:r>
          <w:rPr>
            <w:rFonts w:ascii="arial" w:eastAsia="arial" w:hAnsi="arial" w:cs="arial"/>
            <w:b w:val="0"/>
            <w:i/>
            <w:strike w:val="0"/>
            <w:noProof w:val="0"/>
            <w:color w:val="0077CC"/>
            <w:position w:val="0"/>
            <w:sz w:val="20"/>
            <w:u w:val="single"/>
            <w:vertAlign w:val="baseline"/>
          </w:rPr>
          <w:t>, 711 F.2d 677, 682 (5th Cir. 1983)</w:t>
        </w:r>
      </w:hyperlink>
      <w:r>
        <w:rPr>
          <w:rFonts w:ascii="arial" w:eastAsia="arial" w:hAnsi="arial" w:cs="arial"/>
          <w:b w:val="0"/>
          <w:i w:val="0"/>
          <w:strike w:val="0"/>
          <w:noProof w:val="0"/>
          <w:color w:val="000000"/>
          <w:position w:val="0"/>
          <w:sz w:val="20"/>
          <w:u w:val="none"/>
          <w:vertAlign w:val="baseline"/>
        </w:rPr>
        <w:t xml:space="preserve">. </w:t>
      </w:r>
      <w:bookmarkStart w:id="20" w:name="Bookmark_I67Y766D2SF8M10010000400_2"/>
      <w:bookmarkEnd w:id="20"/>
      <w:r>
        <w:rPr>
          <w:rFonts w:ascii="arial" w:eastAsia="arial" w:hAnsi="arial" w:cs="arial"/>
          <w:b w:val="0"/>
          <w:i w:val="0"/>
          <w:strike w:val="0"/>
          <w:noProof w:val="0"/>
          <w:color w:val="000000"/>
          <w:position w:val="0"/>
          <w:sz w:val="20"/>
          <w:u w:val="none"/>
          <w:vertAlign w:val="baseline"/>
        </w:rPr>
        <w:t xml:space="preserve">Exceptions to the general rule include challenges to the constitutionality of the statute of conviction, </w:t>
      </w:r>
      <w:r>
        <w:rPr>
          <w:rFonts w:ascii="arial" w:eastAsia="arial" w:hAnsi="arial" w:cs="arial"/>
          <w:b w:val="0"/>
          <w:i/>
          <w:strike w:val="0"/>
          <w:noProof w:val="0"/>
          <w:color w:val="000000"/>
          <w:position w:val="0"/>
          <w:sz w:val="20"/>
          <w:u w:val="none"/>
          <w:vertAlign w:val="baseline"/>
        </w:rPr>
        <w:t xml:space="preserve">see </w:t>
      </w:r>
      <w:bookmarkStart w:id="21" w:name="Bookmark_I67Y766D2HM6WV0050000400"/>
      <w:bookmarkEnd w:id="21"/>
      <w:hyperlink r:id="rId14" w:history="1">
        <w:r>
          <w:rPr>
            <w:rFonts w:ascii="arial" w:eastAsia="arial" w:hAnsi="arial" w:cs="arial"/>
            <w:b w:val="0"/>
            <w:i/>
            <w:strike w:val="0"/>
            <w:noProof w:val="0"/>
            <w:color w:val="0077CC"/>
            <w:position w:val="0"/>
            <w:sz w:val="20"/>
            <w:u w:val="single"/>
            <w:vertAlign w:val="baseline"/>
          </w:rPr>
          <w:t>Class v. United States</w:t>
        </w:r>
      </w:hyperlink>
      <w:hyperlink r:id="rId14" w:history="1">
        <w:r>
          <w:rPr>
            <w:rFonts w:ascii="arial" w:eastAsia="arial" w:hAnsi="arial" w:cs="arial"/>
            <w:b w:val="0"/>
            <w:i/>
            <w:strike w:val="0"/>
            <w:noProof w:val="0"/>
            <w:color w:val="0077CC"/>
            <w:position w:val="0"/>
            <w:sz w:val="20"/>
            <w:u w:val="single"/>
            <w:vertAlign w:val="baseline"/>
          </w:rPr>
          <w:t>, 138 S. Ct. 798, 803, 805, 200 L. Ed. 2d 37 (2018)</w:t>
        </w:r>
      </w:hyperlink>
      <w:r>
        <w:rPr>
          <w:rFonts w:ascii="arial" w:eastAsia="arial" w:hAnsi="arial" w:cs="arial"/>
          <w:b w:val="0"/>
          <w:i w:val="0"/>
          <w:strike w:val="0"/>
          <w:noProof w:val="0"/>
          <w:color w:val="000000"/>
          <w:position w:val="0"/>
          <w:sz w:val="20"/>
          <w:u w:val="none"/>
          <w:vertAlign w:val="baseline"/>
        </w:rPr>
        <w:t xml:space="preserve">, claims of ineffective assistance of counsel that implicate the voluntariness of the plea, </w:t>
      </w:r>
      <w:r>
        <w:rPr>
          <w:rFonts w:ascii="arial" w:eastAsia="arial" w:hAnsi="arial" w:cs="arial"/>
          <w:b w:val="0"/>
          <w:i/>
          <w:strike w:val="0"/>
          <w:noProof w:val="0"/>
          <w:color w:val="000000"/>
          <w:position w:val="0"/>
          <w:sz w:val="20"/>
          <w:u w:val="none"/>
          <w:vertAlign w:val="baseline"/>
        </w:rPr>
        <w:t xml:space="preserve">see </w:t>
      </w:r>
      <w:bookmarkStart w:id="22" w:name="Bookmark_I67Y766D2SF8M10020000400"/>
      <w:bookmarkEnd w:id="22"/>
      <w:hyperlink r:id="rId13" w:history="1">
        <w:r>
          <w:rPr>
            <w:rFonts w:ascii="arial" w:eastAsia="arial" w:hAnsi="arial" w:cs="arial"/>
            <w:b w:val="0"/>
            <w:i/>
            <w:strike w:val="0"/>
            <w:noProof w:val="0"/>
            <w:color w:val="0077CC"/>
            <w:position w:val="0"/>
            <w:sz w:val="20"/>
            <w:u w:val="single"/>
            <w:vertAlign w:val="baseline"/>
          </w:rPr>
          <w:t>Smith</w:t>
        </w:r>
      </w:hyperlink>
      <w:hyperlink r:id="rId13" w:history="1">
        <w:r>
          <w:rPr>
            <w:rFonts w:ascii="arial" w:eastAsia="arial" w:hAnsi="arial" w:cs="arial"/>
            <w:b w:val="0"/>
            <w:i/>
            <w:strike w:val="0"/>
            <w:noProof w:val="0"/>
            <w:color w:val="0077CC"/>
            <w:position w:val="0"/>
            <w:sz w:val="20"/>
            <w:u w:val="single"/>
            <w:vertAlign w:val="baseline"/>
          </w:rPr>
          <w:t>, 711 F.2d at 682</w:t>
        </w:r>
      </w:hyperlink>
      <w:r>
        <w:rPr>
          <w:rFonts w:ascii="arial" w:eastAsia="arial" w:hAnsi="arial" w:cs="arial"/>
          <w:b w:val="0"/>
          <w:i w:val="0"/>
          <w:strike w:val="0"/>
          <w:noProof w:val="0"/>
          <w:color w:val="000000"/>
          <w:position w:val="0"/>
          <w:sz w:val="20"/>
          <w:u w:val="none"/>
          <w:vertAlign w:val="baseline"/>
        </w:rPr>
        <w:t xml:space="preserve">, and instances where intervening decisions modify the substantive criminal law defining the offense, </w:t>
      </w:r>
      <w:r>
        <w:rPr>
          <w:rFonts w:ascii="arial" w:eastAsia="arial" w:hAnsi="arial" w:cs="arial"/>
          <w:b w:val="0"/>
          <w:i/>
          <w:strike w:val="0"/>
          <w:noProof w:val="0"/>
          <w:color w:val="000000"/>
          <w:position w:val="0"/>
          <w:sz w:val="20"/>
          <w:u w:val="none"/>
          <w:vertAlign w:val="baseline"/>
        </w:rPr>
        <w:t xml:space="preserve">see </w:t>
      </w:r>
      <w:bookmarkStart w:id="23" w:name="Bookmark_I67Y766D2SF8M10040000400"/>
      <w:bookmarkEnd w:id="23"/>
      <w:hyperlink r:id="rId15" w:history="1">
        <w:r>
          <w:rPr>
            <w:rFonts w:ascii="arial" w:eastAsia="arial" w:hAnsi="arial" w:cs="arial"/>
            <w:b w:val="0"/>
            <w:i/>
            <w:strike w:val="0"/>
            <w:noProof w:val="0"/>
            <w:color w:val="0077CC"/>
            <w:position w:val="0"/>
            <w:sz w:val="20"/>
            <w:u w:val="single"/>
            <w:vertAlign w:val="baseline"/>
          </w:rPr>
          <w:t>United States v. Andrade</w:t>
        </w:r>
      </w:hyperlink>
      <w:hyperlink r:id="rId15" w:history="1">
        <w:r>
          <w:rPr>
            <w:rFonts w:ascii="arial" w:eastAsia="arial" w:hAnsi="arial" w:cs="arial"/>
            <w:b w:val="0"/>
            <w:i/>
            <w:strike w:val="0"/>
            <w:noProof w:val="0"/>
            <w:color w:val="0077CC"/>
            <w:position w:val="0"/>
            <w:sz w:val="20"/>
            <w:u w:val="single"/>
            <w:vertAlign w:val="baseline"/>
          </w:rPr>
          <w:t>, 83 F.3d 729, 731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6"/>
      <w:bookmarkEnd w:id="24"/>
      <w:bookmarkStart w:id="25" w:name="Bookmark_I67Y766F2HM6X70020000400"/>
      <w:bookmarkEnd w:id="25"/>
      <w:r>
        <w:rPr>
          <w:rFonts w:ascii="arial" w:eastAsia="arial" w:hAnsi="arial" w:cs="arial"/>
          <w:b w:val="0"/>
          <w:i w:val="0"/>
          <w:strike w:val="0"/>
          <w:noProof w:val="0"/>
          <w:color w:val="000000"/>
          <w:position w:val="0"/>
          <w:sz w:val="20"/>
          <w:u w:val="none"/>
          <w:vertAlign w:val="baseline"/>
        </w:rPr>
        <w:t xml:space="preserve">Here, the record shows that Martinez-Villela made his unconditional guilty plea knowingly and voluntarily. Although he avers in his reply brief that the district court plainly erred in not expressly admonishing him that he was waiving his right to appeal nonjurisdictional pretrial issues, the court was not required to do so. </w:t>
      </w:r>
      <w:r>
        <w:rPr>
          <w:rFonts w:ascii="arial" w:eastAsia="arial" w:hAnsi="arial" w:cs="arial"/>
          <w:b w:val="0"/>
          <w:i/>
          <w:strike w:val="0"/>
          <w:noProof w:val="0"/>
          <w:color w:val="000000"/>
          <w:position w:val="0"/>
          <w:sz w:val="20"/>
          <w:u w:val="none"/>
          <w:vertAlign w:val="baseline"/>
        </w:rPr>
        <w:t xml:space="preserve">See </w:t>
      </w:r>
      <w:bookmarkStart w:id="26" w:name="Bookmark_I67Y766F2HM6X70010000400"/>
      <w:bookmarkEnd w:id="26"/>
      <w:hyperlink r:id="rId16" w:history="1">
        <w:r>
          <w:rPr>
            <w:rFonts w:ascii="arial" w:eastAsia="arial" w:hAnsi="arial" w:cs="arial"/>
            <w:b w:val="0"/>
            <w:i/>
            <w:strike w:val="0"/>
            <w:noProof w:val="0"/>
            <w:color w:val="0077CC"/>
            <w:position w:val="0"/>
            <w:sz w:val="20"/>
            <w:u w:val="single"/>
            <w:vertAlign w:val="baseline"/>
          </w:rPr>
          <w:t>United States v. Lampazianie</w:t>
        </w:r>
      </w:hyperlink>
      <w:hyperlink r:id="rId16" w:history="1">
        <w:r>
          <w:rPr>
            <w:rFonts w:ascii="arial" w:eastAsia="arial" w:hAnsi="arial" w:cs="arial"/>
            <w:b w:val="0"/>
            <w:i/>
            <w:strike w:val="0"/>
            <w:noProof w:val="0"/>
            <w:color w:val="0077CC"/>
            <w:position w:val="0"/>
            <w:sz w:val="20"/>
            <w:u w:val="single"/>
            <w:vertAlign w:val="baseline"/>
          </w:rPr>
          <w:t>, 251 F.3d 519, 526 (5th Cir. 2001)</w:t>
        </w:r>
      </w:hyperlink>
      <w:r>
        <w:rPr>
          <w:rFonts w:ascii="arial" w:eastAsia="arial" w:hAnsi="arial" w:cs="arial"/>
          <w:b w:val="0"/>
          <w:i w:val="0"/>
          <w:strike w:val="0"/>
          <w:noProof w:val="0"/>
          <w:color w:val="000000"/>
          <w:position w:val="0"/>
          <w:sz w:val="20"/>
          <w:u w:val="none"/>
          <w:vertAlign w:val="baseline"/>
        </w:rPr>
        <w:t xml:space="preserve">; </w:t>
      </w:r>
      <w:bookmarkStart w:id="27" w:name="Bookmark_I67Y766F2HM6X70030000400"/>
      <w:bookmarkEnd w:id="27"/>
      <w:r>
        <w:rPr>
          <w:rFonts w:ascii="arial" w:eastAsia="arial" w:hAnsi="arial" w:cs="arial"/>
          <w:b w:val="0"/>
          <w:i/>
          <w:strike w:val="0"/>
          <w:noProof w:val="0"/>
          <w:color w:val="000000"/>
          <w:position w:val="0"/>
          <w:sz w:val="20"/>
          <w:u w:val="none"/>
          <w:vertAlign w:val="baseline"/>
        </w:rPr>
        <w:t>United States v. Coil</w:t>
      </w:r>
      <w:r>
        <w:rPr>
          <w:rFonts w:ascii="arial" w:eastAsia="arial" w:hAnsi="arial" w:cs="arial"/>
          <w:b w:val="0"/>
          <w:i/>
          <w:strike w:val="0"/>
          <w:noProof w:val="0"/>
          <w:color w:val="000000"/>
          <w:position w:val="0"/>
          <w:sz w:val="20"/>
          <w:u w:val="none"/>
          <w:vertAlign w:val="baseline"/>
        </w:rPr>
        <w:t>, 442 F.3d 912, 914-15 (5th Cir. 2006)</w:t>
      </w:r>
      <w:r>
        <w:rPr>
          <w:rFonts w:ascii="arial" w:eastAsia="arial" w:hAnsi="arial" w:cs="arial"/>
          <w:b w:val="0"/>
          <w:i w:val="0"/>
          <w:strike w:val="0"/>
          <w:noProof w:val="0"/>
          <w:color w:val="000000"/>
          <w:position w:val="0"/>
          <w:sz w:val="20"/>
          <w:u w:val="none"/>
          <w:vertAlign w:val="baseline"/>
        </w:rPr>
        <w:t xml:space="preserve"> ("A district court need not inform defendant that his guilty plea operates as a waiver of the right to appeal non-jurisdictional pretrial rulings."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(citation omitted)). His challenge to the district court's denial of his motion to dismiss the indictment is not jurisdictional and does not implicate any of the exceptions to the waiver carved out by the Supreme Court and this circuit. His claim was therefore waived by his unconditional guilty plea.</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Martinez-Villela, 2023 U.S. App. LEXIS 7735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X2-8T6X-731X-00000-00&amp;context=1519360" TargetMode="External" /><Relationship Id="rId11" Type="http://schemas.openxmlformats.org/officeDocument/2006/relationships/hyperlink" Target="https://advance.lexis.com/api/document?collection=statutes-legislation&amp;id=urn:contentItem:8T9R-T4F2-D6RV-H37N-00000-00&amp;context=1519360" TargetMode="External" /><Relationship Id="rId12" Type="http://schemas.openxmlformats.org/officeDocument/2006/relationships/hyperlink" Target="https://advance.lexis.com/api/document?collection=cases&amp;id=urn:contentItem:3S4X-CVW0-003B-S36K-00000-00&amp;context=1519360" TargetMode="External" /><Relationship Id="rId13" Type="http://schemas.openxmlformats.org/officeDocument/2006/relationships/hyperlink" Target="https://advance.lexis.com/api/document?collection=cases&amp;id=urn:contentItem:3S4W-YS90-003B-G0T9-00000-00&amp;context=1519360" TargetMode="External" /><Relationship Id="rId14" Type="http://schemas.openxmlformats.org/officeDocument/2006/relationships/hyperlink" Target="https://advance.lexis.com/api/document?collection=cases&amp;id=urn:contentItem:5RPH-BWW1-F04K-F0KD-00000-00&amp;context=1519360" TargetMode="External" /><Relationship Id="rId15" Type="http://schemas.openxmlformats.org/officeDocument/2006/relationships/hyperlink" Target="https://advance.lexis.com/api/document?collection=cases&amp;id=urn:contentItem:3S4X-29V0-006F-M10W-00000-00&amp;context=1519360" TargetMode="External" /><Relationship Id="rId16" Type="http://schemas.openxmlformats.org/officeDocument/2006/relationships/hyperlink" Target="https://advance.lexis.com/api/document?collection=cases&amp;id=urn:contentItem:432C-JJT0-0038-X3D0-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K-7VT1-JCBX-S0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Martinez-Villela, 2023 U.S. App. LEXIS 7735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urn:user:PA186186283</vt:lpwstr>
  </property>
</Properties>
</file>