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Perez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2023, Decided; January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97cr02520-LAB-8</w:t>
      </w:r>
    </w:p>
    <w:p>
      <w:pPr>
        <w:keepNext w:val="0"/>
        <w:spacing w:after="0" w:line="240" w:lineRule="atLeast"/>
        <w:ind w:right="0"/>
        <w:jc w:val="both"/>
      </w:pPr>
      <w:bookmarkStart w:id="0" w:name="Bookmark_1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19848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1487288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EFRAIN PEREZ,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factors, murdering, reduction, cartel's, reasons, prison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Plaintiff, James P Melendres, LEAD ATTORNEY, United States Attorney's Office, San Diego, CA; Joseph S Green, Michael E Lasater, U S Attorneys Office Southern District of California, LEAD ATTORNEYS, Criminal Division, San Diego, CA; Daniel E. Zipp, U S Attorney's Office, Southern District of California, San Diego,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LARRY ALAN BURNS,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LARRY ALAN BURNS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ORDER DENYING MOTION FOR REDUCTION OF SENTENCE PURSUANT TO </w:t>
      </w:r>
      <w:hyperlink r:id="rId9" w:history="1">
        <w:r>
          <w:rPr>
            <w:rFonts w:ascii="arial" w:eastAsia="arial" w:hAnsi="arial" w:cs="arial"/>
            <w:b/>
            <w:i/>
            <w:strike w:val="0"/>
            <w:noProof w:val="0"/>
            <w:color w:val="0077CC"/>
            <w:position w:val="0"/>
            <w:sz w:val="20"/>
            <w:u w:val="single"/>
            <w:vertAlign w:val="baseline"/>
          </w:rPr>
          <w:t>18 U.S.C. § 3582</w:t>
        </w:r>
      </w:hyperlink>
      <w:r>
        <w:rPr>
          <w:rFonts w:ascii="arial" w:eastAsia="arial" w:hAnsi="arial" w:cs="arial"/>
          <w:b/>
          <w:i w:val="0"/>
          <w:strike w:val="0"/>
          <w:noProof w:val="0"/>
          <w:color w:val="000000"/>
          <w:position w:val="0"/>
          <w:sz w:val="20"/>
          <w:u w:val="none"/>
          <w:vertAlign w:val="baseline"/>
        </w:rPr>
        <w:t xml:space="preserve"> [Dkt. 709]</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Defendant Efrain Perez is a former member of the well-known Arellano-Felix Organization ("AFO"), a major Mexican drug trafficking organization whose members and associates engaged in a variety of criminal activity, including illegal trafficking of narcotics, money laundering, bribery, extortion, kidnapping, torture, and murder. Perez served as one of AFO's top lieutenants for nearly twenty years before he was apprehended in Mexico in 2004 and later extradited to the United States to face charges here. In 2008, approximately nine months after his extradition, Perez pled guilty to conducting the affairs of an enterprise through a pattern of racketeering activity, </w:t>
      </w:r>
      <w:hyperlink r:id="rId10"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and conspiracy to use and invest illegal drug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profits, </w:t>
      </w:r>
      <w:hyperlink r:id="rId11" w:history="1">
        <w:r>
          <w:rPr>
            <w:rFonts w:ascii="arial" w:eastAsia="arial" w:hAnsi="arial" w:cs="arial"/>
            <w:b w:val="0"/>
            <w:i/>
            <w:strike w:val="0"/>
            <w:noProof w:val="0"/>
            <w:color w:val="0077CC"/>
            <w:position w:val="0"/>
            <w:sz w:val="20"/>
            <w:u w:val="single"/>
            <w:vertAlign w:val="baseline"/>
          </w:rPr>
          <w:t>21 U.S.C. §§ 854</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The Court sentenced him to 300 months in prison, followed by three years of supervised release. He is scheduled to be released from Bureau of Prisons ("BOP") custody on April 20, 2030.</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Perez now moves for a reduction of sentence under </w:t>
      </w:r>
      <w:hyperlink r:id="rId9"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under which a court may modify a defendant's term of imprisonment if it concludes that "extraordinary and compelling reasons" warrant a reduction after considering the factors set forth in </w:t>
      </w:r>
      <w:hyperlink r:id="rId13"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He requests that his sentence be reduced to time served because of his advanced age (approximately 63 years old); severe medical conditions, including coronary artery disease, kidney disease, diabetes, hypertension, obstructive sleep apnea, and latent tuberculosis, all of which he says make it unlikely he'll live another ten years; good behavior in prison; and desire to spend the remaining years of his life with his family. (Dkt. 709 at 1-2, 6). Perez states that his "motion is not intended to minimize [his] prior acts, but instead to request mercy on behalf of [him] and his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The Government opposes his Motion, arguing that even if Perez could make a showing of "extraordinary and compelling reasons" under </w:t>
      </w:r>
      <w:hyperlink r:id="rId9"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sentencing factors "weigh</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against Perez's early release." (Dkt. 710). Prosecutors contend Perez was AFO's "shot-caller" in nearly all aspects of the cartel's operations:</w:t>
      </w:r>
    </w:p>
    <w:p>
      <w:pPr>
        <w:keepNext w:val="0"/>
        <w:spacing w:before="200" w:after="0" w:line="260" w:lineRule="atLeast"/>
        <w:ind w:left="40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Perez oversaw the receipt of large drug shipments in Mexico, and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those drugs into the United States. PSR 3. Perez collected drug proceeds, "policed" the Tijuana drug trafficking "plaza," and regularly possessed firearms in connection with the offense. Perez was aware that AFO members murdered "numerous" persons in furtherance of the AFO's illegal activities, and Perez personally participated in multiple incidents that led to the murders of persons in furtherance of AFO activities. PSR 3. Perez knew that other members of the AFO repeatedly and willfully obstructed investigations of their activities by bribing law enforcement and military personnel, murdering informants or potential witnesses, and murdering law enforcement and military personnel. PSR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5). The Government notes that, as a high-ranking member, Perez was intimately involved in the heinous activities perpetrated by the cartel, and that the Court took this into consideration at sentencing. Specifically, the Government argues that when imposing Perez's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sentence, the Court considered the time he'd already served in custody in Mexico, the need for deterrence, and his medical conditions.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Indeed, at sentencing, the Court acknowledged Perez's "longstanding" affiliation with AFO:</w:t>
      </w:r>
    </w:p>
    <w:p>
      <w:pPr>
        <w:keepNext w:val="0"/>
        <w:spacing w:after="0" w:line="260" w:lineRule="atLeast"/>
        <w:ind w:left="40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This was a brutal organization, and I agree . . . that a lot of the things that were done in the name of this organization with the complicity of Mr. Perez and other high officials were brutal—brutal, unspeakable . . . Even though it may not have occurred at his hand, he authorized it. He was one of the shot-callers. . . . The duration of his involvement was also longstanding. This wasn't a situational deal. He was in this for a long time. A lot of harm was done by this organization during the period of time that he operated as a supervisor.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708, Sent'g Tr., 9:20-10:11). The Court also found that a sentence of 300 months' custody was "consistent with the need for general deterrence in this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11:2-4). And as to his health condition, the Court took this into account when calculating his sentence:</w:t>
      </w:r>
    </w:p>
    <w:p>
      <w:pPr>
        <w:keepNext w:val="0"/>
        <w:spacing w:before="200" w:after="0" w:line="260" w:lineRule="atLeast"/>
        <w:ind w:left="40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So in my judgment, the guideline sentence of—that I've come up with of 300 months is consistent with the need for general deterrence in this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case. Specific deterrence is taken care of, I think, by the jail sentence. I do also have in mind the defendant's medical condition. . . . I don't think any additional credit is deserved, even though I don't dispute that he has some profound health problems and—and that a 300-month sentence is a substantial sentence for him and may likely result in him never leaving a United States federal prison. I do have that in mind.</w:t>
      </w:r>
    </w:p>
    <w:p>
      <w:pPr>
        <w:keepNext w:val="0"/>
        <w:spacing w:after="0" w:line="260" w:lineRule="atLeast"/>
        <w:ind w:left="40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When I balance it against the credit already given for different reasons, I find that no additional credit is warranted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11:6-21). The Government correctly points out that all of the reasons Perez advances in his motion in support of his argument for release were already factored into the Court's considerations at the time of sentencing.</w:t>
      </w:r>
    </w:p>
    <w:p>
      <w:pPr>
        <w:keepNext w:val="0"/>
        <w:spacing w:before="24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 xml:space="preserve">Moreover, while it's true that the age, medical condition, and good behavior of a defendant may weigh in favor of a defendant's release from prison,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U.S.S.G. § 1b1.13, App. Note 1</w:t>
        </w:r>
      </w:hyperlink>
      <w:r>
        <w:rPr>
          <w:rFonts w:ascii="arial" w:eastAsia="arial" w:hAnsi="arial" w:cs="arial"/>
          <w:b w:val="0"/>
          <w:i w:val="0"/>
          <w:strike w:val="0"/>
          <w:noProof w:val="0"/>
          <w:color w:val="000000"/>
          <w:position w:val="0"/>
          <w:sz w:val="20"/>
          <w:u w:val="none"/>
          <w:vertAlign w:val="baseline"/>
        </w:rPr>
        <w:t xml:space="preserve">, such circumstances must be balanced against the </w:t>
      </w:r>
      <w:hyperlink r:id="rId13"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Here, the Court cannot—and will not—ignore Perez's extensive involvement in one of the most vicious drug cartels. Perez was responsible for egregious conduct perpetrated in furtherance of the cartel's objectives,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consequences of which often involved brutal violence and corruption. Perez was not some low-ranking associate shielded from the on-goings of the organization, but rather the very individual communicating directly with the cartel's leaders, making executive decisions, and orchestrating and carrying out the illegal activity. The sentence originally imposed by the Court reflects not only the gravity and seriousness of Perez's offenses, but also the need to deter him, and anyone else, from ever committing such crimes. </w:t>
      </w:r>
      <w:hyperlink r:id="rId13"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That Perez may not survive beyond the remainder of his sentence is an unfortunate consequence of the choices he made over a nearly twenty-year period.</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 xml:space="preserve">Perez has not demonstrated "extraordinary and compelling reasons" to warrant a reduction of sentence. Nor, after reevaluating the § 3353(a) factors, does the Court find that a reduction is deserved. Viewed against the backdrop of his offenses and the factors the Court considered during the original sentencing hearing, the Court finds that a 300-month sentence remains right, just, and proper. Perez's motion for early release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11"/>
      <w:bookmarkEnd w:id="17"/>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Dated: January 27, 2023</w:t>
      </w:r>
    </w:p>
    <w:p>
      <w:pPr>
        <w:keepNext w:val="0"/>
        <w:spacing w:before="200" w:after="0" w:line="260" w:lineRule="atLeast"/>
        <w:ind w:left="0" w:right="0" w:firstLine="0"/>
        <w:jc w:val="both"/>
      </w:pPr>
      <w:bookmarkStart w:id="19" w:name="Bookmark_para_13"/>
      <w:bookmarkEnd w:id="19"/>
      <w:r>
        <w:rPr>
          <w:rFonts w:ascii="arial" w:eastAsia="arial" w:hAnsi="arial" w:cs="arial"/>
          <w:b w:val="0"/>
          <w:i w:val="0"/>
          <w:strike w:val="0"/>
          <w:noProof w:val="0"/>
          <w:color w:val="000000"/>
          <w:position w:val="0"/>
          <w:sz w:val="20"/>
          <w:u w:val="none"/>
          <w:vertAlign w:val="baseline"/>
        </w:rPr>
        <w:t>/s/ Larry Alan Burns</w:t>
      </w:r>
    </w:p>
    <w:p>
      <w:pPr>
        <w:keepNext w:val="0"/>
        <w:spacing w:before="200" w:after="0" w:line="260" w:lineRule="atLeast"/>
        <w:ind w:left="0" w:right="0" w:firstLine="0"/>
        <w:jc w:val="both"/>
      </w:pPr>
      <w:bookmarkStart w:id="20" w:name="Bookmark_para_14"/>
      <w:bookmarkEnd w:id="20"/>
      <w:r>
        <w:rPr>
          <w:rFonts w:ascii="arial" w:eastAsia="arial" w:hAnsi="arial" w:cs="arial"/>
          <w:b/>
          <w:i w:val="0"/>
          <w:smallCaps/>
          <w:strike w:val="0"/>
          <w:noProof w:val="0"/>
          <w:color w:val="000000"/>
          <w:position w:val="0"/>
          <w:sz w:val="20"/>
          <w:u w:val="none"/>
          <w:vertAlign w:val="baseline"/>
        </w:rPr>
        <w:t>Hon. Larry Alan Burns</w:t>
      </w:r>
    </w:p>
    <w:p>
      <w:pPr>
        <w:keepNext w:val="0"/>
        <w:spacing w:before="200" w:after="0" w:line="260" w:lineRule="atLeast"/>
        <w:ind w:left="0" w:right="0" w:firstLine="0"/>
        <w:jc w:val="both"/>
      </w:pPr>
      <w:bookmarkStart w:id="21" w:name="Bookmark_para_15"/>
      <w:bookmarkEnd w:id="21"/>
      <w:r>
        <w:rPr>
          <w:rFonts w:ascii="arial" w:eastAsia="arial" w:hAnsi="arial" w:cs="arial"/>
          <w:b w:val="0"/>
          <w:i w:val="0"/>
          <w:strike w:val="0"/>
          <w:noProof w:val="0"/>
          <w:color w:val="000000"/>
          <w:position w:val="0"/>
          <w:sz w:val="20"/>
          <w:u w:val="none"/>
          <w:vertAlign w:val="baseline"/>
        </w:rPr>
        <w:t>United States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Perez, 2023 U.S. Dist. LEXIS 19848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042-D6RV-H0PV-00000-00&amp;context=1519360" TargetMode="External" /><Relationship Id="rId11" Type="http://schemas.openxmlformats.org/officeDocument/2006/relationships/hyperlink" Target="https://advance.lexis.com/api/document?collection=statutes-legislation&amp;id=urn:contentItem:8SDD-0C82-8T6X-73JC-00000-00&amp;context=1519360" TargetMode="External" /><Relationship Id="rId12" Type="http://schemas.openxmlformats.org/officeDocument/2006/relationships/hyperlink" Target="https://advance.lexis.com/api/document?collection=statutes-legislation&amp;id=urn:contentItem:8SDD-0C82-8T6X-73J2-00000-00&amp;context=1519360" TargetMode="External" /><Relationship Id="rId13" Type="http://schemas.openxmlformats.org/officeDocument/2006/relationships/hyperlink" Target="https://advance.lexis.com/api/document?collection=statutes-legislation&amp;id=urn:contentItem:8TV4-SKM2-8T6X-72T1-00000-00&amp;context=1519360" TargetMode="External" /><Relationship Id="rId14" Type="http://schemas.openxmlformats.org/officeDocument/2006/relationships/hyperlink" Target="https://advance.lexis.com/api/document?collection=statutes-legislation&amp;id=urn:contentItem:69J2-BD73-RRP4-V20R-00000-00&amp;context=151936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GV-D2T1-FC1F-M0HP-00000-00&amp;context=1519360" TargetMode="External" /><Relationship Id="rId9" Type="http://schemas.openxmlformats.org/officeDocument/2006/relationships/hyperlink" Target="https://advance.lexis.com/api/document?collection=statutes-legislation&amp;id=urn:contentItem:8TV4-SJH2-D6RV-H3S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Perez, 2023 U.S. Dist. LEXIS 19848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Doc::urn:hlct:5|contextualFeaturePermID::1519360</vt:lpwstr>
  </property>
  <property fmtid="{D5CDD505-2E9C-101B-9397-08002B2CF9AE}" pid="5" name="UserPermID">
    <vt:lpwstr>urn:user:PA186186283</vt:lpwstr>
  </property>
</Properties>
</file>