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Whipple v. Johnston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Minnesota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2023, Decided; June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22-cv-2588 (JWB/JFD)</w:t>
      </w:r>
    </w:p>
    <w:p>
      <w:pPr>
        <w:keepNext w:val="0"/>
        <w:spacing w:after="0" w:line="240" w:lineRule="atLeast"/>
        <w:ind w:right="0"/>
        <w:jc w:val="both"/>
      </w:pPr>
      <w:bookmarkStart w:id="0" w:name="Bookmark_8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162467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5941552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R. Whipple, Plaintiff, v. Nancy Johnston, CEO of MSOP, sued in her individual and official capacities,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Dismissed by </w:t>
      </w:r>
      <w:hyperlink r:id="rId10" w:history="1">
        <w:r>
          <w:rPr>
            <w:rFonts w:ascii="arial" w:eastAsia="arial" w:hAnsi="arial" w:cs="arial"/>
            <w:b w:val="0"/>
            <w:i/>
            <w:strike w:val="0"/>
            <w:noProof w:val="0"/>
            <w:color w:val="0077CC"/>
            <w:position w:val="0"/>
            <w:sz w:val="20"/>
            <w:u w:val="single"/>
            <w:vertAlign w:val="baseline"/>
          </w:rPr>
          <w:t>Whipple v. Johnston, 2023 U.S. Dist. LEXIS 163386, 2023 WL 5941553 (D. Minn., July 5,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Tier, gaming, allegations, infractions, protected liberty interest, recommends, programming, vocational, detainees, accessories, seizure, rights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Michael R. Whipple, Plaintiff, Pro se, Moose Lake, MN.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Nancy Johnston, CEO of MSOP, Sued in her individual and official capacities, Defendant: Sparrowleaf Dilts McGregor, LEAD ATTORNEY, Office of the Minnesota Attorney General, St. Paul, MN.</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F. DOCHERTY,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F. DOCHERTY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matter is before the Court on Defendant Nancy Johnston's Motion to Dismiss Plaintiff Michael R. Whipple's Complaint (Dkt. No. 15). The motion was referred to the undersigned United States Magistrate Judge for a Report and Recommendation, pursuant to </w:t>
      </w:r>
      <w:hyperlink r:id="rId11" w:history="1">
        <w:r>
          <w:rPr>
            <w:rFonts w:ascii="arial" w:eastAsia="arial" w:hAnsi="arial" w:cs="arial"/>
            <w:b w:val="0"/>
            <w:i/>
            <w:strike w:val="0"/>
            <w:noProof w:val="0"/>
            <w:color w:val="0077CC"/>
            <w:position w:val="0"/>
            <w:sz w:val="20"/>
            <w:u w:val="single"/>
            <w:vertAlign w:val="baseline"/>
          </w:rPr>
          <w:t>28 U.S.C. § 636</w:t>
        </w:r>
      </w:hyperlink>
      <w:r>
        <w:rPr>
          <w:rFonts w:ascii="arial" w:eastAsia="arial" w:hAnsi="arial" w:cs="arial"/>
          <w:b w:val="0"/>
          <w:i w:val="0"/>
          <w:strike w:val="0"/>
          <w:noProof w:val="0"/>
          <w:color w:val="000000"/>
          <w:position w:val="0"/>
          <w:sz w:val="20"/>
          <w:u w:val="none"/>
          <w:vertAlign w:val="baseline"/>
        </w:rPr>
        <w:t>, in an order dated January 17, 2023 (Dkt. No. 26). For the reasons set forth below, the Court recommends granting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Mr. Whipple is involuntarily committed to the Minnesota Sex Offender Program ("MSOP"). (Compl. ¶ 1, Dkt. No. 1.) He is suing Defendant Nancy Johnston, the CEO of MSOP, in her individual and official capacities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for allegedly violating his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by confiscating an Xbox 360 gaming system and his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by enforcing a behavioral management system against him without due process protections.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Relevant Facts and Allegations</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Mr. Whipple's Xbox 360 gaming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system was seized when his "Tier level" was decreased from a Tier 3 to a Tier 2 under MSOP's "Tier System."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9-11.) The Tier System has three levels; detainees begin on Tier 1 when they first arrive at MSOP and may advance by demonstrating "positive prosocial behavior" and "utiliz[ing] skills that aid in successful reintegration." (MacGregor Decl. Ex. 1 at 1, Dkt. No. 18-1.)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Tier levels are based upon detainees' "compliance with facility rules and demonstration of positive and prosocial behavior" with other members of the MSOP community. </w:t>
      </w:r>
      <w:bookmarkStart w:id="12" w:name="Bookmark_I69K84S32N1RKG0020000400"/>
      <w:bookmarkEnd w:id="12"/>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"Detainees on Tier 3 are afforded additional freedoms and privileges, including access to programming, freedom of movement, work opportunities, and the ability to possess an approved video game system." </w:t>
      </w:r>
      <w:hyperlink r:id="rId15" w:history="1">
        <w:r>
          <w:rPr>
            <w:rFonts w:ascii="arial" w:eastAsia="arial" w:hAnsi="arial" w:cs="arial"/>
            <w:b w:val="0"/>
            <w:i/>
            <w:strike w:val="0"/>
            <w:noProof w:val="0"/>
            <w:color w:val="0077CC"/>
            <w:position w:val="0"/>
            <w:sz w:val="20"/>
            <w:u w:val="single"/>
            <w:vertAlign w:val="baseline"/>
          </w:rPr>
          <w:t>Dean v. Johnston</w:t>
        </w:r>
      </w:hyperlink>
      <w:hyperlink r:id="rId15" w:history="1">
        <w:r>
          <w:rPr>
            <w:rFonts w:ascii="arial" w:eastAsia="arial" w:hAnsi="arial" w:cs="arial"/>
            <w:b w:val="0"/>
            <w:i/>
            <w:strike w:val="0"/>
            <w:noProof w:val="0"/>
            <w:color w:val="0077CC"/>
            <w:position w:val="0"/>
            <w:sz w:val="20"/>
            <w:u w:val="single"/>
            <w:vertAlign w:val="baseline"/>
          </w:rPr>
          <w:t>, No. 19-3186 (JRT/LIB), 2021 U.S. Dist. LEXIS 155810, 2021 WL 3667265, at *3 (D. Minn. Aug. 18, 2021)</w:t>
        </w:r>
      </w:hyperlink>
      <w:r>
        <w:rPr>
          <w:rFonts w:ascii="arial" w:eastAsia="arial" w:hAnsi="arial" w:cs="arial"/>
          <w:b w:val="0"/>
          <w:i w:val="0"/>
          <w:strike w:val="0"/>
          <w:noProof w:val="0"/>
          <w:color w:val="000000"/>
          <w:position w:val="0"/>
          <w:sz w:val="20"/>
          <w:u w:val="none"/>
          <w:vertAlign w:val="baseline"/>
        </w:rPr>
        <w:t xml:space="preserve"> (hereinafter "</w:t>
      </w:r>
      <w:r>
        <w:rPr>
          <w:rFonts w:ascii="arial" w:eastAsia="arial" w:hAnsi="arial" w:cs="arial"/>
          <w:b w:val="0"/>
          <w:i/>
          <w:strike w:val="0"/>
          <w:noProof w:val="0"/>
          <w:color w:val="000000"/>
          <w:position w:val="0"/>
          <w:sz w:val="20"/>
          <w:u w:val="none"/>
          <w:vertAlign w:val="baseline"/>
        </w:rPr>
        <w:t>Dean II</w:t>
      </w:r>
      <w:r>
        <w:rPr>
          <w:rFonts w:ascii="arial" w:eastAsia="arial" w:hAnsi="arial" w:cs="arial"/>
          <w:b w:val="0"/>
          <w:i w:val="0"/>
          <w:strike w:val="0"/>
          <w:noProof w:val="0"/>
          <w:color w:val="000000"/>
          <w:position w:val="0"/>
          <w:sz w:val="20"/>
          <w:u w:val="none"/>
          <w:vertAlign w:val="baseline"/>
        </w:rPr>
        <w:t xml:space="preserve">"). Tier levels may be decreased for behavioral infractions or behaviors that are not consistent with the expectations of the tier level; when a client's tier is reduced, they no longer have the privileges associated with that tier until their tier is increased. (MacGregor Decl. Ex. 1 at 2-3); </w:t>
      </w:r>
      <w:r>
        <w:rPr>
          <w:rFonts w:ascii="arial" w:eastAsia="arial" w:hAnsi="arial" w:cs="arial"/>
          <w:b w:val="0"/>
          <w:i/>
          <w:strike w:val="0"/>
          <w:noProof w:val="0"/>
          <w:color w:val="000000"/>
          <w:position w:val="0"/>
          <w:sz w:val="20"/>
          <w:u w:val="none"/>
          <w:vertAlign w:val="baseline"/>
        </w:rPr>
        <w:t xml:space="preserve">see also </w:t>
      </w:r>
      <w:bookmarkStart w:id="13" w:name="Bookmark_I69K84S32N1RKG0010000400"/>
      <w:bookmarkEnd w:id="13"/>
      <w:hyperlink r:id="rId15" w:history="1">
        <w:r>
          <w:rPr>
            <w:rFonts w:ascii="arial" w:eastAsia="arial" w:hAnsi="arial" w:cs="arial"/>
            <w:b w:val="0"/>
            <w:i/>
            <w:strike w:val="0"/>
            <w:noProof w:val="0"/>
            <w:color w:val="0077CC"/>
            <w:position w:val="0"/>
            <w:sz w:val="20"/>
            <w:u w:val="single"/>
            <w:vertAlign w:val="baseline"/>
          </w:rPr>
          <w:t>Dean II</w:t>
        </w:r>
      </w:hyperlink>
      <w:hyperlink r:id="rId15" w:history="1">
        <w:r>
          <w:rPr>
            <w:rFonts w:ascii="arial" w:eastAsia="arial" w:hAnsi="arial" w:cs="arial"/>
            <w:b w:val="0"/>
            <w:i/>
            <w:strike w:val="0"/>
            <w:noProof w:val="0"/>
            <w:color w:val="0077CC"/>
            <w:position w:val="0"/>
            <w:sz w:val="20"/>
            <w:u w:val="single"/>
            <w:vertAlign w:val="baseline"/>
          </w:rPr>
          <w:t>, 2021 U.S. Dist. LEXIS 155810, 2021 WL 3667265, at *1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Mr. Whipple does not describe the conduct or events that preceded the downward change in his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Tier level, but Mr. Whipple characterizes the "Tier System" as "objectively unreasonable," "punitive," "not neutral," unconstitutional, and lacking any therapeutic value.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8-9.) According to the Complaint, the "Tier System" allegedly "regulates every dimension of Plaintiff's life, controlling visitation, receipt of packages, bedtime, personal belongings, recreation, and many other factors of Plaintiff's daily existence."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Mr. Whipple accuses Ms. Johnston of "fail[ing] to exercise qualified professional judgment" in creating and implementing the Tier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 He claims that Ms. Johnston "created, implemented, retained, and carried out practices and policies" that violated his Fourth and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Mr. Whipple alleges that Ms. Johnston "direct[ed] her subordinates to carry out the unconstitutional policies, in a punitive manner, for no other reason but to punish."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 Specifically, she "directed her subordinates" to seize Mr. Whipple's Xbox, accessories, and games.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10-11.)</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When Mr. Whipple's Tier status was reduced from Tier 3 to Tier 2, he alleges, he was not afforded a hearing or given any other opportunity to be heard.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 The decision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was final, with no appeal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 Mr. Whipple asserts that his gaming system and accessories cost thousands of dollars and took years to collect.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Under the Tier System, Mr. Whipple will have to increase his Tier level from a Tier 2 to a Tier 3 and retain Tier 3 status for 90 days before he will be permitted to re-order a gaming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Mr. Whipple allegedly cannot get back his Xbox but will have to purchase a new gaming system; however, the MSOP-approved vendor no longer sells Xbox 360s to MSOP clients.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n.2 &amp; n.3.) Mr. Whipple also alleges that he was precluded from participating in vocational programming, without due process, when his Tier level was reduced.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Ms. Johnston's Motion to Dismiss</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 xml:space="preserve">Ms. Johnston moves to dismiss Mr. Whipple's claims pursuant to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She argues that Mr. Whipple's official-capacity claims fail because (1) Mr. Whipple has not stated a claim for a violation of his Fourth or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and (2) the "Tier System" policy does not violate procedural due process because there is no constitutional right to possess a gaming system or participate in vocational programming.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Ms. Johnston argues that the individual-capacity claims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fail for the same reasons, and because (1) Mr. Whipple has not alleged personal involvement by Ms. Johnston, and (2) Ms. Johnston is entitled to qualified immunity.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40" w:after="0" w:line="260" w:lineRule="atLeast"/>
        <w:ind w:left="0" w:right="0" w:firstLine="0"/>
        <w:jc w:val="both"/>
      </w:pPr>
      <w:bookmarkStart w:id="19" w:name="Bookmark_para_8"/>
      <w:bookmarkEnd w:id="19"/>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requires dismissal when a complaint fails "to state a claim to relief that is plausible on its face." </w:t>
      </w:r>
      <w:hyperlink r:id="rId16" w:history="1">
        <w:r>
          <w:rPr>
            <w:rFonts w:ascii="arial" w:eastAsia="arial" w:hAnsi="arial" w:cs="arial"/>
            <w:b w:val="0"/>
            <w:i/>
            <w:strike w:val="0"/>
            <w:noProof w:val="0"/>
            <w:color w:val="0077CC"/>
            <w:position w:val="0"/>
            <w:sz w:val="20"/>
            <w:u w:val="single"/>
            <w:vertAlign w:val="baseline"/>
          </w:rPr>
          <w:t>Bell Atl. Corp. v. Twombly</w:t>
        </w:r>
      </w:hyperlink>
      <w:hyperlink r:id="rId16"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The plaintiff need not plead "detailed factual allegations," but mere "labels and conclusions" or "a formulaic recitation of the elements of a cause of action will not do."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555</w:t>
        </w:r>
      </w:hyperlink>
      <w:r>
        <w:rPr>
          <w:rFonts w:ascii="arial" w:eastAsia="arial" w:hAnsi="arial" w:cs="arial"/>
          <w:b w:val="0"/>
          <w:i w:val="0"/>
          <w:strike w:val="0"/>
          <w:noProof w:val="0"/>
          <w:color w:val="000000"/>
          <w:position w:val="0"/>
          <w:sz w:val="20"/>
          <w:u w:val="none"/>
          <w:vertAlign w:val="baseline"/>
        </w:rPr>
        <w:t xml:space="preserve">. For a claim to be facially plausible, the plaintiff must allege "factual content that allows the court to draw the reasonable inference that the defendant is liable for the misconduct alleged." </w:t>
      </w:r>
      <w:hyperlink r:id="rId17" w:history="1">
        <w:r>
          <w:rPr>
            <w:rFonts w:ascii="arial" w:eastAsia="arial" w:hAnsi="arial" w:cs="arial"/>
            <w:b w:val="0"/>
            <w:i/>
            <w:strike w:val="0"/>
            <w:noProof w:val="0"/>
            <w:color w:val="0077CC"/>
            <w:position w:val="0"/>
            <w:sz w:val="20"/>
            <w:u w:val="single"/>
            <w:vertAlign w:val="baseline"/>
          </w:rPr>
          <w:t>Ashcroft v. Iqbal</w:t>
        </w:r>
      </w:hyperlink>
      <w:hyperlink r:id="rId17"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In applying this standard, the Court accepts the factual allegations as true and views them most favorably to Plaintiff. </w:t>
      </w:r>
      <w:hyperlink r:id="rId18" w:history="1">
        <w:r>
          <w:rPr>
            <w:rFonts w:ascii="arial" w:eastAsia="arial" w:hAnsi="arial" w:cs="arial"/>
            <w:b w:val="0"/>
            <w:i/>
            <w:strike w:val="0"/>
            <w:noProof w:val="0"/>
            <w:color w:val="0077CC"/>
            <w:position w:val="0"/>
            <w:sz w:val="20"/>
            <w:u w:val="single"/>
            <w:vertAlign w:val="baseline"/>
          </w:rPr>
          <w:t>Hager v. Ark. Dep't of Health</w:t>
        </w:r>
      </w:hyperlink>
      <w:hyperlink r:id="rId18" w:history="1">
        <w:r>
          <w:rPr>
            <w:rFonts w:ascii="arial" w:eastAsia="arial" w:hAnsi="arial" w:cs="arial"/>
            <w:b w:val="0"/>
            <w:i/>
            <w:strike w:val="0"/>
            <w:noProof w:val="0"/>
            <w:color w:val="0077CC"/>
            <w:position w:val="0"/>
            <w:sz w:val="20"/>
            <w:u w:val="single"/>
            <w:vertAlign w:val="baseline"/>
          </w:rPr>
          <w:t>, 735 F.3d 1009, 1013 (8th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Courts must construe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complaints liberally, but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 must still allege sufficient facts to support the claims advanced. </w:t>
      </w:r>
      <w:r>
        <w:rPr>
          <w:rFonts w:ascii="arial" w:eastAsia="arial" w:hAnsi="arial" w:cs="arial"/>
          <w:b w:val="0"/>
          <w:i/>
          <w:strike w:val="0"/>
          <w:noProof w:val="0"/>
          <w:color w:val="000000"/>
          <w:position w:val="0"/>
          <w:sz w:val="20"/>
          <w:u w:val="none"/>
          <w:vertAlign w:val="baseline"/>
        </w:rPr>
        <w:t xml:space="preserve">See </w:t>
      </w:r>
      <w:hyperlink r:id="rId19" w:history="1">
        <w:r>
          <w:rPr>
            <w:rFonts w:ascii="arial" w:eastAsia="arial" w:hAnsi="arial" w:cs="arial"/>
            <w:b w:val="0"/>
            <w:i/>
            <w:strike w:val="0"/>
            <w:noProof w:val="0"/>
            <w:color w:val="0077CC"/>
            <w:position w:val="0"/>
            <w:sz w:val="20"/>
            <w:u w:val="single"/>
            <w:vertAlign w:val="baseline"/>
          </w:rPr>
          <w:t>Stone v. Harry</w:t>
        </w:r>
      </w:hyperlink>
      <w:hyperlink r:id="rId19" w:history="1">
        <w:r>
          <w:rPr>
            <w:rFonts w:ascii="arial" w:eastAsia="arial" w:hAnsi="arial" w:cs="arial"/>
            <w:b w:val="0"/>
            <w:i/>
            <w:strike w:val="0"/>
            <w:noProof w:val="0"/>
            <w:color w:val="0077CC"/>
            <w:position w:val="0"/>
            <w:sz w:val="20"/>
            <w:u w:val="single"/>
            <w:vertAlign w:val="baseline"/>
          </w:rPr>
          <w:t>, 364 F.3d 912, 914 (8th Cir. 2004)</w:t>
        </w:r>
      </w:hyperlink>
      <w:r>
        <w:rPr>
          <w:rFonts w:ascii="arial" w:eastAsia="arial" w:hAnsi="arial" w:cs="arial"/>
          <w:b w:val="0"/>
          <w:i w:val="0"/>
          <w:strike w:val="0"/>
          <w:noProof w:val="0"/>
          <w:color w:val="000000"/>
          <w:position w:val="0"/>
          <w:sz w:val="20"/>
          <w:u w:val="none"/>
          <w:vertAlign w:val="baseline"/>
        </w:rPr>
        <w:t xml:space="preserve"> (citing </w:t>
      </w:r>
      <w:hyperlink r:id="rId20" w:history="1">
        <w:r>
          <w:rPr>
            <w:rFonts w:ascii="arial" w:eastAsia="arial" w:hAnsi="arial" w:cs="arial"/>
            <w:b w:val="0"/>
            <w:i/>
            <w:strike w:val="0"/>
            <w:noProof w:val="0"/>
            <w:color w:val="0077CC"/>
            <w:position w:val="0"/>
            <w:sz w:val="20"/>
            <w:u w:val="single"/>
            <w:vertAlign w:val="baseline"/>
          </w:rPr>
          <w:t>Estelle v. Gamble</w:t>
        </w:r>
      </w:hyperlink>
      <w:hyperlink r:id="rId20" w:history="1">
        <w:r>
          <w:rPr>
            <w:rFonts w:ascii="arial" w:eastAsia="arial" w:hAnsi="arial" w:cs="arial"/>
            <w:b w:val="0"/>
            <w:i/>
            <w:strike w:val="0"/>
            <w:noProof w:val="0"/>
            <w:color w:val="0077CC"/>
            <w:position w:val="0"/>
            <w:sz w:val="20"/>
            <w:u w:val="single"/>
            <w:vertAlign w:val="baseline"/>
          </w:rPr>
          <w:t>, 429 U.S. 97, 106, 97 S. Ct. 285, 50 L. Ed. 2d 251 (1976)</w:t>
        </w:r>
      </w:hyperlink>
      <w:r>
        <w:rPr>
          <w:rFonts w:ascii="arial" w:eastAsia="arial" w:hAnsi="arial" w:cs="arial"/>
          <w:b w:val="0"/>
          <w:i w:val="0"/>
          <w:strike w:val="0"/>
          <w:noProof w:val="0"/>
          <w:color w:val="000000"/>
          <w:position w:val="0"/>
          <w:sz w:val="20"/>
          <w:u w:val="none"/>
          <w:vertAlign w:val="baseline"/>
        </w:rPr>
        <w:t xml:space="preserve">). "[I]n fulfilling its duty to liberally construe a civil-rights pleading," a court need not "divine the litigant's intent and create claims that are not clearly raised," nor "read or construct an argument into a civil-rights pleading." </w:t>
      </w:r>
      <w:hyperlink r:id="rId21" w:history="1">
        <w:r>
          <w:rPr>
            <w:rFonts w:ascii="arial" w:eastAsia="arial" w:hAnsi="arial" w:cs="arial"/>
            <w:b w:val="0"/>
            <w:i/>
            <w:strike w:val="0"/>
            <w:noProof w:val="0"/>
            <w:color w:val="0077CC"/>
            <w:position w:val="0"/>
            <w:sz w:val="20"/>
            <w:u w:val="single"/>
            <w:vertAlign w:val="baseline"/>
          </w:rPr>
          <w:t>Bediako v. Stein Mart, Inc.</w:t>
        </w:r>
      </w:hyperlink>
      <w:hyperlink r:id="rId21" w:history="1">
        <w:r>
          <w:rPr>
            <w:rFonts w:ascii="arial" w:eastAsia="arial" w:hAnsi="arial" w:cs="arial"/>
            <w:b w:val="0"/>
            <w:i/>
            <w:strike w:val="0"/>
            <w:noProof w:val="0"/>
            <w:color w:val="0077CC"/>
            <w:position w:val="0"/>
            <w:sz w:val="20"/>
            <w:u w:val="single"/>
            <w:vertAlign w:val="baseline"/>
          </w:rPr>
          <w:t>, 354 F.3d 835, 840 (8th Cir. 2004)</w:t>
        </w:r>
      </w:hyperlink>
      <w:r>
        <w:rPr>
          <w:rFonts w:ascii="arial" w:eastAsia="arial" w:hAnsi="arial" w:cs="arial"/>
          <w:b w:val="0"/>
          <w:i w:val="0"/>
          <w:strike w:val="0"/>
          <w:noProof w:val="0"/>
          <w:color w:val="000000"/>
          <w:position w:val="0"/>
          <w:sz w:val="20"/>
          <w:u w:val="none"/>
          <w:vertAlign w:val="baseline"/>
        </w:rPr>
        <w:t>. Courts are also not required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"assume facts that are not alleged, just because an additional factual allegation would have formed a stronger complaint." </w:t>
      </w:r>
      <w:hyperlink r:id="rId19" w:history="1">
        <w:r>
          <w:rPr>
            <w:rFonts w:ascii="arial" w:eastAsia="arial" w:hAnsi="arial" w:cs="arial"/>
            <w:b w:val="0"/>
            <w:i/>
            <w:strike w:val="0"/>
            <w:noProof w:val="0"/>
            <w:color w:val="0077CC"/>
            <w:position w:val="0"/>
            <w:sz w:val="20"/>
            <w:u w:val="single"/>
            <w:vertAlign w:val="baseline"/>
          </w:rPr>
          <w:t>Stone</w:t>
        </w:r>
      </w:hyperlink>
      <w:hyperlink r:id="rId19" w:history="1">
        <w:r>
          <w:rPr>
            <w:rFonts w:ascii="arial" w:eastAsia="arial" w:hAnsi="arial" w:cs="arial"/>
            <w:b w:val="0"/>
            <w:i/>
            <w:strike w:val="0"/>
            <w:noProof w:val="0"/>
            <w:color w:val="0077CC"/>
            <w:position w:val="0"/>
            <w:sz w:val="20"/>
            <w:u w:val="single"/>
            <w:vertAlign w:val="baseline"/>
          </w:rPr>
          <w:t>, 364 F.3d at 915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3"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 xml:space="preserve"> Claim</w:t>
      </w:r>
    </w:p>
    <w:p>
      <w:pPr>
        <w:keepNext w:val="0"/>
        <w:spacing w:before="240" w:after="0" w:line="260" w:lineRule="atLeast"/>
        <w:ind w:left="0" w:right="0" w:firstLine="0"/>
        <w:jc w:val="both"/>
      </w:pPr>
      <w:bookmarkStart w:id="21" w:name="Bookmark_para_10"/>
      <w:bookmarkEnd w:id="21"/>
      <w:bookmarkStart w:id="22" w:name="Bookmark_I69K84S32N1RKG0040000400"/>
      <w:bookmarkEnd w:id="22"/>
      <w:r>
        <w:rPr>
          <w:rFonts w:ascii="arial" w:eastAsia="arial" w:hAnsi="arial" w:cs="arial"/>
          <w:b w:val="0"/>
          <w:i w:val="0"/>
          <w:strike w:val="0"/>
          <w:noProof w:val="0"/>
          <w:color w:val="000000"/>
          <w:position w:val="0"/>
          <w:sz w:val="20"/>
          <w:u w:val="none"/>
          <w:vertAlign w:val="baseline"/>
        </w:rPr>
        <w:t xml:space="preserve">To determine whether a seizure of property was constitutional, the Court "must balance the nature and quality of the intrusion on the individual's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interests against the importance of the governmental interests alleged to justify the intrusion." </w:t>
      </w:r>
      <w:hyperlink r:id="rId22" w:history="1">
        <w:r>
          <w:rPr>
            <w:rFonts w:ascii="arial" w:eastAsia="arial" w:hAnsi="arial" w:cs="arial"/>
            <w:b w:val="0"/>
            <w:i/>
            <w:strike w:val="0"/>
            <w:noProof w:val="0"/>
            <w:color w:val="0077CC"/>
            <w:position w:val="0"/>
            <w:sz w:val="20"/>
            <w:u w:val="single"/>
            <w:vertAlign w:val="baseline"/>
          </w:rPr>
          <w:t>Baribeau v. City of Minneapolis</w:t>
        </w:r>
      </w:hyperlink>
      <w:hyperlink r:id="rId22" w:history="1">
        <w:r>
          <w:rPr>
            <w:rFonts w:ascii="arial" w:eastAsia="arial" w:hAnsi="arial" w:cs="arial"/>
            <w:b w:val="0"/>
            <w:i/>
            <w:strike w:val="0"/>
            <w:noProof w:val="0"/>
            <w:color w:val="0077CC"/>
            <w:position w:val="0"/>
            <w:sz w:val="20"/>
            <w:u w:val="single"/>
            <w:vertAlign w:val="baseline"/>
          </w:rPr>
          <w:t>, 596 F.3d 465, 483 (8th Cir. 2010)</w:t>
        </w:r>
      </w:hyperlink>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vertAlign w:val="baseline"/>
          </w:rPr>
          <w:t>Tennessee v. Garner</w:t>
        </w:r>
      </w:hyperlink>
      <w:hyperlink r:id="rId23" w:history="1">
        <w:r>
          <w:rPr>
            <w:rFonts w:ascii="arial" w:eastAsia="arial" w:hAnsi="arial" w:cs="arial"/>
            <w:b w:val="0"/>
            <w:i/>
            <w:strike w:val="0"/>
            <w:noProof w:val="0"/>
            <w:color w:val="0077CC"/>
            <w:position w:val="0"/>
            <w:sz w:val="20"/>
            <w:u w:val="single"/>
            <w:vertAlign w:val="baseline"/>
          </w:rPr>
          <w:t>, 471 U.S. 1, 8, 105 S. Ct. 1694, 85 L. Ed. 2d 1 (1985)</w:t>
        </w:r>
      </w:hyperlink>
      <w:r>
        <w:rPr>
          <w:rFonts w:ascii="arial" w:eastAsia="arial" w:hAnsi="arial" w:cs="arial"/>
          <w:b w:val="0"/>
          <w:i w:val="0"/>
          <w:strike w:val="0"/>
          <w:noProof w:val="0"/>
          <w:color w:val="000000"/>
          <w:position w:val="0"/>
          <w:sz w:val="20"/>
          <w:u w:val="none"/>
          <w:vertAlign w:val="baseline"/>
        </w:rPr>
        <w:t>). "As an involuntarily civilly committed person," Mr. Whipple has a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to be free from unreasonable searches and seizures, a right which is analogous to the rights afforded to pretrial detainees." </w:t>
      </w:r>
      <w:bookmarkStart w:id="23" w:name="Bookmark_I69K84S32N1RKG0030000400"/>
      <w:bookmarkEnd w:id="23"/>
      <w:hyperlink r:id="rId15" w:history="1">
        <w:r>
          <w:rPr>
            <w:rFonts w:ascii="arial" w:eastAsia="arial" w:hAnsi="arial" w:cs="arial"/>
            <w:b w:val="0"/>
            <w:i/>
            <w:strike w:val="0"/>
            <w:noProof w:val="0"/>
            <w:color w:val="0077CC"/>
            <w:position w:val="0"/>
            <w:sz w:val="20"/>
            <w:u w:val="single"/>
            <w:vertAlign w:val="baseline"/>
          </w:rPr>
          <w:t>Dean II</w:t>
        </w:r>
      </w:hyperlink>
      <w:hyperlink r:id="rId15" w:history="1">
        <w:r>
          <w:rPr>
            <w:rFonts w:ascii="arial" w:eastAsia="arial" w:hAnsi="arial" w:cs="arial"/>
            <w:b w:val="0"/>
            <w:i/>
            <w:strike w:val="0"/>
            <w:noProof w:val="0"/>
            <w:color w:val="0077CC"/>
            <w:position w:val="0"/>
            <w:sz w:val="20"/>
            <w:u w:val="single"/>
            <w:vertAlign w:val="baseline"/>
          </w:rPr>
          <w:t>, 2021 U.S. Dist. LEXIS 155810, 2021 WL 3667265, at *3 (D. Minn. Aug. 18, 2021)</w:t>
        </w:r>
      </w:hyperlink>
      <w:r>
        <w:rPr>
          <w:rFonts w:ascii="arial" w:eastAsia="arial" w:hAnsi="arial" w:cs="arial"/>
          <w:b w:val="0"/>
          <w:i w:val="0"/>
          <w:strike w:val="0"/>
          <w:noProof w:val="0"/>
          <w:color w:val="000000"/>
          <w:position w:val="0"/>
          <w:sz w:val="20"/>
          <w:u w:val="none"/>
          <w:vertAlign w:val="baseline"/>
        </w:rPr>
        <w:t xml:space="preserve"> (citing </w:t>
      </w:r>
      <w:bookmarkStart w:id="24" w:name="Bookmark_I696VB072N1R500010000400"/>
      <w:bookmarkEnd w:id="24"/>
      <w:hyperlink r:id="rId24" w:history="1">
        <w:r>
          <w:rPr>
            <w:rFonts w:ascii="arial" w:eastAsia="arial" w:hAnsi="arial" w:cs="arial"/>
            <w:b w:val="0"/>
            <w:i/>
            <w:strike w:val="0"/>
            <w:noProof w:val="0"/>
            <w:color w:val="0077CC"/>
            <w:position w:val="0"/>
            <w:sz w:val="20"/>
            <w:u w:val="single"/>
            <w:vertAlign w:val="baseline"/>
          </w:rPr>
          <w:t>Beaulieu v. Ludeman</w:t>
        </w:r>
      </w:hyperlink>
      <w:hyperlink r:id="rId24" w:history="1">
        <w:r>
          <w:rPr>
            <w:rFonts w:ascii="arial" w:eastAsia="arial" w:hAnsi="arial" w:cs="arial"/>
            <w:b w:val="0"/>
            <w:i/>
            <w:strike w:val="0"/>
            <w:noProof w:val="0"/>
            <w:color w:val="0077CC"/>
            <w:position w:val="0"/>
            <w:sz w:val="20"/>
            <w:u w:val="single"/>
            <w:vertAlign w:val="baseline"/>
          </w:rPr>
          <w:t>, 690 F.3d 1017, 1028 (8th Cir. 2012)</w:t>
        </w:r>
      </w:hyperlink>
      <w:r>
        <w:rPr>
          <w:rFonts w:ascii="arial" w:eastAsia="arial" w:hAnsi="arial" w:cs="arial"/>
          <w:b w:val="0"/>
          <w:i w:val="0"/>
          <w:strike w:val="0"/>
          <w:noProof w:val="0"/>
          <w:color w:val="000000"/>
          <w:position w:val="0"/>
          <w:sz w:val="20"/>
          <w:u w:val="none"/>
          <w:vertAlign w:val="baseline"/>
        </w:rPr>
        <w:t xml:space="preserve">). "A gaming system . . . is a personal effect protected by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A seizure violates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"when 'there is some meaningful interference with an individual's possessory interests in that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4" w:history="1">
        <w:r>
          <w:rPr>
            <w:rFonts w:ascii="arial" w:eastAsia="arial" w:hAnsi="arial" w:cs="arial"/>
            <w:b w:val="0"/>
            <w:i/>
            <w:strike w:val="0"/>
            <w:noProof w:val="0"/>
            <w:color w:val="0077CC"/>
            <w:position w:val="0"/>
            <w:sz w:val="20"/>
            <w:u w:val="single"/>
            <w:vertAlign w:val="baseline"/>
          </w:rPr>
          <w:t>Beaulieu</w:t>
        </w:r>
      </w:hyperlink>
      <w:hyperlink r:id="rId24" w:history="1">
        <w:r>
          <w:rPr>
            <w:rFonts w:ascii="arial" w:eastAsia="arial" w:hAnsi="arial" w:cs="arial"/>
            <w:b w:val="0"/>
            <w:i/>
            <w:strike w:val="0"/>
            <w:noProof w:val="0"/>
            <w:color w:val="0077CC"/>
            <w:position w:val="0"/>
            <w:sz w:val="20"/>
            <w:u w:val="single"/>
            <w:vertAlign w:val="baseline"/>
          </w:rPr>
          <w:t>, 690 F.3d at 1034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11"/>
      <w:bookmarkEnd w:id="25"/>
      <w:bookmarkStart w:id="26" w:name="Bookmark_I69K84S328T47H0010000400"/>
      <w:bookmarkEnd w:id="26"/>
      <w:bookmarkStart w:id="27" w:name="Bookmark_I69K84S328T47H0030000400"/>
      <w:bookmarkEnd w:id="27"/>
      <w:r>
        <w:rPr>
          <w:rFonts w:ascii="arial" w:eastAsia="arial" w:hAnsi="arial" w:cs="arial"/>
          <w:b w:val="0"/>
          <w:i w:val="0"/>
          <w:strike w:val="0"/>
          <w:noProof w:val="0"/>
          <w:color w:val="000000"/>
          <w:position w:val="0"/>
          <w:sz w:val="20"/>
          <w:u w:val="none"/>
          <w:vertAlign w:val="baseline"/>
        </w:rPr>
        <w:t xml:space="preserve">As for the governmental interests, "MSOP administrators have a strong interest in facilitating compliance with institutional norms, maintaining the safety of staff and other detainees, and incentivizing positive social behaviors." </w:t>
      </w:r>
      <w:bookmarkStart w:id="28" w:name="Bookmark_I69K84S32N1RKG0050000400"/>
      <w:bookmarkEnd w:id="28"/>
      <w:hyperlink r:id="rId15" w:history="1">
        <w:r>
          <w:rPr>
            <w:rFonts w:ascii="arial" w:eastAsia="arial" w:hAnsi="arial" w:cs="arial"/>
            <w:b w:val="0"/>
            <w:i/>
            <w:strike w:val="0"/>
            <w:noProof w:val="0"/>
            <w:color w:val="0077CC"/>
            <w:position w:val="0"/>
            <w:sz w:val="20"/>
            <w:u w:val="single"/>
            <w:vertAlign w:val="baseline"/>
          </w:rPr>
          <w:t>Dean II</w:t>
        </w:r>
      </w:hyperlink>
      <w:hyperlink r:id="rId15" w:history="1">
        <w:r>
          <w:rPr>
            <w:rFonts w:ascii="arial" w:eastAsia="arial" w:hAnsi="arial" w:cs="arial"/>
            <w:b w:val="0"/>
            <w:i/>
            <w:strike w:val="0"/>
            <w:noProof w:val="0"/>
            <w:color w:val="0077CC"/>
            <w:position w:val="0"/>
            <w:sz w:val="20"/>
            <w:u w:val="single"/>
            <w:vertAlign w:val="baseline"/>
          </w:rPr>
          <w:t>, 2021 U.S. Dist. LEXIS 155810, 2021 WL 3667265, at *3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9" w:name="Bookmark_I696VB0728T3WC0020000400"/>
      <w:bookmarkEnd w:id="29"/>
      <w:hyperlink r:id="rId25" w:history="1">
        <w:r>
          <w:rPr>
            <w:rFonts w:ascii="arial" w:eastAsia="arial" w:hAnsi="arial" w:cs="arial"/>
            <w:b w:val="0"/>
            <w:i/>
            <w:strike w:val="0"/>
            <w:noProof w:val="0"/>
            <w:color w:val="0077CC"/>
            <w:position w:val="0"/>
            <w:sz w:val="20"/>
            <w:u w:val="single"/>
            <w:vertAlign w:val="baseline"/>
          </w:rPr>
          <w:t>Dean v. Johnston</w:t>
        </w:r>
      </w:hyperlink>
      <w:hyperlink r:id="rId25" w:history="1">
        <w:r>
          <w:rPr>
            <w:rFonts w:ascii="arial" w:eastAsia="arial" w:hAnsi="arial" w:cs="arial"/>
            <w:b w:val="0"/>
            <w:i/>
            <w:strike w:val="0"/>
            <w:noProof w:val="0"/>
            <w:color w:val="0077CC"/>
            <w:position w:val="0"/>
            <w:sz w:val="20"/>
            <w:u w:val="single"/>
            <w:vertAlign w:val="baseline"/>
          </w:rPr>
          <w:t>, No. 19-3186 (JRT/LIB), 2020 U.S. Dist. LEXIS 218545, 2020 WL 6867409, at *2 (D. Minn. Nov. 23, 2020)</w:t>
        </w:r>
      </w:hyperlink>
      <w:r>
        <w:rPr>
          <w:rFonts w:ascii="arial" w:eastAsia="arial" w:hAnsi="arial" w:cs="arial"/>
          <w:b w:val="0"/>
          <w:i w:val="0"/>
          <w:strike w:val="0"/>
          <w:noProof w:val="0"/>
          <w:color w:val="000000"/>
          <w:position w:val="0"/>
          <w:sz w:val="20"/>
          <w:u w:val="none"/>
          <w:vertAlign w:val="baseline"/>
        </w:rPr>
        <w:t xml:space="preserve"> (hereinafter "</w:t>
      </w:r>
      <w:r>
        <w:rPr>
          <w:rFonts w:ascii="arial" w:eastAsia="arial" w:hAnsi="arial" w:cs="arial"/>
          <w:b w:val="0"/>
          <w:i/>
          <w:strike w:val="0"/>
          <w:noProof w:val="0"/>
          <w:color w:val="000000"/>
          <w:position w:val="0"/>
          <w:sz w:val="20"/>
          <w:u w:val="none"/>
          <w:vertAlign w:val="baseline"/>
        </w:rPr>
        <w:t>Dean I</w:t>
      </w:r>
      <w:r>
        <w:rPr>
          <w:rFonts w:ascii="arial" w:eastAsia="arial" w:hAnsi="arial" w:cs="arial"/>
          <w:b w:val="0"/>
          <w:i w:val="0"/>
          <w:strike w:val="0"/>
          <w:noProof w:val="0"/>
          <w:color w:val="000000"/>
          <w:position w:val="0"/>
          <w:sz w:val="20"/>
          <w:u w:val="none"/>
          <w:vertAlign w:val="baseline"/>
        </w:rPr>
        <w:t xml:space="preserve">") (citing </w:t>
      </w:r>
      <w:bookmarkStart w:id="30" w:name="Bookmark_I696VB0728T3WC0040000400"/>
      <w:bookmarkEnd w:id="30"/>
      <w:hyperlink r:id="rId26" w:history="1">
        <w:r>
          <w:rPr>
            <w:rFonts w:ascii="arial" w:eastAsia="arial" w:hAnsi="arial" w:cs="arial"/>
            <w:b w:val="0"/>
            <w:i/>
            <w:strike w:val="0"/>
            <w:noProof w:val="0"/>
            <w:color w:val="0077CC"/>
            <w:position w:val="0"/>
            <w:sz w:val="20"/>
            <w:u w:val="single"/>
            <w:vertAlign w:val="baseline"/>
          </w:rPr>
          <w:t>Serna v. Goodno</w:t>
        </w:r>
      </w:hyperlink>
      <w:hyperlink r:id="rId26" w:history="1">
        <w:r>
          <w:rPr>
            <w:rFonts w:ascii="arial" w:eastAsia="arial" w:hAnsi="arial" w:cs="arial"/>
            <w:b w:val="0"/>
            <w:i/>
            <w:strike w:val="0"/>
            <w:noProof w:val="0"/>
            <w:color w:val="0077CC"/>
            <w:position w:val="0"/>
            <w:sz w:val="20"/>
            <w:u w:val="single"/>
            <w:vertAlign w:val="baseline"/>
          </w:rPr>
          <w:t>, 567 F.3d 944, 953 (8th Cir. 2009)</w:t>
        </w:r>
      </w:hyperlink>
      <w:r>
        <w:rPr>
          <w:rFonts w:ascii="arial" w:eastAsia="arial" w:hAnsi="arial" w:cs="arial"/>
          <w:b w:val="0"/>
          <w:i w:val="0"/>
          <w:strike w:val="0"/>
          <w:noProof w:val="0"/>
          <w:color w:val="000000"/>
          <w:position w:val="0"/>
          <w:sz w:val="20"/>
          <w:u w:val="none"/>
          <w:vertAlign w:val="baseline"/>
        </w:rPr>
        <w:t xml:space="preserve">; </w:t>
      </w:r>
      <w:bookmarkStart w:id="31" w:name="Bookmark_I696VB082D6NBT0010000400"/>
      <w:bookmarkEnd w:id="31"/>
      <w:hyperlink r:id="rId27" w:history="1">
        <w:r>
          <w:rPr>
            <w:rFonts w:ascii="arial" w:eastAsia="arial" w:hAnsi="arial" w:cs="arial"/>
            <w:b w:val="0"/>
            <w:i/>
            <w:strike w:val="0"/>
            <w:noProof w:val="0"/>
            <w:color w:val="0077CC"/>
            <w:position w:val="0"/>
            <w:sz w:val="20"/>
            <w:u w:val="single"/>
            <w:vertAlign w:val="baseline"/>
          </w:rPr>
          <w:t>Senty-Haugen v. Goodno</w:t>
        </w:r>
      </w:hyperlink>
      <w:hyperlink r:id="rId27" w:history="1">
        <w:r>
          <w:rPr>
            <w:rFonts w:ascii="arial" w:eastAsia="arial" w:hAnsi="arial" w:cs="arial"/>
            <w:b w:val="0"/>
            <w:i/>
            <w:strike w:val="0"/>
            <w:noProof w:val="0"/>
            <w:color w:val="0077CC"/>
            <w:position w:val="0"/>
            <w:sz w:val="20"/>
            <w:u w:val="single"/>
            <w:vertAlign w:val="baseline"/>
          </w:rPr>
          <w:t>, 462 F.3d 876, 888 (8th Cir. 2006)</w:t>
        </w:r>
      </w:hyperlink>
      <w:r>
        <w:rPr>
          <w:rFonts w:ascii="arial" w:eastAsia="arial" w:hAnsi="arial" w:cs="arial"/>
          <w:b w:val="0"/>
          <w:i w:val="0"/>
          <w:strike w:val="0"/>
          <w:noProof w:val="0"/>
          <w:color w:val="000000"/>
          <w:position w:val="0"/>
          <w:sz w:val="20"/>
          <w:u w:val="none"/>
          <w:vertAlign w:val="baseline"/>
        </w:rPr>
        <w:t xml:space="preserve">). In addition, the </w:t>
      </w:r>
      <w:r>
        <w:rPr>
          <w:rFonts w:ascii="arial" w:eastAsia="arial" w:hAnsi="arial" w:cs="arial"/>
          <w:b w:val="0"/>
          <w:i/>
          <w:strike w:val="0"/>
          <w:noProof w:val="0"/>
          <w:color w:val="000000"/>
          <w:position w:val="0"/>
          <w:sz w:val="20"/>
          <w:u w:val="none"/>
          <w:vertAlign w:val="baseline"/>
        </w:rPr>
        <w:t>Dean II</w:t>
      </w:r>
      <w:r>
        <w:rPr>
          <w:rFonts w:ascii="arial" w:eastAsia="arial" w:hAnsi="arial" w:cs="arial"/>
          <w:b w:val="0"/>
          <w:i w:val="0"/>
          <w:strike w:val="0"/>
          <w:noProof w:val="0"/>
          <w:color w:val="000000"/>
          <w:position w:val="0"/>
          <w:sz w:val="20"/>
          <w:u w:val="none"/>
          <w:vertAlign w:val="baseline"/>
        </w:rPr>
        <w:t xml:space="preserve"> court found, albeit in its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analysis,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forfeiture of game consoles advances MSOP's "interest in preventing Xboxes that have been sent off premises from being returned to the facility, where the consoles could easily become vessels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 contraband." </w:t>
      </w:r>
      <w:bookmarkStart w:id="32" w:name="Bookmark_I69K84S328T47H0020000400"/>
      <w:bookmarkEnd w:id="32"/>
      <w:hyperlink r:id="rId15" w:history="1">
        <w:r>
          <w:rPr>
            <w:rFonts w:ascii="arial" w:eastAsia="arial" w:hAnsi="arial" w:cs="arial"/>
            <w:b w:val="0"/>
            <w:i/>
            <w:strike w:val="0"/>
            <w:noProof w:val="0"/>
            <w:color w:val="0077CC"/>
            <w:position w:val="0"/>
            <w:sz w:val="20"/>
            <w:u w:val="single"/>
            <w:vertAlign w:val="baseline"/>
          </w:rPr>
          <w:t>Dean II</w:t>
        </w:r>
      </w:hyperlink>
      <w:hyperlink r:id="rId15" w:history="1">
        <w:r>
          <w:rPr>
            <w:rFonts w:ascii="arial" w:eastAsia="arial" w:hAnsi="arial" w:cs="arial"/>
            <w:b w:val="0"/>
            <w:i/>
            <w:strike w:val="0"/>
            <w:noProof w:val="0"/>
            <w:color w:val="0077CC"/>
            <w:position w:val="0"/>
            <w:sz w:val="20"/>
            <w:u w:val="single"/>
            <w:vertAlign w:val="baseline"/>
          </w:rPr>
          <w:t>, 2021 U.S. Dist. LEXIS 155810, 2021 WL 3667265, at *5</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33" w:name="Bookmark_para_12"/>
      <w:bookmarkEnd w:id="33"/>
      <w:bookmarkStart w:id="34" w:name="Bookmark_I69K84S328T47H0050000400"/>
      <w:bookmarkEnd w:id="34"/>
      <w:r>
        <w:rPr>
          <w:rFonts w:ascii="arial" w:eastAsia="arial" w:hAnsi="arial" w:cs="arial"/>
          <w:b w:val="0"/>
          <w:i w:val="0"/>
          <w:strike w:val="0"/>
          <w:noProof w:val="0"/>
          <w:color w:val="000000"/>
          <w:position w:val="0"/>
          <w:sz w:val="20"/>
          <w:u w:val="none"/>
          <w:vertAlign w:val="baseline"/>
        </w:rPr>
        <w:t xml:space="preserve">A detainee's conduct preceding a seizure is highly significant to the government's interests. </w:t>
      </w:r>
      <w:bookmarkStart w:id="35" w:name="Bookmark_I69K84S328T47H0040000400"/>
      <w:bookmarkEnd w:id="35"/>
      <w:hyperlink r:id="rId15" w:history="1">
        <w:r>
          <w:rPr>
            <w:rFonts w:ascii="arial" w:eastAsia="arial" w:hAnsi="arial" w:cs="arial"/>
            <w:b w:val="0"/>
            <w:i/>
            <w:strike w:val="0"/>
            <w:noProof w:val="0"/>
            <w:color w:val="0077CC"/>
            <w:position w:val="0"/>
            <w:sz w:val="20"/>
            <w:u w:val="single"/>
            <w:vertAlign w:val="baseline"/>
          </w:rPr>
          <w:t>Dean II</w:t>
        </w:r>
      </w:hyperlink>
      <w:hyperlink r:id="rId15" w:history="1">
        <w:r>
          <w:rPr>
            <w:rFonts w:ascii="arial" w:eastAsia="arial" w:hAnsi="arial" w:cs="arial"/>
            <w:b w:val="0"/>
            <w:i/>
            <w:strike w:val="0"/>
            <w:noProof w:val="0"/>
            <w:color w:val="0077CC"/>
            <w:position w:val="0"/>
            <w:sz w:val="20"/>
            <w:u w:val="single"/>
            <w:vertAlign w:val="baseline"/>
          </w:rPr>
          <w:t>, 2021 U.S. Dist. LEXIS 155810, 2021 WL 3667265, at *3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6" w:name="Bookmark_I69K84S32HM6GP0010000400"/>
      <w:bookmarkEnd w:id="36"/>
      <w:hyperlink r:id="rId25" w:history="1">
        <w:r>
          <w:rPr>
            <w:rFonts w:ascii="arial" w:eastAsia="arial" w:hAnsi="arial" w:cs="arial"/>
            <w:b w:val="0"/>
            <w:i/>
            <w:strike w:val="0"/>
            <w:noProof w:val="0"/>
            <w:color w:val="0077CC"/>
            <w:position w:val="0"/>
            <w:sz w:val="20"/>
            <w:u w:val="single"/>
            <w:vertAlign w:val="baseline"/>
          </w:rPr>
          <w:t>Dean I</w:t>
        </w:r>
      </w:hyperlink>
      <w:hyperlink r:id="rId25" w:history="1">
        <w:r>
          <w:rPr>
            <w:rFonts w:ascii="arial" w:eastAsia="arial" w:hAnsi="arial" w:cs="arial"/>
            <w:b w:val="0"/>
            <w:i/>
            <w:strike w:val="0"/>
            <w:noProof w:val="0"/>
            <w:color w:val="0077CC"/>
            <w:position w:val="0"/>
            <w:sz w:val="20"/>
            <w:u w:val="single"/>
            <w:vertAlign w:val="baseline"/>
          </w:rPr>
          <w:t>, 2020 U.S. Dist. LEXIS 218545, 2020 WL 6867409, at *2</w:t>
        </w:r>
      </w:hyperlink>
      <w:r>
        <w:rPr>
          <w:rFonts w:ascii="arial" w:eastAsia="arial" w:hAnsi="arial" w:cs="arial"/>
          <w:b w:val="0"/>
          <w:i w:val="0"/>
          <w:strike w:val="0"/>
          <w:noProof w:val="0"/>
          <w:color w:val="000000"/>
          <w:position w:val="0"/>
          <w:sz w:val="20"/>
          <w:u w:val="none"/>
          <w:vertAlign w:val="baseline"/>
        </w:rPr>
        <w:t xml:space="preserve"> ("Plaintiff does not dispute that his demotion from Tier 3 to Tier 2 was a result of his own behavioral infractions . . . ."). </w:t>
      </w:r>
      <w:bookmarkStart w:id="37" w:name="Bookmark_I69K84S32HM6GP0040000400"/>
      <w:bookmarkEnd w:id="37"/>
      <w:r>
        <w:rPr>
          <w:rFonts w:ascii="arial" w:eastAsia="arial" w:hAnsi="arial" w:cs="arial"/>
          <w:b w:val="0"/>
          <w:i w:val="0"/>
          <w:strike w:val="0"/>
          <w:noProof w:val="0"/>
          <w:color w:val="000000"/>
          <w:position w:val="0"/>
          <w:sz w:val="20"/>
          <w:u w:val="none"/>
          <w:vertAlign w:val="baseline"/>
        </w:rPr>
        <w:t xml:space="preserve">Mr. Whipple's complaint does not describe his conduct that preceded the change in Tier level or otherwise explain why his Tier level was reduced. </w:t>
      </w:r>
      <w:bookmarkStart w:id="38" w:name="Bookmark_I69K84S32HM6GP0040000400_2"/>
      <w:bookmarkEnd w:id="38"/>
      <w:r>
        <w:rPr>
          <w:rFonts w:ascii="arial" w:eastAsia="arial" w:hAnsi="arial" w:cs="arial"/>
          <w:b w:val="0"/>
          <w:i w:val="0"/>
          <w:strike w:val="0"/>
          <w:noProof w:val="0"/>
          <w:color w:val="000000"/>
          <w:position w:val="0"/>
          <w:sz w:val="20"/>
          <w:u w:val="none"/>
          <w:vertAlign w:val="baseline"/>
        </w:rPr>
        <w:t xml:space="preserve">Importantly, Mr. Whipple does not allege that he did not commit an infraction or engage in other behavior warranting the change in Tier level. The </w:t>
      </w:r>
      <w:r>
        <w:rPr>
          <w:rFonts w:ascii="arial" w:eastAsia="arial" w:hAnsi="arial" w:cs="arial"/>
          <w:b w:val="0"/>
          <w:i/>
          <w:strike w:val="0"/>
          <w:noProof w:val="0"/>
          <w:color w:val="000000"/>
          <w:position w:val="0"/>
          <w:sz w:val="20"/>
          <w:u w:val="none"/>
          <w:vertAlign w:val="baseline"/>
        </w:rPr>
        <w:t>Dean II</w:t>
      </w:r>
      <w:r>
        <w:rPr>
          <w:rFonts w:ascii="arial" w:eastAsia="arial" w:hAnsi="arial" w:cs="arial"/>
          <w:b w:val="0"/>
          <w:i w:val="0"/>
          <w:strike w:val="0"/>
          <w:noProof w:val="0"/>
          <w:color w:val="000000"/>
          <w:position w:val="0"/>
          <w:sz w:val="20"/>
          <w:u w:val="none"/>
          <w:vertAlign w:val="baseline"/>
        </w:rPr>
        <w:t xml:space="preserve"> court was able to assess the government's interest by citing to factual allegations "establish[ing] that the reduction in Dean's Tier status was a direct result of his own multiple behavioral infractions, including lying, misrepresentation, assault, disorderly conduct, and threatening others." </w:t>
      </w:r>
      <w:bookmarkStart w:id="39" w:name="Bookmark_I69K84S32HM6GP0030000400"/>
      <w:bookmarkEnd w:id="39"/>
      <w:hyperlink r:id="rId15" w:history="1">
        <w:r>
          <w:rPr>
            <w:rFonts w:ascii="arial" w:eastAsia="arial" w:hAnsi="arial" w:cs="arial"/>
            <w:b w:val="0"/>
            <w:i/>
            <w:strike w:val="0"/>
            <w:noProof w:val="0"/>
            <w:color w:val="0077CC"/>
            <w:position w:val="0"/>
            <w:sz w:val="20"/>
            <w:u w:val="single"/>
            <w:vertAlign w:val="baseline"/>
          </w:rPr>
          <w:t>Dean II</w:t>
        </w:r>
      </w:hyperlink>
      <w:hyperlink r:id="rId15" w:history="1">
        <w:r>
          <w:rPr>
            <w:rFonts w:ascii="arial" w:eastAsia="arial" w:hAnsi="arial" w:cs="arial"/>
            <w:b w:val="0"/>
            <w:i/>
            <w:strike w:val="0"/>
            <w:noProof w:val="0"/>
            <w:color w:val="0077CC"/>
            <w:position w:val="0"/>
            <w:sz w:val="20"/>
            <w:u w:val="single"/>
            <w:vertAlign w:val="baseline"/>
          </w:rPr>
          <w:t>, 2021 U.S. Dist. LEXIS 155810, 2021 WL 3667265, at *3</w:t>
        </w:r>
      </w:hyperlink>
      <w:r>
        <w:rPr>
          <w:rFonts w:ascii="arial" w:eastAsia="arial" w:hAnsi="arial" w:cs="arial"/>
          <w:b w:val="0"/>
          <w:i w:val="0"/>
          <w:strike w:val="0"/>
          <w:noProof w:val="0"/>
          <w:color w:val="000000"/>
          <w:position w:val="0"/>
          <w:sz w:val="20"/>
          <w:u w:val="none"/>
          <w:vertAlign w:val="baseline"/>
        </w:rPr>
        <w:t>. The relevant allegations in Mr. Whipple's complaint, by contrast, are only that his Tier level was reduced from Tier 3 to</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Tier 2 for punitive reasons; he was deprived of a gaming system and accessories that cost thousands of dollars and took years to collect; he will not be able to get back his Xbox but will have to order a new gaming system; and the MSOP-approved vendor no longer sells Xbox 360s to MSOP clients.</w:t>
      </w:r>
    </w:p>
    <w:p>
      <w:pPr>
        <w:keepNext w:val="0"/>
        <w:spacing w:before="240" w:after="0" w:line="260" w:lineRule="atLeast"/>
        <w:ind w:left="0" w:right="0" w:firstLine="0"/>
        <w:jc w:val="both"/>
      </w:pPr>
      <w:bookmarkStart w:id="40" w:name="Bookmark_para_13"/>
      <w:bookmarkEnd w:id="40"/>
      <w:r>
        <w:rPr>
          <w:rFonts w:ascii="arial" w:eastAsia="arial" w:hAnsi="arial" w:cs="arial"/>
          <w:b w:val="0"/>
          <w:i w:val="0"/>
          <w:strike w:val="0"/>
          <w:noProof w:val="0"/>
          <w:color w:val="000000"/>
          <w:position w:val="0"/>
          <w:sz w:val="20"/>
          <w:u w:val="none"/>
          <w:vertAlign w:val="baseline"/>
        </w:rPr>
        <w:t xml:space="preserve">Drafting a complaint is a process under the exclusive control of a plaintiff. If Mr. Dean's forthright acknowledgment of his infractions leading up to his Tier reduction and the confiscation of his gaming system led to the dismissal of his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while Mr. Whipple, by simply standing silent on the facts that led up to the consequences he complains about, could keep his claim viable, the Court would incentivize less-than-forthright pleading. This the Court will not do. The Court concludes that because Mr. Whipple did not allege specific facts, sufficient to satisfy the standards of </w:t>
      </w:r>
      <w:hyperlink r:id="rId17" w:history="1">
        <w:r>
          <w:rPr>
            <w:rFonts w:ascii="arial" w:eastAsia="arial" w:hAnsi="arial" w:cs="arial"/>
            <w:b w:val="0"/>
            <w:i/>
            <w:strike w:val="0"/>
            <w:noProof w:val="0"/>
            <w:color w:val="0077CC"/>
            <w:position w:val="0"/>
            <w:sz w:val="20"/>
            <w:u w:val="single"/>
            <w:vertAlign w:val="baseline"/>
          </w:rPr>
          <w:t>Iqbal</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that his Tier reduction and the confiscation of his Xbox were not warranted by his behavioral infractions, his complaint fails to create a plausible inference that the seizure of his Xbox was unreasonable.</w:t>
      </w:r>
    </w:p>
    <w:p>
      <w:pPr>
        <w:keepNext w:val="0"/>
        <w:spacing w:before="240" w:after="0" w:line="260" w:lineRule="atLeast"/>
        <w:ind w:left="0" w:right="0" w:firstLine="0"/>
        <w:jc w:val="both"/>
      </w:pPr>
      <w:bookmarkStart w:id="41" w:name="Bookmark_para_14"/>
      <w:bookmarkEnd w:id="41"/>
      <w:r>
        <w:rPr>
          <w:rFonts w:ascii="arial" w:eastAsia="arial" w:hAnsi="arial" w:cs="arial"/>
          <w:b w:val="0"/>
          <w:i w:val="0"/>
          <w:strike w:val="0"/>
          <w:noProof w:val="0"/>
          <w:color w:val="000000"/>
          <w:position w:val="0"/>
          <w:sz w:val="20"/>
          <w:u w:val="none"/>
          <w:vertAlign w:val="baseline"/>
        </w:rPr>
        <w:t>To the extent that Mr. Whipple has included allegations about the illegitimacy of the Tier system in general,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they are the sort of conclusory, fact-free allegations ("objectively unreasonable," "punitive," "not neutral," "unconstitutional," and lacking "any legitimate therapeutic justification") characterized as insufficient by </w:t>
      </w:r>
      <w:hyperlink r:id="rId17" w:history="1">
        <w:r>
          <w:rPr>
            <w:rFonts w:ascii="arial" w:eastAsia="arial" w:hAnsi="arial" w:cs="arial"/>
            <w:b w:val="0"/>
            <w:i/>
            <w:strike w:val="0"/>
            <w:noProof w:val="0"/>
            <w:color w:val="0077CC"/>
            <w:position w:val="0"/>
            <w:sz w:val="20"/>
            <w:u w:val="single"/>
            <w:vertAlign w:val="baseline"/>
          </w:rPr>
          <w:t>Iqbal</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15"/>
      <w:bookmarkEnd w:id="42"/>
      <w:r>
        <w:rPr>
          <w:rFonts w:ascii="arial" w:eastAsia="arial" w:hAnsi="arial" w:cs="arial"/>
          <w:b w:val="0"/>
          <w:i w:val="0"/>
          <w:strike w:val="0"/>
          <w:noProof w:val="0"/>
          <w:color w:val="000000"/>
          <w:position w:val="0"/>
          <w:sz w:val="20"/>
          <w:u w:val="none"/>
          <w:vertAlign w:val="baseline"/>
        </w:rPr>
        <w:t xml:space="preserve">The Court finds that Mr. Whipple has not stated a plausible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against Ms. Johnston in either her official or her individual capacity. Consequently, the Court recommends dismissal of Mr. Whipple's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4"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Procedural Due Process Claim</w:t>
      </w:r>
    </w:p>
    <w:p>
      <w:pPr>
        <w:keepNext w:val="0"/>
        <w:spacing w:before="200" w:after="0" w:line="260" w:lineRule="atLeast"/>
        <w:ind w:left="0" w:right="0" w:firstLine="0"/>
        <w:jc w:val="both"/>
      </w:pPr>
      <w:bookmarkStart w:id="43" w:name="Bookmark_para_16"/>
      <w:bookmarkEnd w:id="43"/>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Fourteenth Amendment's Due Process Clause</w:t>
        </w:r>
      </w:hyperlink>
      <w:r>
        <w:rPr>
          <w:rFonts w:ascii="arial" w:eastAsia="arial" w:hAnsi="arial" w:cs="arial"/>
          <w:b w:val="0"/>
          <w:i w:val="0"/>
          <w:strike w:val="0"/>
          <w:noProof w:val="0"/>
          <w:color w:val="000000"/>
          <w:position w:val="0"/>
          <w:sz w:val="20"/>
          <w:u w:val="none"/>
          <w:vertAlign w:val="baseline"/>
        </w:rPr>
        <w:t xml:space="preserve"> protects persons against deprivations of life, liberty, or property; and those who seek to invoke its procedural protection must establish that one of these interests is at stake." </w:t>
      </w:r>
      <w:hyperlink r:id="rId28" w:history="1">
        <w:r>
          <w:rPr>
            <w:rFonts w:ascii="arial" w:eastAsia="arial" w:hAnsi="arial" w:cs="arial"/>
            <w:b w:val="0"/>
            <w:i/>
            <w:strike w:val="0"/>
            <w:noProof w:val="0"/>
            <w:color w:val="0077CC"/>
            <w:position w:val="0"/>
            <w:sz w:val="20"/>
            <w:u w:val="single"/>
            <w:vertAlign w:val="baseline"/>
          </w:rPr>
          <w:t>Wilkinson v. Austin</w:t>
        </w:r>
      </w:hyperlink>
      <w:hyperlink r:id="rId28" w:history="1">
        <w:r>
          <w:rPr>
            <w:rFonts w:ascii="arial" w:eastAsia="arial" w:hAnsi="arial" w:cs="arial"/>
            <w:b w:val="0"/>
            <w:i/>
            <w:strike w:val="0"/>
            <w:noProof w:val="0"/>
            <w:color w:val="0077CC"/>
            <w:position w:val="0"/>
            <w:sz w:val="20"/>
            <w:u w:val="single"/>
            <w:vertAlign w:val="baseline"/>
          </w:rPr>
          <w:t>, 545 U.S. 209, 221, 125 S. Ct. 2384, 162 L. Ed. 2d 174 (2005)</w:t>
        </w:r>
      </w:hyperlink>
      <w:r>
        <w:rPr>
          <w:rFonts w:ascii="arial" w:eastAsia="arial" w:hAnsi="arial" w:cs="arial"/>
          <w:b w:val="0"/>
          <w:i w:val="0"/>
          <w:strike w:val="0"/>
          <w:noProof w:val="0"/>
          <w:color w:val="000000"/>
          <w:position w:val="0"/>
          <w:sz w:val="20"/>
          <w:u w:val="none"/>
          <w:vertAlign w:val="baseline"/>
        </w:rPr>
        <w:t xml:space="preserve">. "To set forth a procedural due process violation, a plaintiff, first, must establish that his protected liberty or property interest is at stake." </w:t>
      </w:r>
      <w:hyperlink r:id="rId29" w:history="1">
        <w:r>
          <w:rPr>
            <w:rFonts w:ascii="arial" w:eastAsia="arial" w:hAnsi="arial" w:cs="arial"/>
            <w:b w:val="0"/>
            <w:i/>
            <w:strike w:val="0"/>
            <w:noProof w:val="0"/>
            <w:color w:val="0077CC"/>
            <w:position w:val="0"/>
            <w:sz w:val="20"/>
            <w:u w:val="single"/>
            <w:vertAlign w:val="baseline"/>
          </w:rPr>
          <w:t>Gordon v. Hansen</w:t>
        </w:r>
      </w:hyperlink>
      <w:hyperlink r:id="rId29" w:history="1">
        <w:r>
          <w:rPr>
            <w:rFonts w:ascii="arial" w:eastAsia="arial" w:hAnsi="arial" w:cs="arial"/>
            <w:b w:val="0"/>
            <w:i/>
            <w:strike w:val="0"/>
            <w:noProof w:val="0"/>
            <w:color w:val="0077CC"/>
            <w:position w:val="0"/>
            <w:sz w:val="20"/>
            <w:u w:val="single"/>
            <w:vertAlign w:val="baseline"/>
          </w:rPr>
          <w:t>, 168 F.3d 1109, 1114 (8th Cir. 1999)</w:t>
        </w:r>
      </w:hyperlink>
      <w:r>
        <w:rPr>
          <w:rFonts w:ascii="arial" w:eastAsia="arial" w:hAnsi="arial" w:cs="arial"/>
          <w:b w:val="0"/>
          <w:i w:val="0"/>
          <w:strike w:val="0"/>
          <w:noProof w:val="0"/>
          <w:color w:val="000000"/>
          <w:position w:val="0"/>
          <w:sz w:val="20"/>
          <w:u w:val="none"/>
          <w:vertAlign w:val="baseline"/>
        </w:rPr>
        <w:t xml:space="preserve">. Next, the plaintiff must show "that the defendant deprived him of such an interest without due process of law."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4" w:name="Bookmark_para_17"/>
      <w:bookmarkEnd w:id="44"/>
      <w:r>
        <w:rPr>
          <w:rFonts w:ascii="arial" w:eastAsia="arial" w:hAnsi="arial" w:cs="arial"/>
          <w:b w:val="0"/>
          <w:i w:val="0"/>
          <w:strike w:val="0"/>
          <w:noProof w:val="0"/>
          <w:color w:val="000000"/>
          <w:position w:val="0"/>
          <w:sz w:val="20"/>
          <w:u w:val="none"/>
          <w:vertAlign w:val="baseline"/>
        </w:rPr>
        <w:t>Granting the Complaint a liberal construction, one could infer that Mr. Whipple alleges a property interest in the gaming system and accessories. Relevant to this interest, Mr. Whipple also alleges that his gaming system was removed from his room and the facility and cannot be returned;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there was no threat to the security or safety of the facility; and he will have to reobtain Tier 3 status and maintain it for 90 days before he can purchase a new gaming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10-11.)</w:t>
      </w:r>
    </w:p>
    <w:p>
      <w:pPr>
        <w:keepNext w:val="0"/>
        <w:spacing w:before="240" w:after="0" w:line="260" w:lineRule="atLeast"/>
        <w:ind w:left="0" w:right="0" w:firstLine="0"/>
        <w:jc w:val="both"/>
      </w:pPr>
      <w:bookmarkStart w:id="45" w:name="Bookmark_para_18"/>
      <w:bookmarkEnd w:id="45"/>
      <w:bookmarkStart w:id="46" w:name="Bookmark_I69K84S328T47J0010000400"/>
      <w:bookmarkEnd w:id="46"/>
      <w:r>
        <w:rPr>
          <w:rFonts w:ascii="arial" w:eastAsia="arial" w:hAnsi="arial" w:cs="arial"/>
          <w:b w:val="0"/>
          <w:i w:val="0"/>
          <w:strike w:val="0"/>
          <w:noProof w:val="0"/>
          <w:color w:val="000000"/>
          <w:position w:val="0"/>
          <w:sz w:val="20"/>
          <w:u w:val="none"/>
          <w:vertAlign w:val="baseline"/>
        </w:rPr>
        <w:t xml:space="preserve">"To the extent that possessing an Xbox is prohibited for persons with Tier 2 status," Mr. Whipple "cannot assert a constitutionally protected property interest in the Xbox while he is on Tier 2." </w:t>
      </w:r>
      <w:bookmarkStart w:id="47" w:name="Bookmark_I69K84S32HM6GP0050000400"/>
      <w:bookmarkEnd w:id="47"/>
      <w:hyperlink r:id="rId15" w:history="1">
        <w:r>
          <w:rPr>
            <w:rFonts w:ascii="arial" w:eastAsia="arial" w:hAnsi="arial" w:cs="arial"/>
            <w:b w:val="0"/>
            <w:i/>
            <w:strike w:val="0"/>
            <w:noProof w:val="0"/>
            <w:color w:val="0077CC"/>
            <w:position w:val="0"/>
            <w:sz w:val="20"/>
            <w:u w:val="single"/>
            <w:vertAlign w:val="baseline"/>
          </w:rPr>
          <w:t>Dean II</w:t>
        </w:r>
      </w:hyperlink>
      <w:hyperlink r:id="rId15" w:history="1">
        <w:r>
          <w:rPr>
            <w:rFonts w:ascii="arial" w:eastAsia="arial" w:hAnsi="arial" w:cs="arial"/>
            <w:b w:val="0"/>
            <w:i/>
            <w:strike w:val="0"/>
            <w:noProof w:val="0"/>
            <w:color w:val="0077CC"/>
            <w:position w:val="0"/>
            <w:sz w:val="20"/>
            <w:u w:val="single"/>
            <w:vertAlign w:val="baseline"/>
          </w:rPr>
          <w:t>, 2021 U.S. Dist. LEXIS 155810, 2021 WL 3667265, at *4</w:t>
        </w:r>
      </w:hyperlink>
      <w:r>
        <w:rPr>
          <w:rFonts w:ascii="arial" w:eastAsia="arial" w:hAnsi="arial" w:cs="arial"/>
          <w:b w:val="0"/>
          <w:i w:val="0"/>
          <w:strike w:val="0"/>
          <w:noProof w:val="0"/>
          <w:color w:val="000000"/>
          <w:position w:val="0"/>
          <w:sz w:val="20"/>
          <w:u w:val="none"/>
          <w:vertAlign w:val="baseline"/>
        </w:rPr>
        <w:t>. Mr. Whipple does not allege that he was wrongly placed in Tier 2 status or that he was entitled to Tier 3 status. He does not allege that he did not commit an infraction or engage in other behavior warranting the change in Tier level. Consequently, as a person in Tier 2 status, Mr. Whipple cannot assert a protected property interest in his Xbox or gaming accessories that would support a procedural due process claim.</w:t>
      </w:r>
    </w:p>
    <w:p>
      <w:pPr>
        <w:keepNext w:val="0"/>
        <w:spacing w:before="200" w:after="0" w:line="260" w:lineRule="atLeast"/>
        <w:ind w:left="0" w:right="0" w:firstLine="0"/>
        <w:jc w:val="both"/>
      </w:pPr>
      <w:bookmarkStart w:id="48" w:name="Bookmark_para_19"/>
      <w:bookmarkEnd w:id="48"/>
      <w:bookmarkStart w:id="49" w:name="Bookmark_I69K84S328T47J0030000400"/>
      <w:bookmarkEnd w:id="49"/>
      <w:r>
        <w:rPr>
          <w:rFonts w:ascii="arial" w:eastAsia="arial" w:hAnsi="arial" w:cs="arial"/>
          <w:b w:val="0"/>
          <w:i w:val="0"/>
          <w:strike w:val="0"/>
          <w:noProof w:val="0"/>
          <w:color w:val="000000"/>
          <w:position w:val="0"/>
          <w:sz w:val="20"/>
          <w:u w:val="none"/>
          <w:vertAlign w:val="baseline"/>
        </w:rPr>
        <w:t xml:space="preserve">Mr. Whipple's Complaint does not identify a liberty interest at stake. To the extent the Complaint could be construed as alleging a protected liberty interest in Mr. Whipple's Tier status, however, the reasoning in </w:t>
      </w:r>
      <w:r>
        <w:rPr>
          <w:rFonts w:ascii="arial" w:eastAsia="arial" w:hAnsi="arial" w:cs="arial"/>
          <w:b w:val="0"/>
          <w:i/>
          <w:strike w:val="0"/>
          <w:noProof w:val="0"/>
          <w:color w:val="000000"/>
          <w:position w:val="0"/>
          <w:sz w:val="20"/>
          <w:u w:val="none"/>
          <w:vertAlign w:val="baseline"/>
        </w:rPr>
        <w:t>Dean II</w:t>
      </w:r>
      <w:r>
        <w:rPr>
          <w:rFonts w:ascii="arial" w:eastAsia="arial" w:hAnsi="arial" w:cs="arial"/>
          <w:b w:val="0"/>
          <w:i w:val="0"/>
          <w:strike w:val="0"/>
          <w:noProof w:val="0"/>
          <w:color w:val="000000"/>
          <w:position w:val="0"/>
          <w:sz w:val="20"/>
          <w:u w:val="none"/>
          <w:vertAlign w:val="baseline"/>
        </w:rPr>
        <w:t xml:space="preserve"> applies. In </w:t>
      </w:r>
      <w:r>
        <w:rPr>
          <w:rFonts w:ascii="arial" w:eastAsia="arial" w:hAnsi="arial" w:cs="arial"/>
          <w:b w:val="0"/>
          <w:i/>
          <w:strike w:val="0"/>
          <w:noProof w:val="0"/>
          <w:color w:val="000000"/>
          <w:position w:val="0"/>
          <w:sz w:val="20"/>
          <w:u w:val="none"/>
          <w:vertAlign w:val="baseline"/>
        </w:rPr>
        <w:t>Dean II</w:t>
      </w:r>
      <w:r>
        <w:rPr>
          <w:rFonts w:ascii="arial" w:eastAsia="arial" w:hAnsi="arial" w:cs="arial"/>
          <w:b w:val="0"/>
          <w:i w:val="0"/>
          <w:strike w:val="0"/>
          <w:noProof w:val="0"/>
          <w:color w:val="000000"/>
          <w:position w:val="0"/>
          <w:sz w:val="20"/>
          <w:u w:val="none"/>
          <w:vertAlign w:val="baseline"/>
        </w:rPr>
        <w:t xml:space="preserve">, the court determined that the plaintiff did not have a protected liberty interest in his Tier status. </w:t>
      </w:r>
      <w:bookmarkStart w:id="50" w:name="Bookmark_I69K84S328T47J0020000400"/>
      <w:bookmarkEnd w:id="50"/>
      <w:hyperlink r:id="rId15" w:history="1">
        <w:r>
          <w:rPr>
            <w:rFonts w:ascii="arial" w:eastAsia="arial" w:hAnsi="arial" w:cs="arial"/>
            <w:b w:val="0"/>
            <w:i/>
            <w:strike w:val="0"/>
            <w:noProof w:val="0"/>
            <w:color w:val="0077CC"/>
            <w:position w:val="0"/>
            <w:sz w:val="20"/>
            <w:u w:val="single"/>
            <w:vertAlign w:val="baseline"/>
          </w:rPr>
          <w:t>2021 U.S. Dist. LEXIS 155810, 2021 WL 3667265, at *4</w:t>
        </w:r>
      </w:hyperlink>
      <w:r>
        <w:rPr>
          <w:rFonts w:ascii="arial" w:eastAsia="arial" w:hAnsi="arial" w:cs="arial"/>
          <w:b w:val="0"/>
          <w:i w:val="0"/>
          <w:strike w:val="0"/>
          <w:noProof w:val="0"/>
          <w:color w:val="000000"/>
          <w:position w:val="0"/>
          <w:sz w:val="20"/>
          <w:u w:val="none"/>
          <w:vertAlign w:val="baseline"/>
        </w:rPr>
        <w:t>. The court based that determination on Mr.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Dean's failure to allege that he did not commit the conduct leading to the change in his Tier level, failure to allege facts from which to infer he should have retained Tier 3 status, and failure to allege that the Tier System violated a protected liberty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Whipple's allegations are similarly deficient. He does not describe his conduct that led to the change in his Tier level, nor does he deny committing an infraction that led to the change in Tier level. Mr. Whipple does not allege that he was entitled to maintain Tier 3 status or that the Tier System violates a protected liberty interest. Accordingly, consistent with </w:t>
      </w:r>
      <w:r>
        <w:rPr>
          <w:rFonts w:ascii="arial" w:eastAsia="arial" w:hAnsi="arial" w:cs="arial"/>
          <w:b w:val="0"/>
          <w:i/>
          <w:strike w:val="0"/>
          <w:noProof w:val="0"/>
          <w:color w:val="000000"/>
          <w:position w:val="0"/>
          <w:sz w:val="20"/>
          <w:u w:val="none"/>
          <w:vertAlign w:val="baseline"/>
        </w:rPr>
        <w:t>Dean II</w:t>
      </w:r>
      <w:r>
        <w:rPr>
          <w:rFonts w:ascii="arial" w:eastAsia="arial" w:hAnsi="arial" w:cs="arial"/>
          <w:b w:val="0"/>
          <w:i w:val="0"/>
          <w:strike w:val="0"/>
          <w:noProof w:val="0"/>
          <w:color w:val="000000"/>
          <w:position w:val="0"/>
          <w:sz w:val="20"/>
          <w:u w:val="none"/>
          <w:vertAlign w:val="baseline"/>
        </w:rPr>
        <w:t>, the Court finds that Mr. Whipple has not plausibly alleged a procedural due process claim based on a protected liberty interest in the Tier System.</w:t>
      </w:r>
    </w:p>
    <w:p>
      <w:pPr>
        <w:keepNext w:val="0"/>
        <w:spacing w:before="240" w:after="0" w:line="260" w:lineRule="atLeast"/>
        <w:ind w:left="0" w:right="0" w:firstLine="0"/>
        <w:jc w:val="both"/>
      </w:pPr>
      <w:bookmarkStart w:id="51" w:name="Bookmark_para_20"/>
      <w:bookmarkEnd w:id="51"/>
      <w:bookmarkStart w:id="52" w:name="Bookmark_I69K84S328T47J0050000400"/>
      <w:bookmarkEnd w:id="52"/>
      <w:r>
        <w:rPr>
          <w:rFonts w:ascii="arial" w:eastAsia="arial" w:hAnsi="arial" w:cs="arial"/>
          <w:b w:val="0"/>
          <w:i w:val="0"/>
          <w:strike w:val="0"/>
          <w:noProof w:val="0"/>
          <w:color w:val="000000"/>
          <w:position w:val="0"/>
          <w:sz w:val="20"/>
          <w:u w:val="none"/>
          <w:vertAlign w:val="baseline"/>
        </w:rPr>
        <w:t xml:space="preserve">Finally, to the extent the Complaint could be construed as alleging a protected liberty interest in vocational programming, MSOP clients have no protected interest in employment or vocational training. </w:t>
      </w:r>
      <w:hyperlink r:id="rId30" w:history="1">
        <w:r>
          <w:rPr>
            <w:rFonts w:ascii="arial" w:eastAsia="arial" w:hAnsi="arial" w:cs="arial"/>
            <w:b w:val="0"/>
            <w:i/>
            <w:strike w:val="0"/>
            <w:noProof w:val="0"/>
            <w:color w:val="0077CC"/>
            <w:position w:val="0"/>
            <w:sz w:val="20"/>
            <w:u w:val="single"/>
            <w:vertAlign w:val="baseline"/>
          </w:rPr>
          <w:t>Semler v. Johnston</w:t>
        </w:r>
      </w:hyperlink>
      <w:hyperlink r:id="rId30" w:history="1">
        <w:r>
          <w:rPr>
            <w:rFonts w:ascii="arial" w:eastAsia="arial" w:hAnsi="arial" w:cs="arial"/>
            <w:b w:val="0"/>
            <w:i/>
            <w:strike w:val="0"/>
            <w:noProof w:val="0"/>
            <w:color w:val="0077CC"/>
            <w:position w:val="0"/>
            <w:sz w:val="20"/>
            <w:u w:val="single"/>
            <w:vertAlign w:val="baseline"/>
          </w:rPr>
          <w:t>, No. 17-CV-2822 (ECT/LIB), 2019 U.S. Dist. LEXIS 195239, 2019 WL 7580107, at *7 (D. Minn. Aug. 2,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 &amp; R. adopted</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2019 U.S. Dist. LEXIS 194679, 2019 WL 5854039 (D. Minn. Nov. 8,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818 F. App'x 580 (8th Cir. 2020)</w:t>
        </w:r>
      </w:hyperlink>
      <w:r>
        <w:rPr>
          <w:rFonts w:ascii="arial" w:eastAsia="arial" w:hAnsi="arial" w:cs="arial"/>
          <w:b w:val="0"/>
          <w:i w:val="0"/>
          <w:strike w:val="0"/>
          <w:noProof w:val="0"/>
          <w:color w:val="000000"/>
          <w:position w:val="0"/>
          <w:sz w:val="20"/>
          <w:u w:val="none"/>
          <w:vertAlign w:val="baseline"/>
        </w:rPr>
        <w:t>. Furthermore, Mr. Whipple does not allege facts from which one could infer that his removal from vocational programming "caused a dramatic departure from the basic conditions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ordinary incidents of his civil commitment that a liberty interest is implicated." </w:t>
      </w:r>
      <w:r>
        <w:rPr>
          <w:rFonts w:ascii="arial" w:eastAsia="arial" w:hAnsi="arial" w:cs="arial"/>
          <w:b w:val="0"/>
          <w:i/>
          <w:strike w:val="0"/>
          <w:noProof w:val="0"/>
          <w:color w:val="000000"/>
          <w:position w:val="0"/>
          <w:sz w:val="20"/>
          <w:u w:val="none"/>
          <w:vertAlign w:val="baseline"/>
        </w:rPr>
        <w:t xml:space="preserve">See </w:t>
      </w:r>
      <w:bookmarkStart w:id="53" w:name="Bookmark_I69K84S328T47J0040000400"/>
      <w:bookmarkEnd w:id="53"/>
      <w:hyperlink r:id="rId33" w:history="1">
        <w:r>
          <w:rPr>
            <w:rFonts w:ascii="arial" w:eastAsia="arial" w:hAnsi="arial" w:cs="arial"/>
            <w:b w:val="0"/>
            <w:i/>
            <w:strike w:val="0"/>
            <w:noProof w:val="0"/>
            <w:color w:val="0077CC"/>
            <w:position w:val="0"/>
            <w:sz w:val="20"/>
            <w:u w:val="single"/>
            <w:vertAlign w:val="baseline"/>
          </w:rPr>
          <w:t>Linehan v. Johnston</w:t>
        </w:r>
      </w:hyperlink>
      <w:hyperlink r:id="rId33" w:history="1">
        <w:r>
          <w:rPr>
            <w:rFonts w:ascii="arial" w:eastAsia="arial" w:hAnsi="arial" w:cs="arial"/>
            <w:b w:val="0"/>
            <w:i/>
            <w:strike w:val="0"/>
            <w:noProof w:val="0"/>
            <w:color w:val="0077CC"/>
            <w:position w:val="0"/>
            <w:sz w:val="20"/>
            <w:u w:val="single"/>
            <w:vertAlign w:val="baseline"/>
          </w:rPr>
          <w:t>, No. 18-CV-3483 (WMW/KMM), 2019 U.S. Dist. LEXIS 217797, 2019 WL 6879366, at *3 (D. Minn. Nov. 26,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 &amp;. R. adopted</w:t>
      </w:r>
      <w:r>
        <w:rPr>
          <w:rFonts w:ascii="arial" w:eastAsia="arial" w:hAnsi="arial" w:cs="arial"/>
          <w:b w:val="0"/>
          <w:i w:val="0"/>
          <w:strike w:val="0"/>
          <w:noProof w:val="0"/>
          <w:color w:val="000000"/>
          <w:position w:val="0"/>
          <w:sz w:val="20"/>
          <w:u w:val="none"/>
          <w:vertAlign w:val="baseline"/>
        </w:rPr>
        <w:t xml:space="preserve">, </w:t>
      </w:r>
      <w:bookmarkStart w:id="54" w:name="Bookmark_I696VB0B28T3WR0050000400"/>
      <w:bookmarkEnd w:id="54"/>
      <w:hyperlink r:id="rId34" w:history="1">
        <w:r>
          <w:rPr>
            <w:rFonts w:ascii="arial" w:eastAsia="arial" w:hAnsi="arial" w:cs="arial"/>
            <w:b w:val="0"/>
            <w:i/>
            <w:strike w:val="0"/>
            <w:noProof w:val="0"/>
            <w:color w:val="0077CC"/>
            <w:position w:val="0"/>
            <w:sz w:val="20"/>
            <w:u w:val="single"/>
            <w:vertAlign w:val="baseline"/>
          </w:rPr>
          <w:t>2019 U.S. Dist. LEXIS 216636, 2019 WL 6873984 (D. Minn. Dec. 17, 2019)</w:t>
        </w:r>
      </w:hyperlink>
      <w:r>
        <w:rPr>
          <w:rFonts w:ascii="arial" w:eastAsia="arial" w:hAnsi="arial" w:cs="arial"/>
          <w:b w:val="0"/>
          <w:i w:val="0"/>
          <w:strike w:val="0"/>
          <w:noProof w:val="0"/>
          <w:color w:val="000000"/>
          <w:position w:val="0"/>
          <w:sz w:val="20"/>
          <w:u w:val="none"/>
          <w:vertAlign w:val="baseline"/>
        </w:rPr>
        <w:t xml:space="preserve">. Consequently, Mr. Whipple has not plausibly alleged a procedural due process claim based on a protected liberty interest in vocational programming. The Court recommends dismissal of Mr. Whipple's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against Ms. Johnston in her official and individual capacities.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Recommendation</w:t>
      </w:r>
    </w:p>
    <w:p>
      <w:pPr>
        <w:keepNext w:val="0"/>
        <w:spacing w:before="200" w:after="0" w:line="260" w:lineRule="atLeast"/>
        <w:ind w:left="0" w:right="0" w:firstLine="0"/>
        <w:jc w:val="both"/>
      </w:pPr>
      <w:bookmarkStart w:id="55" w:name="Bookmark_para_21"/>
      <w:bookmarkEnd w:id="55"/>
      <w:r>
        <w:rPr>
          <w:rFonts w:ascii="arial" w:eastAsia="arial" w:hAnsi="arial" w:cs="arial"/>
          <w:b w:val="0"/>
          <w:i w:val="0"/>
          <w:strike w:val="0"/>
          <w:noProof w:val="0"/>
          <w:color w:val="000000"/>
          <w:position w:val="0"/>
          <w:sz w:val="20"/>
          <w:u w:val="none"/>
          <w:vertAlign w:val="baseline"/>
        </w:rPr>
        <w:t xml:space="preserve">Based on all of the files, records, and proceedings herein, </w:t>
      </w:r>
      <w:r>
        <w:rPr>
          <w:rFonts w:ascii="arial" w:eastAsia="arial" w:hAnsi="arial" w:cs="arial"/>
          <w:b/>
          <w:i w:val="0"/>
          <w:strike w:val="0"/>
          <w:noProof w:val="0"/>
          <w:color w:val="000000"/>
          <w:position w:val="0"/>
          <w:sz w:val="20"/>
          <w:u w:val="none"/>
          <w:vertAlign w:val="baseline"/>
        </w:rPr>
        <w:t>IT IS HEREBY RECOMMENDED</w:t>
      </w:r>
      <w:r>
        <w:rPr>
          <w:rFonts w:ascii="arial" w:eastAsia="arial" w:hAnsi="arial" w:cs="arial"/>
          <w:b w:val="0"/>
          <w:i w:val="0"/>
          <w:strike w:val="0"/>
          <w:noProof w:val="0"/>
          <w:color w:val="000000"/>
          <w:position w:val="0"/>
          <w:sz w:val="20"/>
          <w:u w:val="none"/>
          <w:vertAlign w:val="baseline"/>
        </w:rPr>
        <w:t xml:space="preserve"> that Defendant Nancy Johnston's Motion to Dismiss Plaintiff Michael R. Whipple's Complaint (Dkt. No. 15)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in its entirety.</w:t>
      </w:r>
    </w:p>
    <w:p>
      <w:pPr>
        <w:keepNext w:val="0"/>
        <w:spacing w:before="200" w:after="0" w:line="260" w:lineRule="atLeast"/>
        <w:ind w:left="0" w:right="0" w:firstLine="0"/>
        <w:jc w:val="both"/>
      </w:pPr>
      <w:bookmarkStart w:id="56" w:name="Bookmark_para_22"/>
      <w:bookmarkEnd w:id="56"/>
      <w:r>
        <w:rPr>
          <w:rFonts w:ascii="arial" w:eastAsia="arial" w:hAnsi="arial" w:cs="arial"/>
          <w:b w:val="0"/>
          <w:i w:val="0"/>
          <w:strike w:val="0"/>
          <w:noProof w:val="0"/>
          <w:color w:val="000000"/>
          <w:position w:val="0"/>
          <w:sz w:val="20"/>
          <w:u w:val="none"/>
          <w:vertAlign w:val="baseline"/>
        </w:rPr>
        <w:t>Date: June 14, 2023</w:t>
      </w:r>
    </w:p>
    <w:p>
      <w:pPr>
        <w:keepNext w:val="0"/>
        <w:spacing w:before="200" w:after="0" w:line="260" w:lineRule="atLeast"/>
        <w:ind w:left="0" w:right="0" w:firstLine="0"/>
        <w:jc w:val="both"/>
      </w:pPr>
      <w:bookmarkStart w:id="57" w:name="Bookmark_para_23"/>
      <w:bookmarkEnd w:id="57"/>
      <w:r>
        <w:rPr>
          <w:rFonts w:ascii="arial" w:eastAsia="arial" w:hAnsi="arial" w:cs="arial"/>
          <w:b w:val="0"/>
          <w:i/>
          <w:strike w:val="0"/>
          <w:noProof w:val="0"/>
          <w:color w:val="000000"/>
          <w:position w:val="0"/>
          <w:sz w:val="20"/>
          <w:u w:val="none"/>
          <w:vertAlign w:val="baseline"/>
        </w:rPr>
        <w:t>/s/ John F. Docherty</w:t>
      </w:r>
    </w:p>
    <w:p>
      <w:pPr>
        <w:keepNext w:val="0"/>
        <w:spacing w:before="200" w:after="0" w:line="260" w:lineRule="atLeast"/>
        <w:ind w:left="0" w:right="0" w:firstLine="0"/>
        <w:jc w:val="both"/>
      </w:pPr>
      <w:bookmarkStart w:id="58" w:name="Bookmark_para_24"/>
      <w:bookmarkEnd w:id="58"/>
      <w:r>
        <w:rPr>
          <w:rFonts w:ascii="arial" w:eastAsia="arial" w:hAnsi="arial" w:cs="arial"/>
          <w:b w:val="0"/>
          <w:i w:val="0"/>
          <w:strike w:val="0"/>
          <w:noProof w:val="0"/>
          <w:color w:val="000000"/>
          <w:position w:val="0"/>
          <w:sz w:val="20"/>
          <w:u w:val="none"/>
          <w:vertAlign w:val="baseline"/>
        </w:rPr>
        <w:t>JOHN F. DOCHERTY</w:t>
      </w:r>
    </w:p>
    <w:p>
      <w:pPr>
        <w:keepNext w:val="0"/>
        <w:spacing w:before="200" w:after="0" w:line="260" w:lineRule="atLeast"/>
        <w:ind w:left="0" w:right="0" w:firstLine="0"/>
        <w:jc w:val="both"/>
      </w:pPr>
      <w:bookmarkStart w:id="59" w:name="Bookmark_para_25"/>
      <w:bookmarkEnd w:id="5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The Court may consider the MSOP Client Tier Level System policy both as a matter necessarily embraced by the Complaint and as a matter of public record. </w:t>
      </w:r>
      <w:r>
        <w:rPr>
          <w:rFonts w:ascii="arial" w:eastAsia="arial" w:hAnsi="arial" w:cs="arial"/>
          <w:b w:val="0"/>
          <w:i/>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vertAlign w:val="baseline"/>
          </w:rPr>
          <w:t>Porous Media Corp. v. Pall Corp.</w:t>
        </w:r>
      </w:hyperlink>
      <w:hyperlink r:id="rId1" w:history="1">
        <w:r>
          <w:rPr>
            <w:rFonts w:ascii="arial" w:eastAsia="arial" w:hAnsi="arial" w:cs="arial"/>
            <w:b w:val="0"/>
            <w:i/>
            <w:strike w:val="0"/>
            <w:noProof w:val="0"/>
            <w:color w:val="0077CC"/>
            <w:position w:val="0"/>
            <w:sz w:val="18"/>
            <w:u w:val="single"/>
            <w:vertAlign w:val="baseline"/>
          </w:rPr>
          <w:t>, 186 F.3d 1077, 1079 (8th Cir. 1999)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2" w:history="1">
        <w:r>
          <w:rPr>
            <w:rFonts w:ascii="arial" w:eastAsia="arial" w:hAnsi="arial" w:cs="arial"/>
            <w:b w:val="0"/>
            <w:i/>
            <w:strike w:val="0"/>
            <w:noProof w:val="0"/>
            <w:color w:val="0077CC"/>
            <w:position w:val="0"/>
            <w:sz w:val="18"/>
            <w:u w:val="single"/>
            <w:vertAlign w:val="baseline"/>
          </w:rPr>
          <w:t>Dean v. Johnston</w:t>
        </w:r>
      </w:hyperlink>
      <w:hyperlink r:id="rId2" w:history="1">
        <w:r>
          <w:rPr>
            <w:rFonts w:ascii="arial" w:eastAsia="arial" w:hAnsi="arial" w:cs="arial"/>
            <w:b w:val="0"/>
            <w:i/>
            <w:strike w:val="0"/>
            <w:noProof w:val="0"/>
            <w:color w:val="0077CC"/>
            <w:position w:val="0"/>
            <w:sz w:val="18"/>
            <w:u w:val="single"/>
            <w:vertAlign w:val="baseline"/>
          </w:rPr>
          <w:t>, No. 19-3186 (JRT/LIB), 2021 U.S. Dist. LEXIS 155810, 2021 WL 3667265, at *1 n.1 (D. Minn. Aug. 18, 2021)</w:t>
        </w:r>
      </w:hyperlink>
      <w:r>
        <w:rPr>
          <w:rFonts w:ascii="arial" w:eastAsia="arial" w:hAnsi="arial" w:cs="arial"/>
          <w:b w:val="0"/>
          <w:i w:val="0"/>
          <w:strike w:val="0"/>
          <w:noProof w:val="0"/>
          <w:color w:val="000000"/>
          <w:position w:val="0"/>
          <w:sz w:val="18"/>
          <w:u w:val="none"/>
          <w:vertAlign w:val="baseline"/>
        </w:rPr>
        <w:t xml:space="preserve"> (considering the MSOP Client Tier Level System policy on a motion to dismiss as a document necessarily embraced by the complaint).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8" w:name="Bookmark_fnpara_2"/>
      <w:bookmarkEnd w:id="18"/>
      <w:r>
        <w:rPr>
          <w:rFonts w:ascii="arial" w:eastAsia="arial" w:hAnsi="arial" w:cs="arial"/>
          <w:b w:val="0"/>
          <w:i w:val="0"/>
          <w:strike w:val="0"/>
          <w:noProof w:val="0"/>
          <w:color w:val="000000"/>
          <w:position w:val="0"/>
          <w:sz w:val="18"/>
          <w:u w:val="none"/>
          <w:vertAlign w:val="baseline"/>
        </w:rPr>
        <w:t>Ms. Johnston also argues that to the extent Mr. Whipple attempted to allege a substantive due process claim, he has not alleged "conscience-shocking" conduct or punitive conditions of confinement. Mr. Whipple, however, disavowed in the Complaint any intention to bring a substantive due process claim. (Compl. ¶ 16 n.4.)</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Whipple v. Johnston, 2023 U.S. Dist. LEXIS 162467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5S-BDD1-FBV7-B0M0-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cases&amp;id=urn:contentItem:63DB-5HK1-F4W2-64KM-00000-00&amp;context=1519360" TargetMode="External" /><Relationship Id="rId16" Type="http://schemas.openxmlformats.org/officeDocument/2006/relationships/hyperlink" Target="https://advance.lexis.com/api/document?collection=cases&amp;id=urn:contentItem:4NSN-8840-004C-002M-00000-00&amp;context=1519360" TargetMode="External" /><Relationship Id="rId17" Type="http://schemas.openxmlformats.org/officeDocument/2006/relationships/hyperlink" Target="https://advance.lexis.com/api/document?collection=cases&amp;id=urn:contentItem:4W9Y-4KS0-TXFX-1325-00000-00&amp;context=1519360" TargetMode="External" /><Relationship Id="rId18" Type="http://schemas.openxmlformats.org/officeDocument/2006/relationships/hyperlink" Target="https://advance.lexis.com/api/document?collection=cases&amp;id=urn:contentItem:59TW-0KV1-F04K-S111-00000-00&amp;context=1519360" TargetMode="External" /><Relationship Id="rId19" Type="http://schemas.openxmlformats.org/officeDocument/2006/relationships/hyperlink" Target="https://advance.lexis.com/api/document?collection=cases&amp;id=urn:contentItem:4C59-6CM0-0038-X2W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9NJ0-003B-S50V-00000-00&amp;context=1519360" TargetMode="External" /><Relationship Id="rId21" Type="http://schemas.openxmlformats.org/officeDocument/2006/relationships/hyperlink" Target="https://advance.lexis.com/api/document?collection=cases&amp;id=urn:contentItem:4BFP-T470-0038-X15F-00000-00&amp;context=1519360" TargetMode="External" /><Relationship Id="rId22" Type="http://schemas.openxmlformats.org/officeDocument/2006/relationships/hyperlink" Target="https://advance.lexis.com/api/document?collection=cases&amp;id=urn:contentItem:7XW4-43F0-YB0V-M000-00000-00&amp;context=1519360" TargetMode="External" /><Relationship Id="rId23" Type="http://schemas.openxmlformats.org/officeDocument/2006/relationships/hyperlink" Target="https://advance.lexis.com/api/document?collection=cases&amp;id=urn:contentItem:3S4X-C180-0039-N0X0-00000-00&amp;context=1519360" TargetMode="External" /><Relationship Id="rId24" Type="http://schemas.openxmlformats.org/officeDocument/2006/relationships/hyperlink" Target="https://advance.lexis.com/api/document?collection=cases&amp;id=urn:contentItem:56FK-PTS1-F04K-S2GS-00000-00&amp;context=1519360" TargetMode="External" /><Relationship Id="rId25" Type="http://schemas.openxmlformats.org/officeDocument/2006/relationships/hyperlink" Target="https://advance.lexis.com/api/document?collection=cases&amp;id=urn:contentItem:61C2-BY01-JJYN-B3CH-00000-00&amp;context=1519360" TargetMode="External" /><Relationship Id="rId26" Type="http://schemas.openxmlformats.org/officeDocument/2006/relationships/hyperlink" Target="https://advance.lexis.com/api/document?collection=cases&amp;id=urn:contentItem:4WFC-45D0-TXFX-B2G7-00000-00&amp;context=1519360" TargetMode="External" /><Relationship Id="rId27" Type="http://schemas.openxmlformats.org/officeDocument/2006/relationships/hyperlink" Target="https://advance.lexis.com/api/document?collection=cases&amp;id=urn:contentItem:4KW0-HM90-0038-X01K-00000-00&amp;context=1519360" TargetMode="External" /><Relationship Id="rId28" Type="http://schemas.openxmlformats.org/officeDocument/2006/relationships/hyperlink" Target="https://advance.lexis.com/api/document?collection=cases&amp;id=urn:contentItem:4GCW-TWF0-004C-100N-00000-00&amp;context=1519360" TargetMode="External" /><Relationship Id="rId29" Type="http://schemas.openxmlformats.org/officeDocument/2006/relationships/hyperlink" Target="https://advance.lexis.com/api/document?collection=cases&amp;id=urn:contentItem:3VW7-2V30-0038-X16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XGJ-KB31-JTNR-M3JR-00000-00&amp;context=1519360" TargetMode="External" /><Relationship Id="rId31" Type="http://schemas.openxmlformats.org/officeDocument/2006/relationships/hyperlink" Target="https://advance.lexis.com/api/document?collection=cases&amp;id=urn:contentItem:5XFX-PJ01-FBN1-22PD-00000-00&amp;context=1519360" TargetMode="External" /><Relationship Id="rId32" Type="http://schemas.openxmlformats.org/officeDocument/2006/relationships/hyperlink" Target="https://advance.lexis.com/api/document?collection=cases&amp;id=urn:contentItem:60P8-WK41-JFKM-62S3-00000-00&amp;context=1519360" TargetMode="External" /><Relationship Id="rId33" Type="http://schemas.openxmlformats.org/officeDocument/2006/relationships/hyperlink" Target="https://advance.lexis.com/api/document?collection=cases&amp;id=urn:contentItem:5XSK-5911-F1WF-M0Y8-00000-00&amp;context=1519360" TargetMode="External" /><Relationship Id="rId34" Type="http://schemas.openxmlformats.org/officeDocument/2006/relationships/hyperlink" Target="https://advance.lexis.com/api/document?collection=cases&amp;id=urn:contentItem:5XS8-2WV1-F4W2-6495-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5J-MGP1-FC6N-X00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X3S-D1F0-0038-X398-00000-00&amp;context=1519360" TargetMode="External" /><Relationship Id="rId2" Type="http://schemas.openxmlformats.org/officeDocument/2006/relationships/hyperlink" Target="https://advance.lexis.com/api/document?collection=cases&amp;id=urn:contentItem:63DB-5HK1-F4W2-64K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Whipple v. Johnston, 2023 U.S. Dist. LEXIS 162467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Doc::urn:hlct:5|contextualFeaturePermID::1519360</vt:lpwstr>
  </property>
  <property fmtid="{D5CDD505-2E9C-101B-9397-08002B2CF9AE}" pid="5" name="UserPermID">
    <vt:lpwstr>urn:user:PA186186283</vt:lpwstr>
  </property>
</Properties>
</file>