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Harris v. Cota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Western District of Michigan, Northern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27, 2023, Decided; June 27,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Case No. 2:23-cv-104</w:t>
      </w:r>
    </w:p>
    <w:p>
      <w:pPr>
        <w:keepNext w:val="0"/>
        <w:spacing w:after="0" w:line="240" w:lineRule="atLeast"/>
        <w:ind w:right="0"/>
        <w:jc w:val="both"/>
      </w:pPr>
      <w:bookmarkStart w:id="0" w:name="Bookmark_8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110757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4195672</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ANTHONY HARRIS, Plaintiff, v. CRYSTAL COTA et al., Defendants.</w:t>
      </w:r>
    </w:p>
    <w:p>
      <w:pPr>
        <w:keepNext/>
        <w:spacing w:before="240" w:after="0" w:line="340" w:lineRule="atLeast"/>
        <w:ind w:left="0" w:right="0" w:firstLine="0"/>
        <w:jc w:val="left"/>
      </w:pPr>
      <w:bookmarkStart w:id="2" w:name="Core Terms"/>
      <w:bookmarkEnd w:id="2"/>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mail, inmates, grievance, photocopied, courts, staff, violations, special handling, allegations, regulation, envelope, prison, original document, state law claim, penological, Directives, Michigan, rights, supplemental jurisdiction, legal document, actual injury, documents, contends, premised, failure to state a claim, original affidavit, cause of action, original copy, photograph, retention</w:t>
      </w:r>
    </w:p>
    <w:p>
      <w:pPr>
        <w:keepNext w:val="0"/>
        <w:spacing w:before="240" w:after="0" w:line="260" w:lineRule="atLeast"/>
        <w:ind w:left="0" w:right="0" w:firstLine="0"/>
        <w:jc w:val="left"/>
      </w:pPr>
      <w:bookmarkStart w:id="3" w:name="Counsel"/>
      <w:bookmarkEnd w:id="3"/>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Anthony Harris #456411, plaintiff, Pro se, Kincheloe, MI.</w:t>
      </w:r>
    </w:p>
    <w:p>
      <w:pPr>
        <w:keepNext w:val="0"/>
        <w:spacing w:before="240" w:after="0" w:line="260" w:lineRule="atLeast"/>
        <w:ind w:left="0" w:right="0" w:firstLine="0"/>
        <w:jc w:val="left"/>
      </w:pPr>
      <w:bookmarkStart w:id="4" w:name="Judges"/>
      <w:bookmarkEnd w:id="4"/>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Honorable Robert J. Jonker, United States District Judge.</w:t>
      </w:r>
    </w:p>
    <w:p>
      <w:pPr>
        <w:keepNext w:val="0"/>
        <w:spacing w:before="240" w:after="0" w:line="260" w:lineRule="atLeast"/>
        <w:ind w:left="0" w:right="0" w:firstLine="0"/>
        <w:jc w:val="left"/>
      </w:pPr>
      <w:bookmarkStart w:id="5" w:name="Opinion by"/>
      <w:bookmarkEnd w:id="5"/>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Robert J. Jonker</w:t>
      </w:r>
    </w:p>
    <w:p>
      <w:pPr>
        <w:keepNext/>
        <w:spacing w:before="240" w:after="0" w:line="340" w:lineRule="atLeast"/>
        <w:ind w:left="0" w:right="0" w:firstLine="0"/>
        <w:jc w:val="left"/>
      </w:pPr>
      <w:bookmarkStart w:id="6" w:name="Opinion"/>
      <w:bookmarkEnd w:id="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
      <w:pPr>
        <w:keepNext w:val="0"/>
        <w:spacing w:before="240" w:after="0" w:line="260" w:lineRule="atLeast"/>
        <w:ind w:left="0" w:right="0" w:firstLine="0"/>
        <w:jc w:val="both"/>
      </w:pPr>
      <w:bookmarkStart w:id="7" w:name="Bookmark_para_1"/>
      <w:bookmarkEnd w:id="7"/>
      <w:r>
        <w:rPr>
          <w:rFonts w:ascii="arial" w:eastAsia="arial" w:hAnsi="arial" w:cs="arial"/>
          <w:b w:val="0"/>
          <w:i w:val="0"/>
          <w:strike w:val="0"/>
          <w:noProof w:val="0"/>
          <w:color w:val="000000"/>
          <w:position w:val="0"/>
          <w:sz w:val="20"/>
          <w:u w:val="none"/>
          <w:vertAlign w:val="baseline"/>
        </w:rPr>
        <w:t xml:space="preserve">This is a civil rights action brought by a state prisoner under </w:t>
      </w:r>
      <w:hyperlink r:id="rId10"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 xml:space="preserve">. Plaintiff has been granted leave to proceed </w:t>
      </w:r>
      <w:r>
        <w:rPr>
          <w:rFonts w:ascii="arial" w:eastAsia="arial" w:hAnsi="arial" w:cs="arial"/>
          <w:b w:val="0"/>
          <w:i/>
          <w:strike w:val="0"/>
          <w:noProof w:val="0"/>
          <w:color w:val="000000"/>
          <w:position w:val="0"/>
          <w:sz w:val="20"/>
          <w:u w:val="none"/>
          <w:vertAlign w:val="baseline"/>
        </w:rPr>
        <w:t>in forma pauperis</w:t>
      </w:r>
      <w:r>
        <w:rPr>
          <w:rFonts w:ascii="arial" w:eastAsia="arial" w:hAnsi="arial" w:cs="arial"/>
          <w:b w:val="0"/>
          <w:i w:val="0"/>
          <w:strike w:val="0"/>
          <w:noProof w:val="0"/>
          <w:color w:val="000000"/>
          <w:position w:val="0"/>
          <w:sz w:val="20"/>
          <w:u w:val="none"/>
          <w:vertAlign w:val="baseline"/>
        </w:rPr>
        <w:t xml:space="preserve">. </w:t>
      </w:r>
      <w:bookmarkStart w:id="8" w:name="Bookmark_I68KJNKJ2HM6VR0020000400"/>
      <w:bookmarkEnd w:id="8"/>
      <w:r>
        <w:rPr>
          <w:rFonts w:ascii="arial" w:eastAsia="arial" w:hAnsi="arial" w:cs="arial"/>
          <w:b w:val="0"/>
          <w:i w:val="0"/>
          <w:strike w:val="0"/>
          <w:noProof w:val="0"/>
          <w:color w:val="000000"/>
          <w:position w:val="0"/>
          <w:sz w:val="20"/>
          <w:u w:val="none"/>
          <w:vertAlign w:val="baseline"/>
        </w:rPr>
        <w:t xml:space="preserve">(ECF No. 4.) </w:t>
      </w:r>
      <w:bookmarkStart w:id="9" w:name="Bookmark_I68KJNKJ2HM6VR0040000400"/>
      <w:bookmarkEnd w:id="9"/>
      <w:r>
        <w:rPr>
          <w:rFonts w:ascii="arial" w:eastAsia="arial" w:hAnsi="arial" w:cs="arial"/>
          <w:b w:val="0"/>
          <w:i w:val="0"/>
          <w:strike w:val="0"/>
          <w:noProof w:val="0"/>
          <w:color w:val="000000"/>
          <w:position w:val="0"/>
          <w:sz w:val="20"/>
          <w:u w:val="none"/>
          <w:vertAlign w:val="baseline"/>
        </w:rPr>
        <w:t xml:space="preserve">Under the </w:t>
      </w:r>
      <w:r>
        <w:rPr>
          <w:rFonts w:ascii="arial" w:eastAsia="arial" w:hAnsi="arial" w:cs="arial"/>
          <w:b w:val="0"/>
          <w:i/>
          <w:strike w:val="0"/>
          <w:noProof w:val="0"/>
          <w:color w:val="000000"/>
          <w:position w:val="0"/>
          <w:sz w:val="20"/>
          <w:u w:val="none"/>
          <w:vertAlign w:val="baseline"/>
        </w:rPr>
        <w:t>Prison Litigation Reform Act, Pub. L. No. 104-134, 110 Stat. 1321 (1996) (PLRA)</w:t>
      </w:r>
      <w:r>
        <w:rPr>
          <w:rFonts w:ascii="arial" w:eastAsia="arial" w:hAnsi="arial" w:cs="arial"/>
          <w:b w:val="0"/>
          <w:i w:val="0"/>
          <w:strike w:val="0"/>
          <w:noProof w:val="0"/>
          <w:color w:val="000000"/>
          <w:position w:val="0"/>
          <w:sz w:val="20"/>
          <w:u w:val="none"/>
          <w:vertAlign w:val="baseline"/>
        </w:rPr>
        <w:t xml:space="preserve">, the Court is required to dismiss any prisoner action brought under federal law if the complaint is frivolous, malicious, fails to state a claim upon which relief can be granted, or seeks monetary relief from a defendant immune from such relief. </w:t>
      </w:r>
      <w:hyperlink r:id="rId11" w:history="1">
        <w:r>
          <w:rPr>
            <w:rFonts w:ascii="arial" w:eastAsia="arial" w:hAnsi="arial" w:cs="arial"/>
            <w:b w:val="0"/>
            <w:i/>
            <w:strike w:val="0"/>
            <w:noProof w:val="0"/>
            <w:color w:val="0077CC"/>
            <w:position w:val="0"/>
            <w:sz w:val="20"/>
            <w:u w:val="single"/>
            <w:vertAlign w:val="baseline"/>
          </w:rPr>
          <w:t>28 U.S.C. §§ 1915(e)(2)</w:t>
        </w:r>
      </w:hyperlink>
      <w:r>
        <w:rPr>
          <w:rFonts w:ascii="arial" w:eastAsia="arial" w:hAnsi="arial" w:cs="arial"/>
          <w:b w:val="0"/>
          <w:i w:val="0"/>
          <w:strike w:val="0"/>
          <w:noProof w:val="0"/>
          <w:color w:val="000000"/>
          <w:position w:val="0"/>
          <w:sz w:val="20"/>
          <w:u w:val="none"/>
          <w:vertAlign w:val="baseline"/>
        </w:rPr>
        <w:t xml:space="preserve">, </w:t>
      </w:r>
      <w:hyperlink r:id="rId12" w:history="1">
        <w:r>
          <w:rPr>
            <w:rFonts w:ascii="arial" w:eastAsia="arial" w:hAnsi="arial" w:cs="arial"/>
            <w:b w:val="0"/>
            <w:i/>
            <w:strike w:val="0"/>
            <w:noProof w:val="0"/>
            <w:color w:val="0077CC"/>
            <w:position w:val="0"/>
            <w:sz w:val="20"/>
            <w:u w:val="single"/>
            <w:vertAlign w:val="baseline"/>
          </w:rPr>
          <w:t>1915A</w:t>
        </w:r>
      </w:hyperlink>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42 U.S.C. § 1997e(c)</w:t>
        </w:r>
      </w:hyperlink>
      <w:r>
        <w:rPr>
          <w:rFonts w:ascii="arial" w:eastAsia="arial" w:hAnsi="arial" w:cs="arial"/>
          <w:b w:val="0"/>
          <w:i w:val="0"/>
          <w:strike w:val="0"/>
          <w:noProof w:val="0"/>
          <w:color w:val="000000"/>
          <w:position w:val="0"/>
          <w:sz w:val="20"/>
          <w:u w:val="none"/>
          <w:vertAlign w:val="baseline"/>
        </w:rPr>
        <w:t xml:space="preserve">. The Court must read Plaintiff's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complaint indulgently, </w:t>
      </w:r>
      <w:r>
        <w:rPr>
          <w:rFonts w:ascii="arial" w:eastAsia="arial" w:hAnsi="arial" w:cs="arial"/>
          <w:b w:val="0"/>
          <w:i/>
          <w:strike w:val="0"/>
          <w:noProof w:val="0"/>
          <w:color w:val="000000"/>
          <w:position w:val="0"/>
          <w:sz w:val="20"/>
          <w:u w:val="none"/>
          <w:vertAlign w:val="baseline"/>
        </w:rPr>
        <w:t xml:space="preserve">see </w:t>
      </w:r>
      <w:bookmarkStart w:id="10" w:name="Bookmark_I68KJNKJ2HM6VR0010000400"/>
      <w:bookmarkEnd w:id="10"/>
      <w:hyperlink r:id="rId14" w:history="1">
        <w:r>
          <w:rPr>
            <w:rFonts w:ascii="arial" w:eastAsia="arial" w:hAnsi="arial" w:cs="arial"/>
            <w:b w:val="0"/>
            <w:i/>
            <w:strike w:val="0"/>
            <w:noProof w:val="0"/>
            <w:color w:val="0077CC"/>
            <w:position w:val="0"/>
            <w:sz w:val="20"/>
            <w:u w:val="single"/>
            <w:vertAlign w:val="baseline"/>
          </w:rPr>
          <w:t>Haines v. Kerner</w:t>
        </w:r>
      </w:hyperlink>
      <w:hyperlink r:id="rId14" w:history="1">
        <w:r>
          <w:rPr>
            <w:rFonts w:ascii="arial" w:eastAsia="arial" w:hAnsi="arial" w:cs="arial"/>
            <w:b w:val="0"/>
            <w:i/>
            <w:strike w:val="0"/>
            <w:noProof w:val="0"/>
            <w:color w:val="0077CC"/>
            <w:position w:val="0"/>
            <w:sz w:val="20"/>
            <w:u w:val="single"/>
            <w:vertAlign w:val="baseline"/>
          </w:rPr>
          <w:t>, 404 U.S. 519, 520, 92 S. Ct. 594, 30 L. Ed. 2d 652 (1972)</w:t>
        </w:r>
      </w:hyperlink>
      <w:r>
        <w:rPr>
          <w:rFonts w:ascii="arial" w:eastAsia="arial" w:hAnsi="arial" w:cs="arial"/>
          <w:b w:val="0"/>
          <w:i w:val="0"/>
          <w:strike w:val="0"/>
          <w:noProof w:val="0"/>
          <w:color w:val="000000"/>
          <w:position w:val="0"/>
          <w:sz w:val="20"/>
          <w:u w:val="none"/>
          <w:vertAlign w:val="baseline"/>
        </w:rPr>
        <w:t xml:space="preserve">, and accept Plaintiff's allegations as true, unless they are clearly irrational or wholly incredible. </w:t>
      </w:r>
      <w:bookmarkStart w:id="11" w:name="Bookmark_I68KJNKJ2HM6VR0040000400_2"/>
      <w:bookmarkEnd w:id="11"/>
      <w:bookmarkStart w:id="12" w:name="Bookmark_I68KJNKJ2HM6VR0030000400"/>
      <w:bookmarkEnd w:id="12"/>
      <w:hyperlink r:id="rId15" w:history="1">
        <w:r>
          <w:rPr>
            <w:rFonts w:ascii="arial" w:eastAsia="arial" w:hAnsi="arial" w:cs="arial"/>
            <w:b w:val="0"/>
            <w:i/>
            <w:strike w:val="0"/>
            <w:noProof w:val="0"/>
            <w:color w:val="0077CC"/>
            <w:position w:val="0"/>
            <w:sz w:val="20"/>
            <w:u w:val="single"/>
            <w:vertAlign w:val="baseline"/>
          </w:rPr>
          <w:t>Denton v. Hernandez</w:t>
        </w:r>
      </w:hyperlink>
      <w:hyperlink r:id="rId15" w:history="1">
        <w:r>
          <w:rPr>
            <w:rFonts w:ascii="arial" w:eastAsia="arial" w:hAnsi="arial" w:cs="arial"/>
            <w:b w:val="0"/>
            <w:i/>
            <w:strike w:val="0"/>
            <w:noProof w:val="0"/>
            <w:color w:val="0077CC"/>
            <w:position w:val="0"/>
            <w:sz w:val="20"/>
            <w:u w:val="single"/>
            <w:vertAlign w:val="baseline"/>
          </w:rPr>
          <w:t>, 504 U.S. 25, 33, 112 S. Ct. 1728, 118 L. Ed. 2d 340 (1992)</w:t>
        </w:r>
      </w:hyperlink>
      <w:r>
        <w:rPr>
          <w:rFonts w:ascii="arial" w:eastAsia="arial" w:hAnsi="arial" w:cs="arial"/>
          <w:b w:val="0"/>
          <w:i w:val="0"/>
          <w:strike w:val="0"/>
          <w:noProof w:val="0"/>
          <w:color w:val="000000"/>
          <w:position w:val="0"/>
          <w:sz w:val="20"/>
          <w:u w:val="none"/>
          <w:vertAlign w:val="baseline"/>
        </w:rPr>
        <w:t>. Applying these standards, the Court will dismiss Plaintiff's complaint for failure to state a claim.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Discussion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Factual Allegations</w:t>
      </w:r>
    </w:p>
    <w:p>
      <w:pPr>
        <w:keepNext w:val="0"/>
        <w:spacing w:before="200" w:after="0" w:line="260" w:lineRule="atLeast"/>
        <w:ind w:left="0" w:right="0" w:firstLine="0"/>
        <w:jc w:val="both"/>
      </w:pPr>
      <w:bookmarkStart w:id="13" w:name="Bookmark_para_2"/>
      <w:bookmarkEnd w:id="13"/>
      <w:r>
        <w:rPr>
          <w:rFonts w:ascii="arial" w:eastAsia="arial" w:hAnsi="arial" w:cs="arial"/>
          <w:b w:val="0"/>
          <w:i w:val="0"/>
          <w:strike w:val="0"/>
          <w:noProof w:val="0"/>
          <w:color w:val="000000"/>
          <w:position w:val="0"/>
          <w:sz w:val="20"/>
          <w:u w:val="none"/>
          <w:vertAlign w:val="baseline"/>
        </w:rPr>
        <w:t>Plaintiff is presently incarcerated with the Michigan Department of Corrections (MDOC) at the Kinross Correctional Facility (KCF) in Kincheloe, Chippewa County, Michigan. The events about which he complains, however, occurred at the Alger Correctional Facility (LMF) in Munising, Alger County, Michigan. Plaintiff sues MDOC Director Heidi Washington, as well as the</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following LMF personnel: Warden Catherine Bauman, Prison Counselor Cullen Loman, and General Office Assistant Crystal Cota.</w:t>
      </w:r>
    </w:p>
    <w:p>
      <w:pPr>
        <w:keepNext w:val="0"/>
        <w:spacing w:before="200" w:after="0" w:line="260" w:lineRule="atLeast"/>
        <w:ind w:left="0" w:right="0" w:firstLine="0"/>
        <w:jc w:val="both"/>
      </w:pPr>
      <w:bookmarkStart w:id="14" w:name="Bookmark_para_3"/>
      <w:bookmarkEnd w:id="14"/>
      <w:bookmarkStart w:id="15" w:name="Bookmark_I68KJNKK2HM6VX0010000400"/>
      <w:bookmarkEnd w:id="15"/>
      <w:r>
        <w:rPr>
          <w:rFonts w:ascii="arial" w:eastAsia="arial" w:hAnsi="arial" w:cs="arial"/>
          <w:b w:val="0"/>
          <w:i w:val="0"/>
          <w:strike w:val="0"/>
          <w:noProof w:val="0"/>
          <w:color w:val="000000"/>
          <w:position w:val="0"/>
          <w:sz w:val="20"/>
          <w:u w:val="none"/>
          <w:vertAlign w:val="baseline"/>
        </w:rPr>
        <w:t xml:space="preserve">As relevant background to Plaintiff's present claims, Plaintiff is currently serving sentences imposed by the Washtenaw County Circuit Court following a bench trial at which Plaintiff was convicted of three counts of first-degree criminal sexual conduct (CSC-I), four counts of second-degree criminal sexual conduct, and one count of accosting a child for immoral purposes. </w:t>
      </w:r>
      <w:r>
        <w:rPr>
          <w:rFonts w:ascii="arial" w:eastAsia="arial" w:hAnsi="arial" w:cs="arial"/>
          <w:b w:val="0"/>
          <w:i/>
          <w:strike w:val="0"/>
          <w:noProof w:val="0"/>
          <w:color w:val="000000"/>
          <w:position w:val="0"/>
          <w:sz w:val="20"/>
          <w:u w:val="none"/>
          <w:vertAlign w:val="baseline"/>
        </w:rPr>
        <w:t xml:space="preserve">See </w:t>
      </w:r>
      <w:bookmarkStart w:id="16" w:name="Bookmark_I68KJNKJ2HM6VR0050000400"/>
      <w:bookmarkEnd w:id="16"/>
      <w:hyperlink r:id="rId16" w:history="1">
        <w:r>
          <w:rPr>
            <w:rFonts w:ascii="arial" w:eastAsia="arial" w:hAnsi="arial" w:cs="arial"/>
            <w:b w:val="0"/>
            <w:i/>
            <w:strike w:val="0"/>
            <w:noProof w:val="0"/>
            <w:color w:val="0077CC"/>
            <w:position w:val="0"/>
            <w:sz w:val="20"/>
            <w:u w:val="single"/>
            <w:vertAlign w:val="baseline"/>
          </w:rPr>
          <w:t>People v. Harris</w:t>
        </w:r>
      </w:hyperlink>
      <w:hyperlink r:id="rId16" w:history="1">
        <w:r>
          <w:rPr>
            <w:rFonts w:ascii="arial" w:eastAsia="arial" w:hAnsi="arial" w:cs="arial"/>
            <w:b w:val="0"/>
            <w:i/>
            <w:strike w:val="0"/>
            <w:noProof w:val="0"/>
            <w:color w:val="0077CC"/>
            <w:position w:val="0"/>
            <w:sz w:val="20"/>
            <w:u w:val="single"/>
            <w:vertAlign w:val="baseline"/>
          </w:rPr>
          <w:t>, No. 346048, 2020 Mich. App. LEXIS 430, at *1 (Mich. Ct. App. Jan. 21, 2020)</w:t>
        </w:r>
      </w:hyperlink>
      <w:r>
        <w:rPr>
          <w:rFonts w:ascii="arial" w:eastAsia="arial" w:hAnsi="arial" w:cs="arial"/>
          <w:b w:val="0"/>
          <w:i w:val="0"/>
          <w:strike w:val="0"/>
          <w:noProof w:val="0"/>
          <w:color w:val="000000"/>
          <w:position w:val="0"/>
          <w:sz w:val="20"/>
          <w:u w:val="none"/>
          <w:vertAlign w:val="baseline"/>
        </w:rPr>
        <w:t xml:space="preserve">. </w:t>
      </w:r>
      <w:bookmarkStart w:id="17" w:name="Bookmark_I68KJNKK2HM6VX0030000400"/>
      <w:bookmarkEnd w:id="17"/>
      <w:r>
        <w:rPr>
          <w:rFonts w:ascii="arial" w:eastAsia="arial" w:hAnsi="arial" w:cs="arial"/>
          <w:b w:val="0"/>
          <w:i w:val="0"/>
          <w:strike w:val="0"/>
          <w:noProof w:val="0"/>
          <w:color w:val="000000"/>
          <w:position w:val="0"/>
          <w:sz w:val="20"/>
          <w:u w:val="none"/>
          <w:vertAlign w:val="baseline"/>
        </w:rPr>
        <w:t xml:space="preserve">The Michigan Court of Appeals affirmed his convictions and sentences on January 21, 2020. </w:t>
      </w:r>
      <w:bookmarkStart w:id="18" w:name="Bookmark_I68KJNKK2HM6VX0030000400_2"/>
      <w:bookmarkEnd w:id="18"/>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The Michigan Supreme Court denied Plaintiff's application for leave to appeal on June 30, 2020. </w:t>
      </w:r>
      <w:r>
        <w:rPr>
          <w:rFonts w:ascii="arial" w:eastAsia="arial" w:hAnsi="arial" w:cs="arial"/>
          <w:b w:val="0"/>
          <w:i/>
          <w:strike w:val="0"/>
          <w:noProof w:val="0"/>
          <w:color w:val="000000"/>
          <w:position w:val="0"/>
          <w:sz w:val="20"/>
          <w:u w:val="none"/>
          <w:vertAlign w:val="baseline"/>
        </w:rPr>
        <w:t xml:space="preserve">See </w:t>
      </w:r>
      <w:bookmarkStart w:id="19" w:name="Bookmark_I68KJNKK2HM6VX0020000400"/>
      <w:bookmarkEnd w:id="19"/>
      <w:r>
        <w:rPr>
          <w:rFonts w:ascii="arial" w:eastAsia="arial" w:hAnsi="arial" w:cs="arial"/>
          <w:b w:val="0"/>
          <w:i/>
          <w:strike w:val="0"/>
          <w:noProof w:val="0"/>
          <w:color w:val="000000"/>
          <w:position w:val="0"/>
          <w:sz w:val="20"/>
          <w:u w:val="none"/>
          <w:vertAlign w:val="baseline"/>
        </w:rPr>
        <w:t>People v. Harris</w:t>
      </w:r>
      <w:r>
        <w:rPr>
          <w:rFonts w:ascii="arial" w:eastAsia="arial" w:hAnsi="arial" w:cs="arial"/>
          <w:b w:val="0"/>
          <w:i/>
          <w:strike w:val="0"/>
          <w:noProof w:val="0"/>
          <w:color w:val="000000"/>
          <w:position w:val="0"/>
          <w:sz w:val="20"/>
          <w:u w:val="none"/>
          <w:vertAlign w:val="baseline"/>
        </w:rPr>
        <w:t>, 505 Mich. 1134, 944 N.W.2d 704 (Mich. 2020)</w:t>
      </w:r>
      <w:r>
        <w:rPr>
          <w:rFonts w:ascii="arial" w:eastAsia="arial" w:hAnsi="arial" w:cs="arial"/>
          <w:b w:val="0"/>
          <w:i w:val="0"/>
          <w:strike w:val="0"/>
          <w:noProof w:val="0"/>
          <w:color w:val="000000"/>
          <w:position w:val="0"/>
          <w:sz w:val="20"/>
          <w:u w:val="none"/>
          <w:vertAlign w:val="baseline"/>
        </w:rPr>
        <w:t xml:space="preserve">. Plaintiff subsequently filed a motion for relief from judgment pursuant to Michigan Court Rule 6.500, which was denied by the trial court.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Register of Actions, Case No. 17-000296-FC, https://tcweb.ewashtenaw.org/PublicAccess/default.aspx (select "Criminal Case Records," complete the verification process, type "17-000296-FC" for "Case Number," select "Search," then select the link for Case No. 17-000296-FC) (last visited June 13, 2023). Petitioner's federal habeas corpus petition pursuant to </w:t>
      </w:r>
      <w:hyperlink r:id="rId17" w:history="1">
        <w:r>
          <w:rPr>
            <w:rFonts w:ascii="arial" w:eastAsia="arial" w:hAnsi="arial" w:cs="arial"/>
            <w:b w:val="0"/>
            <w:i/>
            <w:strike w:val="0"/>
            <w:noProof w:val="0"/>
            <w:color w:val="0077CC"/>
            <w:position w:val="0"/>
            <w:sz w:val="20"/>
            <w:u w:val="single"/>
            <w:vertAlign w:val="baseline"/>
          </w:rPr>
          <w:t>28 U.S.C. § 2254</w:t>
        </w:r>
      </w:hyperlink>
      <w:r>
        <w:rPr>
          <w:rFonts w:ascii="arial" w:eastAsia="arial" w:hAnsi="arial" w:cs="arial"/>
          <w:b w:val="0"/>
          <w:i w:val="0"/>
          <w:strike w:val="0"/>
          <w:noProof w:val="0"/>
          <w:color w:val="000000"/>
          <w:position w:val="0"/>
          <w:sz w:val="20"/>
          <w:u w:val="none"/>
          <w:vertAlign w:val="baseline"/>
        </w:rPr>
        <w:t xml:space="preserve"> is currently pending</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before this Court. </w:t>
      </w:r>
      <w:r>
        <w:rPr>
          <w:rFonts w:ascii="arial" w:eastAsia="arial" w:hAnsi="arial" w:cs="arial"/>
          <w:b w:val="0"/>
          <w:i/>
          <w:strike w:val="0"/>
          <w:noProof w:val="0"/>
          <w:color w:val="000000"/>
          <w:position w:val="0"/>
          <w:sz w:val="20"/>
          <w:u w:val="none"/>
          <w:vertAlign w:val="baseline"/>
        </w:rPr>
        <w:t>See generally Harris v. Schroeder</w:t>
      </w:r>
      <w:r>
        <w:rPr>
          <w:rFonts w:ascii="arial" w:eastAsia="arial" w:hAnsi="arial" w:cs="arial"/>
          <w:b w:val="0"/>
          <w:i w:val="0"/>
          <w:strike w:val="0"/>
          <w:noProof w:val="0"/>
          <w:color w:val="000000"/>
          <w:position w:val="0"/>
          <w:sz w:val="20"/>
          <w:u w:val="none"/>
          <w:vertAlign w:val="baseline"/>
        </w:rPr>
        <w:t>, No. 2:22-cv-126 (W.D. Mich.).</w:t>
      </w:r>
    </w:p>
    <w:p>
      <w:pPr>
        <w:keepNext w:val="0"/>
        <w:spacing w:before="200" w:after="0" w:line="260" w:lineRule="atLeast"/>
        <w:ind w:left="0" w:right="0" w:firstLine="0"/>
        <w:jc w:val="both"/>
      </w:pPr>
      <w:bookmarkStart w:id="20" w:name="Bookmark_para_4"/>
      <w:bookmarkEnd w:id="20"/>
      <w:r>
        <w:rPr>
          <w:rFonts w:ascii="arial" w:eastAsia="arial" w:hAnsi="arial" w:cs="arial"/>
          <w:b w:val="0"/>
          <w:i w:val="0"/>
          <w:strike w:val="0"/>
          <w:noProof w:val="0"/>
          <w:color w:val="000000"/>
          <w:position w:val="0"/>
          <w:sz w:val="20"/>
          <w:u w:val="none"/>
          <w:vertAlign w:val="baseline"/>
        </w:rPr>
        <w:t xml:space="preserve">Plaintiff's complaint implicates MDOC Director's Office Memorandum (DOM) 2022-23, addressing concerned incoming prisoner mail, which was issued on December 16, 2021.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DOM 2022-23, https://www.michigan.gov/-media/Project/Websites/corrections/postmigration1/DOM 010122_2022_23.pdf?rev=11b8d1360cd94016b5fe2e7399cf8641 (last accessed June 26, 2023). That DOM provided, in relevant part:</w:t>
      </w:r>
    </w:p>
    <w:p>
      <w:pPr>
        <w:keepNext w:val="0"/>
        <w:spacing w:before="200" w:after="0" w:line="260" w:lineRule="atLeast"/>
        <w:ind w:left="400" w:right="0" w:firstLine="0"/>
        <w:jc w:val="both"/>
      </w:pPr>
      <w:bookmarkStart w:id="21" w:name="Bookmark_para_5"/>
      <w:bookmarkEnd w:id="21"/>
      <w:r>
        <w:rPr>
          <w:rFonts w:ascii="arial" w:eastAsia="arial" w:hAnsi="arial" w:cs="arial"/>
          <w:b w:val="0"/>
          <w:i w:val="0"/>
          <w:strike w:val="0"/>
          <w:noProof w:val="0"/>
          <w:color w:val="000000"/>
          <w:position w:val="0"/>
          <w:sz w:val="20"/>
          <w:u w:val="none"/>
          <w:vertAlign w:val="baseline"/>
        </w:rPr>
        <w:t>Mail room staff shall continue to search incoming mail as set forth in PD 05.03.118 "Prisoner Mail." Any incoming mail that does not require special handling, including photographs, that staff determine a prisoner may receive shall be photocopied and the photocopies placed in an envelope purchased by the Prisoner Benefit Fund (PBF). After the mail has been photocopied, mail room staff shall ensure all of the pages are accounted for and each photocopied page is clear and legible. Prisoners shall notify staff immediately if the mail they received is not legible or they believe it to be incomplete. Staff shall then review the mail to confirm that the mail the prisoner received is clear, legible, and complete. Staff shall only</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photocopy the mail again if the mail is unclear, illegible, or incomplete. The front of the envelope the mail came in shall also be photocopied and placed in the envelope, so the prisoner has the return address of the sender. After the original mail and envelope has been photocopied, it shall be retained for 14 calendar days. After 14 calendar days, the original mail and original envelope shall be placed in a locked bin for shredding or immediately shredded by staff if the locked bin is unavailable. Original vital documents that are mailed to a facility shall not be shredded and shall be forwarded to the Records Office. Original photographs that are mailed to a prisoner may be returned to the sender at the prisoner's expense after they are photocopied. Funds shall not be loaned for this purpose. The prisoner shall notify mail room staff within 14 calendar days of receipt of the photograph if they want to return the original photograph to the sender. Since prisoners are only receiving photocopies of incoming mail, mail room staff shall no longer reject mail that prevents an effective search as set forth in Paragraph OO of PD 05.03.118.</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DOM 2022-23 has since been superseded by</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DOM 2023-18R3, a copy of which Plaintiff has attached to his complaint. (ECF No. 1-5.) DOM 2023-18R3 contains the same language set forth above that was included in DOM 2022-23.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PageID.36.)</w:t>
      </w:r>
    </w:p>
    <w:p>
      <w:pPr>
        <w:keepNext w:val="0"/>
        <w:spacing w:before="200" w:after="0" w:line="260" w:lineRule="atLeast"/>
        <w:ind w:left="0" w:right="0" w:firstLine="0"/>
        <w:jc w:val="both"/>
      </w:pPr>
      <w:bookmarkStart w:id="22" w:name="Bookmark_para_6"/>
      <w:bookmarkEnd w:id="22"/>
      <w:r>
        <w:rPr>
          <w:rFonts w:ascii="arial" w:eastAsia="arial" w:hAnsi="arial" w:cs="arial"/>
          <w:b w:val="0"/>
          <w:i w:val="0"/>
          <w:strike w:val="0"/>
          <w:noProof w:val="0"/>
          <w:color w:val="000000"/>
          <w:position w:val="0"/>
          <w:sz w:val="20"/>
          <w:u w:val="none"/>
          <w:vertAlign w:val="baseline"/>
        </w:rPr>
        <w:t>In his complaint, Plaintiff alleges that on July 25, 2022, Defendant Cota "received an original, sworn[,] and notarized affidavit" addressed to Plaintiff. (ECF No. 1, PageID.9.) Defendant Cota photocopied the affidavit and provided the photocopy to Plaintiff.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Plaintiff has attached a copy of the affidavit in question to his complaint. (ECF No. 1-6, PageID.40.) That affidavit was prepared by Ro'Quan Tyler and alleges that Tyler did not see Plaintiff "sexual[ly] abuse his daughter or make his daughter touch him inappropriately."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Tyler states that he is only just now coming forward because he "was younger and his mother did not want him to get involved in any court proceedings or have any police contact because [he] was on probation" at the time.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3" w:name="Bookmark_para_7"/>
      <w:bookmarkEnd w:id="23"/>
      <w:r>
        <w:rPr>
          <w:rFonts w:ascii="arial" w:eastAsia="arial" w:hAnsi="arial" w:cs="arial"/>
          <w:b w:val="0"/>
          <w:i w:val="0"/>
          <w:strike w:val="0"/>
          <w:noProof w:val="0"/>
          <w:color w:val="000000"/>
          <w:position w:val="0"/>
          <w:sz w:val="20"/>
          <w:u w:val="none"/>
          <w:vertAlign w:val="baseline"/>
        </w:rPr>
        <w:t>Plaintiff recognized that the affidavit "directly related to the criminal charges for which he stands incarcerated" and "was prompted to [inquire] after the preservation of the original." (ECF No. 1, PageID.9.) Plaintiff claims that pursuant</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to DOM 2022-23, Defendant Cota "was duty bound to maintain possession of the original document."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On July 28, 2022, Plaintiff prepared a pre-addressed envelope and a written request directed to the mail room, asking that he "be permitted to preserve the original affidavit which embodies evidence which could exonerate" him.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Plaintiff gave the envelope and request to Defendant Loman, who took them to Defendant Cota.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4" w:name="Bookmark_para_8"/>
      <w:bookmarkEnd w:id="24"/>
      <w:r>
        <w:rPr>
          <w:rFonts w:ascii="arial" w:eastAsia="arial" w:hAnsi="arial" w:cs="arial"/>
          <w:b w:val="0"/>
          <w:i w:val="0"/>
          <w:strike w:val="0"/>
          <w:noProof w:val="0"/>
          <w:color w:val="000000"/>
          <w:position w:val="0"/>
          <w:sz w:val="20"/>
          <w:u w:val="none"/>
          <w:vertAlign w:val="baseline"/>
        </w:rPr>
        <w:t>Plaintiff later learned from Defendant Loman that Defendant Cota "failed to comply with the 14[-]day retention period of original incoming mail documents as she informed Defendant Loman that the original affidavit was destroyed, lost, or misplaced, as it could not be found anywhere in the secured mailroom."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PageID.9-10.) Plaintiff filed a grievance, asserting that the destruction of the original document "was in violation of regulations."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PageID.10.) Defendant Loman rejected his grievance, stating that "[m]ailroom staff are not under any obligation to [preserve the original document] unless the item is an original photograph or a vital document."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PageID.11.) Plaintiff contends that Defendant Loman "misdirected the grievance process by providing</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a manufactured response aimed at convoluting the issue grieved."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PageID.12.) Plaintiff contends further that Defendant Bauman failed to correct the issue in her Step II grievance response.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PageID.13-14.) Finally, Plaintiff faults Defendant Washington for failing to correct the transgression and for "creat[ing] a department[-]wide community of staff who refuse to follow the very policy directives the office of the director created."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PageID.14.)</w:t>
      </w:r>
    </w:p>
    <w:p>
      <w:pPr>
        <w:keepNext w:val="0"/>
        <w:spacing w:before="200" w:after="0" w:line="260" w:lineRule="atLeast"/>
        <w:ind w:left="0" w:right="0" w:firstLine="0"/>
        <w:jc w:val="both"/>
      </w:pPr>
      <w:bookmarkStart w:id="25" w:name="Bookmark_para_9"/>
      <w:bookmarkEnd w:id="25"/>
      <w:r>
        <w:rPr>
          <w:rFonts w:ascii="arial" w:eastAsia="arial" w:hAnsi="arial" w:cs="arial"/>
          <w:b w:val="0"/>
          <w:i w:val="0"/>
          <w:strike w:val="0"/>
          <w:noProof w:val="0"/>
          <w:color w:val="000000"/>
          <w:position w:val="0"/>
          <w:sz w:val="20"/>
          <w:u w:val="none"/>
          <w:vertAlign w:val="baseline"/>
        </w:rPr>
        <w:t xml:space="preserve">Based upon the foregoing, Plaintiff asserts violations of his </w:t>
      </w:r>
      <w:hyperlink r:id="rId18"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right to access the courts, as well as violations of various MDOC Policy Directives. The Court also construes Plaintiff's complaint to assert a </w:t>
      </w:r>
      <w:hyperlink r:id="rId18"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claim related to inference with his incoming mail, and constitutional violations premised upon the handling of and responses to his grievances. Finally, Plaintiff seeks a "declaratory ruling as to the legitimacy of [DOM] 2022-23."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PageID.15.) According to Plaintiff, this DOM "is an unconstitutional overreaching department [regulation] without a shred of penological justification."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Plaintiff appears to suggest that DOM 2022-23 violates the </w:t>
      </w:r>
      <w:hyperlink r:id="rId18"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In addition to that declaratory relief, Plaintiff requests that Defendants</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be enjoyed from enforcing the provision of DOM 2022-23 that prohibits prisoners "from sending out an original legal document."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PageID.18.) He also seeks compensatory and punitive damages.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PageID.18-19.)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Failure to State a Claim</w:t>
      </w:r>
    </w:p>
    <w:p>
      <w:pPr>
        <w:keepNext w:val="0"/>
        <w:spacing w:before="240" w:after="0" w:line="260" w:lineRule="atLeast"/>
        <w:ind w:left="0" w:right="0" w:firstLine="0"/>
        <w:jc w:val="both"/>
      </w:pPr>
      <w:bookmarkStart w:id="26" w:name="Bookmark_para_10"/>
      <w:bookmarkEnd w:id="26"/>
      <w:bookmarkStart w:id="27" w:name="Bookmark_I68KJNKK2HM6VX0050000400"/>
      <w:bookmarkEnd w:id="27"/>
      <w:bookmarkStart w:id="28" w:name="Bookmark_I68KJNKK2SF88D0040000400"/>
      <w:bookmarkEnd w:id="28"/>
      <w:r>
        <w:rPr>
          <w:rFonts w:ascii="arial" w:eastAsia="arial" w:hAnsi="arial" w:cs="arial"/>
          <w:b w:val="0"/>
          <w:i w:val="0"/>
          <w:strike w:val="0"/>
          <w:noProof w:val="0"/>
          <w:color w:val="000000"/>
          <w:position w:val="0"/>
          <w:sz w:val="20"/>
          <w:u w:val="none"/>
          <w:vertAlign w:val="baseline"/>
        </w:rPr>
        <w:t xml:space="preserve">A complaint may be dismissed for failure to state a claim if it fails "to give the defendant fair notice of what the . . . claim is and the grounds upon which it rests." </w:t>
      </w:r>
      <w:bookmarkStart w:id="29" w:name="Bookmark_I68KJNKK2HM6VX0040000400"/>
      <w:bookmarkEnd w:id="29"/>
      <w:hyperlink r:id="rId19" w:history="1">
        <w:r>
          <w:rPr>
            <w:rFonts w:ascii="arial" w:eastAsia="arial" w:hAnsi="arial" w:cs="arial"/>
            <w:b w:val="0"/>
            <w:i/>
            <w:strike w:val="0"/>
            <w:noProof w:val="0"/>
            <w:color w:val="0077CC"/>
            <w:position w:val="0"/>
            <w:sz w:val="20"/>
            <w:u w:val="single"/>
            <w:vertAlign w:val="baseline"/>
          </w:rPr>
          <w:t>Bell Atl. Corp. v. Twombly</w:t>
        </w:r>
      </w:hyperlink>
      <w:hyperlink r:id="rId19" w:history="1">
        <w:r>
          <w:rPr>
            <w:rFonts w:ascii="arial" w:eastAsia="arial" w:hAnsi="arial" w:cs="arial"/>
            <w:b w:val="0"/>
            <w:i/>
            <w:strike w:val="0"/>
            <w:noProof w:val="0"/>
            <w:color w:val="0077CC"/>
            <w:position w:val="0"/>
            <w:sz w:val="20"/>
            <w:u w:val="single"/>
            <w:vertAlign w:val="baseline"/>
          </w:rPr>
          <w:t>, 550 U.S. 544, 555, 127 S. Ct. 1955, 167 L. Ed. 2d 929 (2007)</w:t>
        </w:r>
      </w:hyperlink>
      <w:r>
        <w:rPr>
          <w:rFonts w:ascii="arial" w:eastAsia="arial" w:hAnsi="arial" w:cs="arial"/>
          <w:b w:val="0"/>
          <w:i w:val="0"/>
          <w:strike w:val="0"/>
          <w:noProof w:val="0"/>
          <w:color w:val="000000"/>
          <w:position w:val="0"/>
          <w:sz w:val="20"/>
          <w:u w:val="none"/>
          <w:vertAlign w:val="baseline"/>
        </w:rPr>
        <w:t xml:space="preserve"> (quoting </w:t>
      </w:r>
      <w:bookmarkStart w:id="30" w:name="Bookmark_I68KJNKK2SF88D0010000400"/>
      <w:bookmarkEnd w:id="30"/>
      <w:hyperlink r:id="rId20" w:history="1">
        <w:r>
          <w:rPr>
            <w:rFonts w:ascii="arial" w:eastAsia="arial" w:hAnsi="arial" w:cs="arial"/>
            <w:b w:val="0"/>
            <w:i/>
            <w:strike w:val="0"/>
            <w:noProof w:val="0"/>
            <w:color w:val="0077CC"/>
            <w:position w:val="0"/>
            <w:sz w:val="20"/>
            <w:u w:val="single"/>
            <w:vertAlign w:val="baseline"/>
          </w:rPr>
          <w:t>Conley v. Gibson</w:t>
        </w:r>
      </w:hyperlink>
      <w:hyperlink r:id="rId20" w:history="1">
        <w:r>
          <w:rPr>
            <w:rFonts w:ascii="arial" w:eastAsia="arial" w:hAnsi="arial" w:cs="arial"/>
            <w:b w:val="0"/>
            <w:i/>
            <w:strike w:val="0"/>
            <w:noProof w:val="0"/>
            <w:color w:val="0077CC"/>
            <w:position w:val="0"/>
            <w:sz w:val="20"/>
            <w:u w:val="single"/>
            <w:vertAlign w:val="baseline"/>
          </w:rPr>
          <w:t>, 355 U.S. 41, 47, 78 S. Ct. 99, 2 L. Ed. 2d 80 (1957)</w:t>
        </w:r>
      </w:hyperlink>
      <w:r>
        <w:rPr>
          <w:rFonts w:ascii="arial" w:eastAsia="arial" w:hAnsi="arial" w:cs="arial"/>
          <w:b w:val="0"/>
          <w:i w:val="0"/>
          <w:strike w:val="0"/>
          <w:noProof w:val="0"/>
          <w:color w:val="000000"/>
          <w:position w:val="0"/>
          <w:sz w:val="20"/>
          <w:u w:val="none"/>
          <w:vertAlign w:val="baseline"/>
        </w:rPr>
        <w:t xml:space="preserve">). </w:t>
      </w:r>
      <w:bookmarkStart w:id="31" w:name="Bookmark_I68KJNKM28T4DM0010000400"/>
      <w:bookmarkEnd w:id="31"/>
      <w:r>
        <w:rPr>
          <w:rFonts w:ascii="arial" w:eastAsia="arial" w:hAnsi="arial" w:cs="arial"/>
          <w:b w:val="0"/>
          <w:i w:val="0"/>
          <w:strike w:val="0"/>
          <w:noProof w:val="0"/>
          <w:color w:val="000000"/>
          <w:position w:val="0"/>
          <w:sz w:val="20"/>
          <w:u w:val="none"/>
          <w:vertAlign w:val="baseline"/>
        </w:rPr>
        <w:t xml:space="preserve">While a complaint need not contain detailed factual allegations, a plaintiff's allegations must include more than labels and conclusions. </w:t>
      </w:r>
      <w:bookmarkStart w:id="32" w:name="Bookmark_I68KJNKM28T4DM0030000400"/>
      <w:bookmarkEnd w:id="32"/>
      <w:r>
        <w:rPr>
          <w:rFonts w:ascii="arial" w:eastAsia="arial" w:hAnsi="arial" w:cs="arial"/>
          <w:b w:val="0"/>
          <w:i/>
          <w:strike w:val="0"/>
          <w:noProof w:val="0"/>
          <w:color w:val="000000"/>
          <w:position w:val="0"/>
          <w:sz w:val="20"/>
          <w:u w:val="none"/>
          <w:vertAlign w:val="baseline"/>
        </w:rPr>
        <w:t xml:space="preserve">Id.; </w:t>
      </w:r>
      <w:bookmarkStart w:id="33" w:name="Bookmark_I68KJNKK2SF88D0030000400"/>
      <w:bookmarkEnd w:id="33"/>
      <w:hyperlink r:id="rId21" w:history="1">
        <w:r>
          <w:rPr>
            <w:rFonts w:ascii="arial" w:eastAsia="arial" w:hAnsi="arial" w:cs="arial"/>
            <w:b w:val="0"/>
            <w:i/>
            <w:strike w:val="0"/>
            <w:noProof w:val="0"/>
            <w:color w:val="0077CC"/>
            <w:position w:val="0"/>
            <w:sz w:val="20"/>
            <w:u w:val="single"/>
            <w:vertAlign w:val="baseline"/>
          </w:rPr>
          <w:t>Ashcroft v. Iqbal</w:t>
        </w:r>
      </w:hyperlink>
      <w:hyperlink r:id="rId21" w:history="1">
        <w:r>
          <w:rPr>
            <w:rFonts w:ascii="arial" w:eastAsia="arial" w:hAnsi="arial" w:cs="arial"/>
            <w:b w:val="0"/>
            <w:i/>
            <w:strike w:val="0"/>
            <w:noProof w:val="0"/>
            <w:color w:val="0077CC"/>
            <w:position w:val="0"/>
            <w:sz w:val="20"/>
            <w:u w:val="single"/>
            <w:vertAlign w:val="baseline"/>
          </w:rPr>
          <w:t>, 556 U.S. 662, 678, 129 S. Ct. 1937, 173 L. Ed. 2d 868 (2009)</w:t>
        </w:r>
      </w:hyperlink>
      <w:r>
        <w:rPr>
          <w:rFonts w:ascii="arial" w:eastAsia="arial" w:hAnsi="arial" w:cs="arial"/>
          <w:b w:val="0"/>
          <w:i w:val="0"/>
          <w:strike w:val="0"/>
          <w:noProof w:val="0"/>
          <w:color w:val="000000"/>
          <w:position w:val="0"/>
          <w:sz w:val="20"/>
          <w:u w:val="none"/>
          <w:vertAlign w:val="baseline"/>
        </w:rPr>
        <w:t xml:space="preserve"> ("Threadbare recitals of the elements of a cause of action, supported by mere conclusory statements, do not suffice."). </w:t>
      </w:r>
      <w:bookmarkStart w:id="34" w:name="Bookmark_I68KJNKM28T4DM0030000400_2"/>
      <w:bookmarkEnd w:id="34"/>
      <w:bookmarkStart w:id="35" w:name="Bookmark_I68KJNKM28T4DM0010000400_2"/>
      <w:bookmarkEnd w:id="35"/>
      <w:bookmarkStart w:id="36" w:name="Bookmark_I68KJNKM28T4DM0050000400"/>
      <w:bookmarkEnd w:id="36"/>
      <w:r>
        <w:rPr>
          <w:rFonts w:ascii="arial" w:eastAsia="arial" w:hAnsi="arial" w:cs="arial"/>
          <w:b w:val="0"/>
          <w:i w:val="0"/>
          <w:strike w:val="0"/>
          <w:noProof w:val="0"/>
          <w:color w:val="000000"/>
          <w:position w:val="0"/>
          <w:sz w:val="20"/>
          <w:u w:val="none"/>
          <w:vertAlign w:val="baseline"/>
        </w:rPr>
        <w:t xml:space="preserve">The court must determine whether the complaint contains "enough facts to state a claim to relief that is plausible on its face." </w:t>
      </w:r>
      <w:bookmarkStart w:id="37" w:name="Bookmark_I68KJNKK2SF88D0050000400"/>
      <w:bookmarkEnd w:id="37"/>
      <w:hyperlink r:id="rId19" w:history="1">
        <w:r>
          <w:rPr>
            <w:rFonts w:ascii="arial" w:eastAsia="arial" w:hAnsi="arial" w:cs="arial"/>
            <w:b w:val="0"/>
            <w:i/>
            <w:strike w:val="0"/>
            <w:noProof w:val="0"/>
            <w:color w:val="0077CC"/>
            <w:position w:val="0"/>
            <w:sz w:val="20"/>
            <w:u w:val="single"/>
            <w:vertAlign w:val="baseline"/>
          </w:rPr>
          <w:t>Twombly</w:t>
        </w:r>
      </w:hyperlink>
      <w:hyperlink r:id="rId19" w:history="1">
        <w:r>
          <w:rPr>
            <w:rFonts w:ascii="arial" w:eastAsia="arial" w:hAnsi="arial" w:cs="arial"/>
            <w:b w:val="0"/>
            <w:i/>
            <w:strike w:val="0"/>
            <w:noProof w:val="0"/>
            <w:color w:val="0077CC"/>
            <w:position w:val="0"/>
            <w:sz w:val="20"/>
            <w:u w:val="single"/>
            <w:vertAlign w:val="baseline"/>
          </w:rPr>
          <w:t>, 550 U.S. at 570</w:t>
        </w:r>
      </w:hyperlink>
      <w:r>
        <w:rPr>
          <w:rFonts w:ascii="arial" w:eastAsia="arial" w:hAnsi="arial" w:cs="arial"/>
          <w:b w:val="0"/>
          <w:i w:val="0"/>
          <w:strike w:val="0"/>
          <w:noProof w:val="0"/>
          <w:color w:val="000000"/>
          <w:position w:val="0"/>
          <w:sz w:val="20"/>
          <w:u w:val="none"/>
          <w:vertAlign w:val="baseline"/>
        </w:rPr>
        <w:t xml:space="preserve">. </w:t>
      </w:r>
      <w:bookmarkStart w:id="38" w:name="Bookmark_I68KJNKM28T4DM0050000400_2"/>
      <w:bookmarkEnd w:id="38"/>
      <w:bookmarkStart w:id="39" w:name="Bookmark_I68KJNKM2HM6W60040000400"/>
      <w:bookmarkEnd w:id="39"/>
      <w:r>
        <w:rPr>
          <w:rFonts w:ascii="arial" w:eastAsia="arial" w:hAnsi="arial" w:cs="arial"/>
          <w:b w:val="0"/>
          <w:i w:val="0"/>
          <w:strike w:val="0"/>
          <w:noProof w:val="0"/>
          <w:color w:val="000000"/>
          <w:position w:val="0"/>
          <w:sz w:val="20"/>
          <w:u w:val="none"/>
          <w:vertAlign w:val="baseline"/>
        </w:rPr>
        <w:t xml:space="preserve">"A claim has facial plausibility when the plaintiff pleads factual content that allows the court to draw the reasonable inference that the defendant is liable for the misconduct alleged." </w:t>
      </w:r>
      <w:bookmarkStart w:id="40" w:name="Bookmark_I68KJNKM28T4DM0020000400"/>
      <w:bookmarkEnd w:id="40"/>
      <w:hyperlink r:id="rId21" w:history="1">
        <w:r>
          <w:rPr>
            <w:rFonts w:ascii="arial" w:eastAsia="arial" w:hAnsi="arial" w:cs="arial"/>
            <w:b w:val="0"/>
            <w:i/>
            <w:strike w:val="0"/>
            <w:noProof w:val="0"/>
            <w:color w:val="0077CC"/>
            <w:position w:val="0"/>
            <w:sz w:val="20"/>
            <w:u w:val="single"/>
            <w:vertAlign w:val="baseline"/>
          </w:rPr>
          <w:t>Iqbal</w:t>
        </w:r>
      </w:hyperlink>
      <w:hyperlink r:id="rId21" w:history="1">
        <w:r>
          <w:rPr>
            <w:rFonts w:ascii="arial" w:eastAsia="arial" w:hAnsi="arial" w:cs="arial"/>
            <w:b w:val="0"/>
            <w:i/>
            <w:strike w:val="0"/>
            <w:noProof w:val="0"/>
            <w:color w:val="0077CC"/>
            <w:position w:val="0"/>
            <w:sz w:val="20"/>
            <w:u w:val="single"/>
            <w:vertAlign w:val="baseline"/>
          </w:rPr>
          <w:t>, 556 U.S. at 679</w:t>
        </w:r>
      </w:hyperlink>
      <w:r>
        <w:rPr>
          <w:rFonts w:ascii="arial" w:eastAsia="arial" w:hAnsi="arial" w:cs="arial"/>
          <w:b w:val="0"/>
          <w:i w:val="0"/>
          <w:strike w:val="0"/>
          <w:noProof w:val="0"/>
          <w:color w:val="000000"/>
          <w:position w:val="0"/>
          <w:sz w:val="20"/>
          <w:u w:val="none"/>
          <w:vertAlign w:val="baseline"/>
        </w:rPr>
        <w:t xml:space="preserve">. </w:t>
      </w:r>
      <w:bookmarkStart w:id="41" w:name="Bookmark_I68KJNKM2HM6W60040000400_2"/>
      <w:bookmarkEnd w:id="41"/>
      <w:bookmarkStart w:id="42" w:name="Bookmark_I68KJNKM28T4DM0050000400_3"/>
      <w:bookmarkEnd w:id="42"/>
      <w:r>
        <w:rPr>
          <w:rFonts w:ascii="arial" w:eastAsia="arial" w:hAnsi="arial" w:cs="arial"/>
          <w:b w:val="0"/>
          <w:i w:val="0"/>
          <w:strike w:val="0"/>
          <w:noProof w:val="0"/>
          <w:color w:val="000000"/>
          <w:position w:val="0"/>
          <w:sz w:val="20"/>
          <w:u w:val="none"/>
          <w:vertAlign w:val="baseline"/>
        </w:rPr>
        <w:t xml:space="preserve">Although the plausibility standard is not equivalent to a "'probability requirement,' . . . it asks for more than a sheer possibility that a defendant has acted unlawfully." </w:t>
      </w:r>
      <w:bookmarkStart w:id="43" w:name="Bookmark_I68KJNKM28T4DM0040000400"/>
      <w:bookmarkEnd w:id="43"/>
      <w:hyperlink r:id="rId21" w:history="1">
        <w:r>
          <w:rPr>
            <w:rFonts w:ascii="arial" w:eastAsia="arial" w:hAnsi="arial" w:cs="arial"/>
            <w:b w:val="0"/>
            <w:i/>
            <w:strike w:val="0"/>
            <w:noProof w:val="0"/>
            <w:color w:val="0077CC"/>
            <w:position w:val="0"/>
            <w:sz w:val="20"/>
            <w:u w:val="single"/>
            <w:vertAlign w:val="baseline"/>
          </w:rPr>
          <w:t>Id.</w:t>
        </w:r>
      </w:hyperlink>
      <w:hyperlink r:id="rId21" w:history="1">
        <w:r>
          <w:rPr>
            <w:rFonts w:ascii="arial" w:eastAsia="arial" w:hAnsi="arial" w:cs="arial"/>
            <w:b w:val="0"/>
            <w:i/>
            <w:strike w:val="0"/>
            <w:noProof w:val="0"/>
            <w:color w:val="0077CC"/>
            <w:position w:val="0"/>
            <w:sz w:val="20"/>
            <w:u w:val="single"/>
            <w:vertAlign w:val="baseline"/>
          </w:rPr>
          <w:t xml:space="preserve"> at 678</w:t>
        </w:r>
      </w:hyperlink>
      <w:r>
        <w:rPr>
          <w:rFonts w:ascii="arial" w:eastAsia="arial" w:hAnsi="arial" w:cs="arial"/>
          <w:b w:val="0"/>
          <w:i w:val="0"/>
          <w:strike w:val="0"/>
          <w:noProof w:val="0"/>
          <w:color w:val="000000"/>
          <w:position w:val="0"/>
          <w:sz w:val="20"/>
          <w:u w:val="none"/>
          <w:vertAlign w:val="baseline"/>
        </w:rPr>
        <w:t xml:space="preserve"> (quoting </w:t>
      </w:r>
      <w:bookmarkStart w:id="44" w:name="Bookmark_I68KJNKM2HM6W60010000400"/>
      <w:bookmarkEnd w:id="44"/>
      <w:hyperlink r:id="rId19" w:history="1">
        <w:r>
          <w:rPr>
            <w:rFonts w:ascii="arial" w:eastAsia="arial" w:hAnsi="arial" w:cs="arial"/>
            <w:b w:val="0"/>
            <w:i/>
            <w:strike w:val="0"/>
            <w:noProof w:val="0"/>
            <w:color w:val="0077CC"/>
            <w:position w:val="0"/>
            <w:sz w:val="20"/>
            <w:u w:val="single"/>
            <w:vertAlign w:val="baseline"/>
          </w:rPr>
          <w:t>Twombly</w:t>
        </w:r>
      </w:hyperlink>
      <w:hyperlink r:id="rId19" w:history="1">
        <w:r>
          <w:rPr>
            <w:rFonts w:ascii="arial" w:eastAsia="arial" w:hAnsi="arial" w:cs="arial"/>
            <w:b w:val="0"/>
            <w:i/>
            <w:strike w:val="0"/>
            <w:noProof w:val="0"/>
            <w:color w:val="0077CC"/>
            <w:position w:val="0"/>
            <w:sz w:val="20"/>
            <w:u w:val="single"/>
            <w:vertAlign w:val="baseline"/>
          </w:rPr>
          <w:t>, 550 U.S. at 556</w:t>
        </w:r>
      </w:hyperlink>
      <w:r>
        <w:rPr>
          <w:rFonts w:ascii="arial" w:eastAsia="arial" w:hAnsi="arial" w:cs="arial"/>
          <w:b w:val="0"/>
          <w:i w:val="0"/>
          <w:strike w:val="0"/>
          <w:noProof w:val="0"/>
          <w:color w:val="000000"/>
          <w:position w:val="0"/>
          <w:sz w:val="20"/>
          <w:u w:val="none"/>
          <w:vertAlign w:val="baseline"/>
        </w:rPr>
        <w:t>). "[W]here</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the well-pleaded facts do not permit the court to infer more than the mere possibility of misconduct, the complaint has alleged—but it has not 'show[n]'—that the pleader is entitled to relief." </w:t>
      </w:r>
      <w:bookmarkStart w:id="45" w:name="Bookmark_I68KJNKM2HM6W60030000400"/>
      <w:bookmarkEnd w:id="45"/>
      <w:hyperlink r:id="rId21" w:history="1">
        <w:r>
          <w:rPr>
            <w:rFonts w:ascii="arial" w:eastAsia="arial" w:hAnsi="arial" w:cs="arial"/>
            <w:b w:val="0"/>
            <w:i/>
            <w:strike w:val="0"/>
            <w:noProof w:val="0"/>
            <w:color w:val="0077CC"/>
            <w:position w:val="0"/>
            <w:sz w:val="20"/>
            <w:u w:val="single"/>
            <w:vertAlign w:val="baseline"/>
          </w:rPr>
          <w:t>Id.</w:t>
        </w:r>
      </w:hyperlink>
      <w:hyperlink r:id="rId21" w:history="1">
        <w:r>
          <w:rPr>
            <w:rFonts w:ascii="arial" w:eastAsia="arial" w:hAnsi="arial" w:cs="arial"/>
            <w:b w:val="0"/>
            <w:i/>
            <w:strike w:val="0"/>
            <w:noProof w:val="0"/>
            <w:color w:val="0077CC"/>
            <w:position w:val="0"/>
            <w:sz w:val="20"/>
            <w:u w:val="single"/>
            <w:vertAlign w:val="baseline"/>
          </w:rPr>
          <w:t xml:space="preserve"> at 679</w:t>
        </w:r>
      </w:hyperlink>
      <w:r>
        <w:rPr>
          <w:rFonts w:ascii="arial" w:eastAsia="arial" w:hAnsi="arial" w:cs="arial"/>
          <w:b w:val="0"/>
          <w:i w:val="0"/>
          <w:strike w:val="0"/>
          <w:noProof w:val="0"/>
          <w:color w:val="000000"/>
          <w:position w:val="0"/>
          <w:sz w:val="20"/>
          <w:u w:val="none"/>
          <w:vertAlign w:val="baseline"/>
        </w:rPr>
        <w:t xml:space="preserve"> (quoting </w:t>
      </w:r>
      <w:hyperlink r:id="rId22" w:history="1">
        <w:r>
          <w:rPr>
            <w:rFonts w:ascii="arial" w:eastAsia="arial" w:hAnsi="arial" w:cs="arial"/>
            <w:b w:val="0"/>
            <w:i/>
            <w:strike w:val="0"/>
            <w:noProof w:val="0"/>
            <w:color w:val="0077CC"/>
            <w:position w:val="0"/>
            <w:sz w:val="20"/>
            <w:u w:val="single"/>
            <w:vertAlign w:val="baseline"/>
          </w:rPr>
          <w:t>Fed. R. Civ. P. 8(a)(2)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46" w:name="Bookmark_I68KJNKM2HM6W60050000400"/>
      <w:bookmarkEnd w:id="46"/>
      <w:hyperlink r:id="rId23" w:history="1">
        <w:r>
          <w:rPr>
            <w:rFonts w:ascii="arial" w:eastAsia="arial" w:hAnsi="arial" w:cs="arial"/>
            <w:b w:val="0"/>
            <w:i/>
            <w:strike w:val="0"/>
            <w:noProof w:val="0"/>
            <w:color w:val="0077CC"/>
            <w:position w:val="0"/>
            <w:sz w:val="20"/>
            <w:u w:val="single"/>
            <w:vertAlign w:val="baseline"/>
          </w:rPr>
          <w:t>Hill v. Lappin</w:t>
        </w:r>
      </w:hyperlink>
      <w:hyperlink r:id="rId23" w:history="1">
        <w:r>
          <w:rPr>
            <w:rFonts w:ascii="arial" w:eastAsia="arial" w:hAnsi="arial" w:cs="arial"/>
            <w:b w:val="0"/>
            <w:i/>
            <w:strike w:val="0"/>
            <w:noProof w:val="0"/>
            <w:color w:val="0077CC"/>
            <w:position w:val="0"/>
            <w:sz w:val="20"/>
            <w:u w:val="single"/>
            <w:vertAlign w:val="baseline"/>
          </w:rPr>
          <w:t>, 630 F.3d 468, 470-71 (6th Cir. 2010)</w:t>
        </w:r>
      </w:hyperlink>
      <w:r>
        <w:rPr>
          <w:rFonts w:ascii="arial" w:eastAsia="arial" w:hAnsi="arial" w:cs="arial"/>
          <w:b w:val="0"/>
          <w:i w:val="0"/>
          <w:strike w:val="0"/>
          <w:noProof w:val="0"/>
          <w:color w:val="000000"/>
          <w:position w:val="0"/>
          <w:sz w:val="20"/>
          <w:u w:val="none"/>
          <w:vertAlign w:val="baseline"/>
        </w:rPr>
        <w:t xml:space="preserve"> (holding that the </w:t>
      </w:r>
      <w:r>
        <w:rPr>
          <w:rFonts w:ascii="arial" w:eastAsia="arial" w:hAnsi="arial" w:cs="arial"/>
          <w:b w:val="0"/>
          <w:i/>
          <w:strike w:val="0"/>
          <w:noProof w:val="0"/>
          <w:color w:val="000000"/>
          <w:position w:val="0"/>
          <w:sz w:val="20"/>
          <w:u w:val="none"/>
          <w:vertAlign w:val="baseline"/>
        </w:rPr>
        <w:t>Twombly/Iqbal</w:t>
      </w:r>
      <w:r>
        <w:rPr>
          <w:rFonts w:ascii="arial" w:eastAsia="arial" w:hAnsi="arial" w:cs="arial"/>
          <w:b w:val="0"/>
          <w:i w:val="0"/>
          <w:strike w:val="0"/>
          <w:noProof w:val="0"/>
          <w:color w:val="000000"/>
          <w:position w:val="0"/>
          <w:sz w:val="20"/>
          <w:u w:val="none"/>
          <w:vertAlign w:val="baseline"/>
        </w:rPr>
        <w:t xml:space="preserve"> plausibility standard applies to dismissals of prisoner cases on initial review under </w:t>
      </w:r>
      <w:hyperlink r:id="rId12" w:history="1">
        <w:r>
          <w:rPr>
            <w:rFonts w:ascii="arial" w:eastAsia="arial" w:hAnsi="arial" w:cs="arial"/>
            <w:b w:val="0"/>
            <w:i/>
            <w:strike w:val="0"/>
            <w:noProof w:val="0"/>
            <w:color w:val="0077CC"/>
            <w:position w:val="0"/>
            <w:sz w:val="20"/>
            <w:u w:val="single"/>
            <w:vertAlign w:val="baseline"/>
          </w:rPr>
          <w:t>28 U.S.C. §§ 1915A(b)(1)</w:t>
        </w:r>
      </w:hyperlink>
      <w:r>
        <w:rPr>
          <w:rFonts w:ascii="arial" w:eastAsia="arial" w:hAnsi="arial" w:cs="arial"/>
          <w:b w:val="0"/>
          <w:i w:val="0"/>
          <w:strike w:val="0"/>
          <w:noProof w:val="0"/>
          <w:color w:val="000000"/>
          <w:position w:val="0"/>
          <w:sz w:val="20"/>
          <w:u w:val="none"/>
          <w:vertAlign w:val="baseline"/>
        </w:rPr>
        <w:t xml:space="preserve"> and </w:t>
      </w:r>
      <w:hyperlink r:id="rId11" w:history="1">
        <w:r>
          <w:rPr>
            <w:rFonts w:ascii="arial" w:eastAsia="arial" w:hAnsi="arial" w:cs="arial"/>
            <w:b w:val="0"/>
            <w:i/>
            <w:strike w:val="0"/>
            <w:noProof w:val="0"/>
            <w:color w:val="0077CC"/>
            <w:position w:val="0"/>
            <w:sz w:val="20"/>
            <w:u w:val="single"/>
            <w:vertAlign w:val="baseline"/>
          </w:rPr>
          <w:t>1915(e)(2)(B)(ii)</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7" w:name="Bookmark_para_11"/>
      <w:bookmarkEnd w:id="47"/>
      <w:bookmarkStart w:id="48" w:name="Bookmark_I68KJNKM2N1RR60030000400"/>
      <w:bookmarkEnd w:id="48"/>
      <w:bookmarkStart w:id="49" w:name="Bookmark_I68KJNKN2N1RR80020000400"/>
      <w:bookmarkEnd w:id="49"/>
      <w:r>
        <w:rPr>
          <w:rFonts w:ascii="arial" w:eastAsia="arial" w:hAnsi="arial" w:cs="arial"/>
          <w:b w:val="0"/>
          <w:i w:val="0"/>
          <w:strike w:val="0"/>
          <w:noProof w:val="0"/>
          <w:color w:val="000000"/>
          <w:position w:val="0"/>
          <w:sz w:val="20"/>
          <w:u w:val="none"/>
          <w:vertAlign w:val="baseline"/>
        </w:rPr>
        <w:t xml:space="preserve">To state a claim under </w:t>
      </w:r>
      <w:hyperlink r:id="rId10"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 xml:space="preserve">, a plaintiff must allege the violation of a right secured by the federal Constitution or laws and must show that the deprivation was committed by a person acting under color of state law. </w:t>
      </w:r>
      <w:bookmarkStart w:id="50" w:name="Bookmark_I68KJNKM2N1RR60020000400"/>
      <w:bookmarkEnd w:id="50"/>
      <w:hyperlink r:id="rId24" w:history="1">
        <w:r>
          <w:rPr>
            <w:rFonts w:ascii="arial" w:eastAsia="arial" w:hAnsi="arial" w:cs="arial"/>
            <w:b w:val="0"/>
            <w:i/>
            <w:strike w:val="0"/>
            <w:noProof w:val="0"/>
            <w:color w:val="0077CC"/>
            <w:position w:val="0"/>
            <w:sz w:val="20"/>
            <w:u w:val="single"/>
            <w:vertAlign w:val="baseline"/>
          </w:rPr>
          <w:t>West v. Atkins</w:t>
        </w:r>
      </w:hyperlink>
      <w:hyperlink r:id="rId24" w:history="1">
        <w:r>
          <w:rPr>
            <w:rFonts w:ascii="arial" w:eastAsia="arial" w:hAnsi="arial" w:cs="arial"/>
            <w:b w:val="0"/>
            <w:i/>
            <w:strike w:val="0"/>
            <w:noProof w:val="0"/>
            <w:color w:val="0077CC"/>
            <w:position w:val="0"/>
            <w:sz w:val="20"/>
            <w:u w:val="single"/>
            <w:vertAlign w:val="baseline"/>
          </w:rPr>
          <w:t>, 487 U.S. 42, 48, 108 S. Ct. 2250, 101 L. Ed. 2d 40 (1988)</w:t>
        </w:r>
      </w:hyperlink>
      <w:r>
        <w:rPr>
          <w:rFonts w:ascii="arial" w:eastAsia="arial" w:hAnsi="arial" w:cs="arial"/>
          <w:b w:val="0"/>
          <w:i w:val="0"/>
          <w:strike w:val="0"/>
          <w:noProof w:val="0"/>
          <w:color w:val="000000"/>
          <w:position w:val="0"/>
          <w:sz w:val="20"/>
          <w:u w:val="none"/>
          <w:vertAlign w:val="baseline"/>
        </w:rPr>
        <w:t xml:space="preserve">; </w:t>
      </w:r>
      <w:bookmarkStart w:id="51" w:name="Bookmark_I68KJNKM2N1RR60040000400"/>
      <w:bookmarkEnd w:id="51"/>
      <w:hyperlink r:id="rId25" w:history="1">
        <w:r>
          <w:rPr>
            <w:rFonts w:ascii="arial" w:eastAsia="arial" w:hAnsi="arial" w:cs="arial"/>
            <w:b w:val="0"/>
            <w:i/>
            <w:strike w:val="0"/>
            <w:noProof w:val="0"/>
            <w:color w:val="0077CC"/>
            <w:position w:val="0"/>
            <w:sz w:val="20"/>
            <w:u w:val="single"/>
            <w:vertAlign w:val="baseline"/>
          </w:rPr>
          <w:t>Street v. Corr. Corp. of Am.</w:t>
        </w:r>
      </w:hyperlink>
      <w:hyperlink r:id="rId25" w:history="1">
        <w:r>
          <w:rPr>
            <w:rFonts w:ascii="arial" w:eastAsia="arial" w:hAnsi="arial" w:cs="arial"/>
            <w:b w:val="0"/>
            <w:i/>
            <w:strike w:val="0"/>
            <w:noProof w:val="0"/>
            <w:color w:val="0077CC"/>
            <w:position w:val="0"/>
            <w:sz w:val="20"/>
            <w:u w:val="single"/>
            <w:vertAlign w:val="baseline"/>
          </w:rPr>
          <w:t>, 102 F.3d 810, 814 (6th Cir. 1996)</w:t>
        </w:r>
      </w:hyperlink>
      <w:r>
        <w:rPr>
          <w:rFonts w:ascii="arial" w:eastAsia="arial" w:hAnsi="arial" w:cs="arial"/>
          <w:b w:val="0"/>
          <w:i w:val="0"/>
          <w:strike w:val="0"/>
          <w:noProof w:val="0"/>
          <w:color w:val="000000"/>
          <w:position w:val="0"/>
          <w:sz w:val="20"/>
          <w:u w:val="none"/>
          <w:vertAlign w:val="baseline"/>
        </w:rPr>
        <w:t xml:space="preserve">. Because </w:t>
      </w:r>
      <w:hyperlink r:id="rId10"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is a method for vindicating federal rights, not a source of substantive rights itself, the first step in an action under </w:t>
      </w:r>
      <w:hyperlink r:id="rId10"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is to identify the specific constitutional right allegedly infringed. </w:t>
      </w:r>
      <w:bookmarkStart w:id="52" w:name="Bookmark_I68KJNKN2N1RR80010000400"/>
      <w:bookmarkEnd w:id="52"/>
      <w:hyperlink r:id="rId26" w:history="1">
        <w:r>
          <w:rPr>
            <w:rFonts w:ascii="arial" w:eastAsia="arial" w:hAnsi="arial" w:cs="arial"/>
            <w:b w:val="0"/>
            <w:i/>
            <w:strike w:val="0"/>
            <w:noProof w:val="0"/>
            <w:color w:val="0077CC"/>
            <w:position w:val="0"/>
            <w:sz w:val="20"/>
            <w:u w:val="single"/>
            <w:vertAlign w:val="baseline"/>
          </w:rPr>
          <w:t>Albright v. Oliver</w:t>
        </w:r>
      </w:hyperlink>
      <w:hyperlink r:id="rId26" w:history="1">
        <w:r>
          <w:rPr>
            <w:rFonts w:ascii="arial" w:eastAsia="arial" w:hAnsi="arial" w:cs="arial"/>
            <w:b w:val="0"/>
            <w:i/>
            <w:strike w:val="0"/>
            <w:noProof w:val="0"/>
            <w:color w:val="0077CC"/>
            <w:position w:val="0"/>
            <w:sz w:val="20"/>
            <w:u w:val="single"/>
            <w:vertAlign w:val="baseline"/>
          </w:rPr>
          <w:t>, 510 U.S. 266, 271, 114 S. Ct. 807, 127 L. Ed. 2d 114 (1994)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A. </w:t>
      </w:r>
      <w:hyperlink r:id="rId18" w:history="1">
        <w:r>
          <w:rPr>
            <w:rFonts w:ascii="arial" w:eastAsia="arial" w:hAnsi="arial" w:cs="arial"/>
            <w:b/>
            <w:i/>
            <w:strike w:val="0"/>
            <w:noProof w:val="0"/>
            <w:color w:val="0077CC"/>
            <w:position w:val="0"/>
            <w:sz w:val="20"/>
            <w:u w:val="single"/>
            <w:vertAlign w:val="baseline"/>
          </w:rPr>
          <w:t>First Amendment</w:t>
        </w:r>
      </w:hyperlink>
      <w:r>
        <w:rPr>
          <w:rFonts w:ascii="arial" w:eastAsia="arial" w:hAnsi="arial" w:cs="arial"/>
          <w:b/>
          <w:i w:val="0"/>
          <w:strike w:val="0"/>
          <w:noProof w:val="0"/>
          <w:color w:val="000000"/>
          <w:position w:val="0"/>
          <w:sz w:val="20"/>
          <w:u w:val="none"/>
          <w:vertAlign w:val="baseline"/>
        </w:rPr>
        <w:t xml:space="preserve"> Claims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Access to the Courts</w:t>
      </w:r>
    </w:p>
    <w:p>
      <w:pPr>
        <w:keepNext w:val="0"/>
        <w:spacing w:before="240" w:after="0" w:line="260" w:lineRule="atLeast"/>
        <w:ind w:left="0" w:right="0" w:firstLine="0"/>
        <w:jc w:val="both"/>
      </w:pPr>
      <w:bookmarkStart w:id="53" w:name="Bookmark_para_12"/>
      <w:bookmarkEnd w:id="53"/>
      <w:r>
        <w:rPr>
          <w:rFonts w:ascii="arial" w:eastAsia="arial" w:hAnsi="arial" w:cs="arial"/>
          <w:b w:val="0"/>
          <w:i w:val="0"/>
          <w:strike w:val="0"/>
          <w:noProof w:val="0"/>
          <w:color w:val="000000"/>
          <w:position w:val="0"/>
          <w:sz w:val="20"/>
          <w:u w:val="none"/>
          <w:vertAlign w:val="baseline"/>
        </w:rPr>
        <w:t xml:space="preserve">Plaintiff contends that his </w:t>
      </w:r>
      <w:hyperlink r:id="rId18"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right to access the courts was violated when Defendant Cota failed to follow DOM 2022-23 and retain the original copy of Ro'Quan Tyler's affidavit. As set forth above, Plaintiff received a copy of the affidavit, but the original was not retained.</w:t>
      </w:r>
    </w:p>
    <w:p>
      <w:pPr>
        <w:keepNext w:val="0"/>
        <w:spacing w:before="240" w:after="0" w:line="260" w:lineRule="atLeast"/>
        <w:ind w:left="0" w:right="0" w:firstLine="0"/>
        <w:jc w:val="both"/>
      </w:pPr>
      <w:bookmarkStart w:id="54" w:name="Bookmark_para_13"/>
      <w:bookmarkEnd w:id="54"/>
      <w:bookmarkStart w:id="55" w:name="Bookmark_I68KJNKN2N1RR80040000400"/>
      <w:bookmarkEnd w:id="55"/>
      <w:r>
        <w:rPr>
          <w:rFonts w:ascii="arial" w:eastAsia="arial" w:hAnsi="arial" w:cs="arial"/>
          <w:b w:val="0"/>
          <w:i w:val="0"/>
          <w:strike w:val="0"/>
          <w:noProof w:val="0"/>
          <w:color w:val="000000"/>
          <w:position w:val="0"/>
          <w:sz w:val="20"/>
          <w:u w:val="none"/>
          <w:vertAlign w:val="baseline"/>
        </w:rPr>
        <w:t xml:space="preserve">It is well established that prisoners have a constitutional right of access to the courts. </w:t>
      </w:r>
      <w:bookmarkStart w:id="56" w:name="Bookmark_I68KJNKN2HM6WF0010000400"/>
      <w:bookmarkEnd w:id="56"/>
      <w:bookmarkStart w:id="57" w:name="Bookmark_I68KJNKN2N1RR80030000400"/>
      <w:bookmarkEnd w:id="57"/>
      <w:hyperlink r:id="rId27" w:history="1">
        <w:r>
          <w:rPr>
            <w:rFonts w:ascii="arial" w:eastAsia="arial" w:hAnsi="arial" w:cs="arial"/>
            <w:b w:val="0"/>
            <w:i/>
            <w:strike w:val="0"/>
            <w:noProof w:val="0"/>
            <w:color w:val="0077CC"/>
            <w:position w:val="0"/>
            <w:sz w:val="20"/>
            <w:u w:val="single"/>
            <w:vertAlign w:val="baseline"/>
          </w:rPr>
          <w:t>Bounds v. Smith</w:t>
        </w:r>
      </w:hyperlink>
      <w:hyperlink r:id="rId27" w:history="1">
        <w:r>
          <w:rPr>
            <w:rFonts w:ascii="arial" w:eastAsia="arial" w:hAnsi="arial" w:cs="arial"/>
            <w:b w:val="0"/>
            <w:i/>
            <w:strike w:val="0"/>
            <w:noProof w:val="0"/>
            <w:color w:val="0077CC"/>
            <w:position w:val="0"/>
            <w:sz w:val="20"/>
            <w:u w:val="single"/>
            <w:vertAlign w:val="baseline"/>
          </w:rPr>
          <w:t>, 430 U.S. 817, 821, 97 S. Ct. 1491, 52 L. Ed. 2d 72 (1977)</w:t>
        </w:r>
      </w:hyperlink>
      <w:r>
        <w:rPr>
          <w:rFonts w:ascii="arial" w:eastAsia="arial" w:hAnsi="arial" w:cs="arial"/>
          <w:b w:val="0"/>
          <w:i w:val="0"/>
          <w:strike w:val="0"/>
          <w:noProof w:val="0"/>
          <w:color w:val="000000"/>
          <w:position w:val="0"/>
          <w:sz w:val="20"/>
          <w:u w:val="none"/>
          <w:vertAlign w:val="baseline"/>
        </w:rPr>
        <w:t xml:space="preserve">. </w:t>
      </w:r>
      <w:bookmarkStart w:id="58" w:name="Bookmark_I68KJNKN2HM6WF0030000400"/>
      <w:bookmarkEnd w:id="58"/>
      <w:r>
        <w:rPr>
          <w:rFonts w:ascii="arial" w:eastAsia="arial" w:hAnsi="arial" w:cs="arial"/>
          <w:b w:val="0"/>
          <w:i w:val="0"/>
          <w:strike w:val="0"/>
          <w:noProof w:val="0"/>
          <w:color w:val="000000"/>
          <w:position w:val="0"/>
          <w:sz w:val="20"/>
          <w:u w:val="none"/>
          <w:vertAlign w:val="baseline"/>
        </w:rPr>
        <w:t xml:space="preserve">The principal issue in </w:t>
      </w:r>
      <w:r>
        <w:rPr>
          <w:rFonts w:ascii="arial" w:eastAsia="arial" w:hAnsi="arial" w:cs="arial"/>
          <w:b w:val="0"/>
          <w:i/>
          <w:strike w:val="0"/>
          <w:noProof w:val="0"/>
          <w:color w:val="000000"/>
          <w:position w:val="0"/>
          <w:sz w:val="20"/>
          <w:u w:val="none"/>
          <w:vertAlign w:val="baseline"/>
        </w:rPr>
        <w:t>Bounds</w:t>
      </w:r>
      <w:r>
        <w:rPr>
          <w:rFonts w:ascii="arial" w:eastAsia="arial" w:hAnsi="arial" w:cs="arial"/>
          <w:b w:val="0"/>
          <w:i w:val="0"/>
          <w:strike w:val="0"/>
          <w:noProof w:val="0"/>
          <w:color w:val="000000"/>
          <w:position w:val="0"/>
          <w:sz w:val="20"/>
          <w:u w:val="none"/>
          <w:vertAlign w:val="baseline"/>
        </w:rPr>
        <w:t xml:space="preserve"> was whether</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the states must protect the right of access to the courts by providing law libraries or alternative sources of legal information for prisoners. </w:t>
      </w:r>
      <w:bookmarkStart w:id="59" w:name="Bookmark_I68KJNKN2HM6WF0030000400_2"/>
      <w:bookmarkEnd w:id="59"/>
      <w:bookmarkStart w:id="60" w:name="Bookmark_I68KJNKN2HM6WF0010000400_2"/>
      <w:bookmarkEnd w:id="60"/>
      <w:bookmarkStart w:id="61" w:name="Bookmark_I68KJNKN2N1RR80050000400"/>
      <w:bookmarkEnd w:id="61"/>
      <w:hyperlink r:id="rId27" w:history="1">
        <w:r>
          <w:rPr>
            <w:rFonts w:ascii="arial" w:eastAsia="arial" w:hAnsi="arial" w:cs="arial"/>
            <w:b w:val="0"/>
            <w:i/>
            <w:strike w:val="0"/>
            <w:noProof w:val="0"/>
            <w:color w:val="0077CC"/>
            <w:position w:val="0"/>
            <w:sz w:val="20"/>
            <w:u w:val="single"/>
            <w:vertAlign w:val="baseline"/>
          </w:rPr>
          <w:t>Id.</w:t>
        </w:r>
      </w:hyperlink>
      <w:hyperlink r:id="rId27" w:history="1">
        <w:r>
          <w:rPr>
            <w:rFonts w:ascii="arial" w:eastAsia="arial" w:hAnsi="arial" w:cs="arial"/>
            <w:b w:val="0"/>
            <w:i/>
            <w:strike w:val="0"/>
            <w:noProof w:val="0"/>
            <w:color w:val="0077CC"/>
            <w:position w:val="0"/>
            <w:sz w:val="20"/>
            <w:u w:val="single"/>
            <w:vertAlign w:val="baseline"/>
          </w:rPr>
          <w:t xml:space="preserve"> at 817</w:t>
        </w:r>
      </w:hyperlink>
      <w:r>
        <w:rPr>
          <w:rFonts w:ascii="arial" w:eastAsia="arial" w:hAnsi="arial" w:cs="arial"/>
          <w:b w:val="0"/>
          <w:i w:val="0"/>
          <w:strike w:val="0"/>
          <w:noProof w:val="0"/>
          <w:color w:val="000000"/>
          <w:position w:val="0"/>
          <w:sz w:val="20"/>
          <w:u w:val="none"/>
          <w:vertAlign w:val="baseline"/>
        </w:rPr>
        <w:t xml:space="preserve">. </w:t>
      </w:r>
      <w:bookmarkStart w:id="62" w:name="Bookmark_I68KJNKN2HM6WF0050000400"/>
      <w:bookmarkEnd w:id="62"/>
      <w:r>
        <w:rPr>
          <w:rFonts w:ascii="arial" w:eastAsia="arial" w:hAnsi="arial" w:cs="arial"/>
          <w:b w:val="0"/>
          <w:i w:val="0"/>
          <w:strike w:val="0"/>
          <w:noProof w:val="0"/>
          <w:color w:val="000000"/>
          <w:position w:val="0"/>
          <w:sz w:val="20"/>
          <w:u w:val="none"/>
          <w:vertAlign w:val="baseline"/>
        </w:rPr>
        <w:t xml:space="preserve">The Court further noted that in addition to law libraries or alternative sources of legal knowledge, the states must provide indigent inmates with "paper and pen to draft legal documents, notarial services to authenticate them, and with stamps to mail them." </w:t>
      </w:r>
      <w:bookmarkStart w:id="63" w:name="Bookmark_I68KJNKN2HM6WF0020000400"/>
      <w:bookmarkEnd w:id="63"/>
      <w:hyperlink r:id="rId27" w:history="1">
        <w:r>
          <w:rPr>
            <w:rFonts w:ascii="arial" w:eastAsia="arial" w:hAnsi="arial" w:cs="arial"/>
            <w:b w:val="0"/>
            <w:i/>
            <w:strike w:val="0"/>
            <w:noProof w:val="0"/>
            <w:color w:val="0077CC"/>
            <w:position w:val="0"/>
            <w:sz w:val="20"/>
            <w:u w:val="single"/>
            <w:vertAlign w:val="baseline"/>
          </w:rPr>
          <w:t>Id.</w:t>
        </w:r>
      </w:hyperlink>
      <w:hyperlink r:id="rId27" w:history="1">
        <w:r>
          <w:rPr>
            <w:rFonts w:ascii="arial" w:eastAsia="arial" w:hAnsi="arial" w:cs="arial"/>
            <w:b w:val="0"/>
            <w:i/>
            <w:strike w:val="0"/>
            <w:noProof w:val="0"/>
            <w:color w:val="0077CC"/>
            <w:position w:val="0"/>
            <w:sz w:val="20"/>
            <w:u w:val="single"/>
            <w:vertAlign w:val="baseline"/>
          </w:rPr>
          <w:t xml:space="preserve"> at 824-25</w:t>
        </w:r>
      </w:hyperlink>
      <w:r>
        <w:rPr>
          <w:rFonts w:ascii="arial" w:eastAsia="arial" w:hAnsi="arial" w:cs="arial"/>
          <w:b w:val="0"/>
          <w:i w:val="0"/>
          <w:strike w:val="0"/>
          <w:noProof w:val="0"/>
          <w:color w:val="000000"/>
          <w:position w:val="0"/>
          <w:sz w:val="20"/>
          <w:u w:val="none"/>
          <w:vertAlign w:val="baseline"/>
        </w:rPr>
        <w:t xml:space="preserve">. </w:t>
      </w:r>
      <w:bookmarkStart w:id="64" w:name="Bookmark_I68KJNKN2HM6WF0050000400_2"/>
      <w:bookmarkEnd w:id="64"/>
      <w:r>
        <w:rPr>
          <w:rFonts w:ascii="arial" w:eastAsia="arial" w:hAnsi="arial" w:cs="arial"/>
          <w:b w:val="0"/>
          <w:i w:val="0"/>
          <w:strike w:val="0"/>
          <w:noProof w:val="0"/>
          <w:color w:val="000000"/>
          <w:position w:val="0"/>
          <w:sz w:val="20"/>
          <w:u w:val="none"/>
          <w:vertAlign w:val="baseline"/>
        </w:rPr>
        <w:t xml:space="preserve">The right of access to the courts also prohibits prison officials from erecting barriers that may impede the inmate's access to the courts. </w:t>
      </w:r>
      <w:r>
        <w:rPr>
          <w:rFonts w:ascii="arial" w:eastAsia="arial" w:hAnsi="arial" w:cs="arial"/>
          <w:b w:val="0"/>
          <w:i/>
          <w:strike w:val="0"/>
          <w:noProof w:val="0"/>
          <w:color w:val="000000"/>
          <w:position w:val="0"/>
          <w:sz w:val="20"/>
          <w:u w:val="none"/>
          <w:vertAlign w:val="baseline"/>
        </w:rPr>
        <w:t xml:space="preserve">See </w:t>
      </w:r>
      <w:bookmarkStart w:id="65" w:name="Bookmark_I68KJNKN2HM6WF0040000400"/>
      <w:bookmarkEnd w:id="65"/>
      <w:hyperlink r:id="rId28" w:history="1">
        <w:r>
          <w:rPr>
            <w:rFonts w:ascii="arial" w:eastAsia="arial" w:hAnsi="arial" w:cs="arial"/>
            <w:b w:val="0"/>
            <w:i/>
            <w:strike w:val="0"/>
            <w:noProof w:val="0"/>
            <w:color w:val="0077CC"/>
            <w:position w:val="0"/>
            <w:sz w:val="20"/>
            <w:u w:val="single"/>
            <w:vertAlign w:val="baseline"/>
          </w:rPr>
          <w:t>Knop v. Johnson</w:t>
        </w:r>
      </w:hyperlink>
      <w:hyperlink r:id="rId28" w:history="1">
        <w:r>
          <w:rPr>
            <w:rFonts w:ascii="arial" w:eastAsia="arial" w:hAnsi="arial" w:cs="arial"/>
            <w:b w:val="0"/>
            <w:i/>
            <w:strike w:val="0"/>
            <w:noProof w:val="0"/>
            <w:color w:val="0077CC"/>
            <w:position w:val="0"/>
            <w:sz w:val="20"/>
            <w:u w:val="single"/>
            <w:vertAlign w:val="baseline"/>
          </w:rPr>
          <w:t>, 977 F.2d 996, 1009 (6th Cir. 1992)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6" w:name="Bookmark_para_14"/>
      <w:bookmarkEnd w:id="66"/>
      <w:bookmarkStart w:id="67" w:name="Bookmark_I68KJNKN2HM6WG0020000400"/>
      <w:bookmarkEnd w:id="67"/>
      <w:r>
        <w:rPr>
          <w:rFonts w:ascii="arial" w:eastAsia="arial" w:hAnsi="arial" w:cs="arial"/>
          <w:b w:val="0"/>
          <w:i w:val="0"/>
          <w:strike w:val="0"/>
          <w:noProof w:val="0"/>
          <w:color w:val="000000"/>
          <w:position w:val="0"/>
          <w:sz w:val="20"/>
          <w:u w:val="none"/>
          <w:vertAlign w:val="baseline"/>
        </w:rPr>
        <w:t xml:space="preserve">An indigent prisoner's constitutional right to legal resources and materials is not, however, without limit. </w:t>
      </w:r>
      <w:bookmarkStart w:id="68" w:name="Bookmark_I68KJNKP2HM6WJ0030000400"/>
      <w:bookmarkEnd w:id="68"/>
      <w:r>
        <w:rPr>
          <w:rFonts w:ascii="arial" w:eastAsia="arial" w:hAnsi="arial" w:cs="arial"/>
          <w:b w:val="0"/>
          <w:i w:val="0"/>
          <w:strike w:val="0"/>
          <w:noProof w:val="0"/>
          <w:color w:val="000000"/>
          <w:position w:val="0"/>
          <w:sz w:val="20"/>
          <w:u w:val="none"/>
          <w:vertAlign w:val="baseline"/>
        </w:rPr>
        <w:t xml:space="preserve">In order to state a viable claim for interference with his access to the courts, a plaintiff must show "actual injury." </w:t>
      </w:r>
      <w:bookmarkStart w:id="69" w:name="Bookmark_I68KJNKN2HM6WG0010000400"/>
      <w:bookmarkEnd w:id="69"/>
      <w:hyperlink r:id="rId29" w:history="1">
        <w:r>
          <w:rPr>
            <w:rFonts w:ascii="arial" w:eastAsia="arial" w:hAnsi="arial" w:cs="arial"/>
            <w:b w:val="0"/>
            <w:i/>
            <w:strike w:val="0"/>
            <w:noProof w:val="0"/>
            <w:color w:val="0077CC"/>
            <w:position w:val="0"/>
            <w:sz w:val="20"/>
            <w:u w:val="single"/>
            <w:vertAlign w:val="baseline"/>
          </w:rPr>
          <w:t>Lewis v. Casey</w:t>
        </w:r>
      </w:hyperlink>
      <w:hyperlink r:id="rId29" w:history="1">
        <w:r>
          <w:rPr>
            <w:rFonts w:ascii="arial" w:eastAsia="arial" w:hAnsi="arial" w:cs="arial"/>
            <w:b w:val="0"/>
            <w:i/>
            <w:strike w:val="0"/>
            <w:noProof w:val="0"/>
            <w:color w:val="0077CC"/>
            <w:position w:val="0"/>
            <w:sz w:val="20"/>
            <w:u w:val="single"/>
            <w:vertAlign w:val="baseline"/>
          </w:rPr>
          <w:t>, 518 U.S. 343, 349, 116 S. Ct. 2174, 135 L. Ed. 2d 606 (1996)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70" w:name="Bookmark_I68KJNKN2HM6WG0030000400"/>
      <w:bookmarkEnd w:id="70"/>
      <w:hyperlink r:id="rId30" w:history="1">
        <w:r>
          <w:rPr>
            <w:rFonts w:ascii="arial" w:eastAsia="arial" w:hAnsi="arial" w:cs="arial"/>
            <w:b w:val="0"/>
            <w:i/>
            <w:strike w:val="0"/>
            <w:noProof w:val="0"/>
            <w:color w:val="0077CC"/>
            <w:position w:val="0"/>
            <w:sz w:val="20"/>
            <w:u w:val="single"/>
            <w:vertAlign w:val="baseline"/>
          </w:rPr>
          <w:t>Talley-Bey v. Knebl</w:t>
        </w:r>
      </w:hyperlink>
      <w:hyperlink r:id="rId30" w:history="1">
        <w:r>
          <w:rPr>
            <w:rFonts w:ascii="arial" w:eastAsia="arial" w:hAnsi="arial" w:cs="arial"/>
            <w:b w:val="0"/>
            <w:i/>
            <w:strike w:val="0"/>
            <w:noProof w:val="0"/>
            <w:color w:val="0077CC"/>
            <w:position w:val="0"/>
            <w:sz w:val="20"/>
            <w:u w:val="single"/>
            <w:vertAlign w:val="baseline"/>
          </w:rPr>
          <w:t>, 168 F.3d 884, 886 (6th Cir. 1999)</w:t>
        </w:r>
      </w:hyperlink>
      <w:r>
        <w:rPr>
          <w:rFonts w:ascii="arial" w:eastAsia="arial" w:hAnsi="arial" w:cs="arial"/>
          <w:b w:val="0"/>
          <w:i w:val="0"/>
          <w:strike w:val="0"/>
          <w:noProof w:val="0"/>
          <w:color w:val="000000"/>
          <w:position w:val="0"/>
          <w:sz w:val="20"/>
          <w:u w:val="none"/>
          <w:vertAlign w:val="baseline"/>
        </w:rPr>
        <w:t xml:space="preserve">; </w:t>
      </w:r>
      <w:bookmarkStart w:id="71" w:name="Bookmark_I68KJNKN2HM6WG0050000400"/>
      <w:bookmarkEnd w:id="71"/>
      <w:hyperlink r:id="rId28" w:history="1">
        <w:r>
          <w:rPr>
            <w:rFonts w:ascii="arial" w:eastAsia="arial" w:hAnsi="arial" w:cs="arial"/>
            <w:b w:val="0"/>
            <w:i/>
            <w:strike w:val="0"/>
            <w:noProof w:val="0"/>
            <w:color w:val="0077CC"/>
            <w:position w:val="0"/>
            <w:sz w:val="20"/>
            <w:u w:val="single"/>
            <w:vertAlign w:val="baseline"/>
          </w:rPr>
          <w:t>Knop</w:t>
        </w:r>
      </w:hyperlink>
      <w:hyperlink r:id="rId28" w:history="1">
        <w:r>
          <w:rPr>
            <w:rFonts w:ascii="arial" w:eastAsia="arial" w:hAnsi="arial" w:cs="arial"/>
            <w:b w:val="0"/>
            <w:i/>
            <w:strike w:val="0"/>
            <w:noProof w:val="0"/>
            <w:color w:val="0077CC"/>
            <w:position w:val="0"/>
            <w:sz w:val="20"/>
            <w:u w:val="single"/>
            <w:vertAlign w:val="baseline"/>
          </w:rPr>
          <w:t>, 977 F.2d at 1000</w:t>
        </w:r>
      </w:hyperlink>
      <w:r>
        <w:rPr>
          <w:rFonts w:ascii="arial" w:eastAsia="arial" w:hAnsi="arial" w:cs="arial"/>
          <w:b w:val="0"/>
          <w:i w:val="0"/>
          <w:strike w:val="0"/>
          <w:noProof w:val="0"/>
          <w:color w:val="000000"/>
          <w:position w:val="0"/>
          <w:sz w:val="20"/>
          <w:u w:val="none"/>
          <w:vertAlign w:val="baseline"/>
        </w:rPr>
        <w:t xml:space="preserve">. In other words, a plaintiff must plead and demonstrate that the shortcomings in the prison legal assistance program or lack of legal materials have hindered, or are presently hindering, his efforts to pursue a nonfrivolous legal claim. </w:t>
      </w:r>
      <w:bookmarkStart w:id="72" w:name="Bookmark_I68KJNKP2HM6WJ0030000400_2"/>
      <w:bookmarkEnd w:id="72"/>
      <w:bookmarkStart w:id="73" w:name="Bookmark_I68KJNKP2HM6WJ0020000400"/>
      <w:bookmarkEnd w:id="73"/>
      <w:hyperlink r:id="rId29" w:history="1">
        <w:r>
          <w:rPr>
            <w:rFonts w:ascii="arial" w:eastAsia="arial" w:hAnsi="arial" w:cs="arial"/>
            <w:b w:val="0"/>
            <w:i/>
            <w:strike w:val="0"/>
            <w:noProof w:val="0"/>
            <w:color w:val="0077CC"/>
            <w:position w:val="0"/>
            <w:sz w:val="20"/>
            <w:u w:val="single"/>
            <w:vertAlign w:val="baseline"/>
          </w:rPr>
          <w:t>Lewis</w:t>
        </w:r>
      </w:hyperlink>
      <w:hyperlink r:id="rId29" w:history="1">
        <w:r>
          <w:rPr>
            <w:rFonts w:ascii="arial" w:eastAsia="arial" w:hAnsi="arial" w:cs="arial"/>
            <w:b w:val="0"/>
            <w:i/>
            <w:strike w:val="0"/>
            <w:noProof w:val="0"/>
            <w:color w:val="0077CC"/>
            <w:position w:val="0"/>
            <w:sz w:val="20"/>
            <w:u w:val="single"/>
            <w:vertAlign w:val="baseline"/>
          </w:rPr>
          <w:t>, 518 U.S. at 351-53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74" w:name="Bookmark_I68KJNKP2HM6WJ0040000400"/>
      <w:bookmarkEnd w:id="74"/>
      <w:hyperlink r:id="rId31" w:history="1">
        <w:r>
          <w:rPr>
            <w:rFonts w:ascii="arial" w:eastAsia="arial" w:hAnsi="arial" w:cs="arial"/>
            <w:b w:val="0"/>
            <w:i/>
            <w:strike w:val="0"/>
            <w:noProof w:val="0"/>
            <w:color w:val="0077CC"/>
            <w:position w:val="0"/>
            <w:sz w:val="20"/>
            <w:u w:val="single"/>
            <w:vertAlign w:val="baseline"/>
          </w:rPr>
          <w:t>Pilgrim v. Littlefield</w:t>
        </w:r>
      </w:hyperlink>
      <w:hyperlink r:id="rId31" w:history="1">
        <w:r>
          <w:rPr>
            <w:rFonts w:ascii="arial" w:eastAsia="arial" w:hAnsi="arial" w:cs="arial"/>
            <w:b w:val="0"/>
            <w:i/>
            <w:strike w:val="0"/>
            <w:noProof w:val="0"/>
            <w:color w:val="0077CC"/>
            <w:position w:val="0"/>
            <w:sz w:val="20"/>
            <w:u w:val="single"/>
            <w:vertAlign w:val="baseline"/>
          </w:rPr>
          <w:t>, 92 F.3d 413, 416 (6th Cir. 1996)</w:t>
        </w:r>
      </w:hyperlink>
      <w:r>
        <w:rPr>
          <w:rFonts w:ascii="arial" w:eastAsia="arial" w:hAnsi="arial" w:cs="arial"/>
          <w:b w:val="0"/>
          <w:i w:val="0"/>
          <w:strike w:val="0"/>
          <w:noProof w:val="0"/>
          <w:color w:val="000000"/>
          <w:position w:val="0"/>
          <w:sz w:val="20"/>
          <w:u w:val="none"/>
          <w:vertAlign w:val="baseline"/>
        </w:rPr>
        <w:t>. The Supreme Court has strictly limited the types of cases for which there may be an actual injury:</w:t>
      </w:r>
    </w:p>
    <w:p>
      <w:pPr>
        <w:keepNext w:val="0"/>
        <w:spacing w:before="200" w:after="0" w:line="260" w:lineRule="atLeast"/>
        <w:ind w:left="400" w:right="0" w:firstLine="0"/>
        <w:jc w:val="both"/>
      </w:pPr>
      <w:bookmarkStart w:id="75" w:name="Bookmark_para_15"/>
      <w:bookmarkEnd w:id="75"/>
      <w:r>
        <w:rPr>
          <w:rFonts w:ascii="arial" w:eastAsia="arial" w:hAnsi="arial" w:cs="arial"/>
          <w:b w:val="0"/>
          <w:i/>
          <w:strike w:val="0"/>
          <w:noProof w:val="0"/>
          <w:color w:val="000000"/>
          <w:position w:val="0"/>
          <w:sz w:val="20"/>
          <w:u w:val="none"/>
          <w:vertAlign w:val="baseline"/>
        </w:rPr>
        <w:t>Bounds</w:t>
      </w:r>
      <w:r>
        <w:rPr>
          <w:rFonts w:ascii="arial" w:eastAsia="arial" w:hAnsi="arial" w:cs="arial"/>
          <w:b w:val="0"/>
          <w:i w:val="0"/>
          <w:strike w:val="0"/>
          <w:noProof w:val="0"/>
          <w:color w:val="000000"/>
          <w:position w:val="0"/>
          <w:sz w:val="20"/>
          <w:u w:val="none"/>
          <w:vertAlign w:val="baseline"/>
        </w:rPr>
        <w:t xml:space="preserve"> does not guarantee inmates the wherewithal to transform</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themselves into litigating engines capable of filing everything from shareholder derivative actions to slip-and-fall claims. </w:t>
      </w:r>
      <w:bookmarkStart w:id="76" w:name="Bookmark_I68KJNKP2HM6WK0020000400"/>
      <w:bookmarkEnd w:id="76"/>
      <w:r>
        <w:rPr>
          <w:rFonts w:ascii="arial" w:eastAsia="arial" w:hAnsi="arial" w:cs="arial"/>
          <w:b w:val="0"/>
          <w:i w:val="0"/>
          <w:strike w:val="0"/>
          <w:noProof w:val="0"/>
          <w:color w:val="000000"/>
          <w:position w:val="0"/>
          <w:sz w:val="20"/>
          <w:u w:val="none"/>
          <w:vertAlign w:val="baseline"/>
        </w:rPr>
        <w:t xml:space="preserve">The tools it requires to be provided are those that the inmates need in order to attack their sentences, directly or collaterally, and in order to challenge the conditions of their confinement. </w:t>
      </w:r>
      <w:bookmarkStart w:id="77" w:name="Bookmark_I68KJNKP2HM6WK0040000400"/>
      <w:bookmarkEnd w:id="77"/>
      <w:r>
        <w:rPr>
          <w:rFonts w:ascii="arial" w:eastAsia="arial" w:hAnsi="arial" w:cs="arial"/>
          <w:b w:val="0"/>
          <w:i w:val="0"/>
          <w:strike w:val="0"/>
          <w:noProof w:val="0"/>
          <w:color w:val="000000"/>
          <w:position w:val="0"/>
          <w:sz w:val="20"/>
          <w:u w:val="none"/>
          <w:vertAlign w:val="baseline"/>
        </w:rPr>
        <w:t>Impairment of any other litigating capacity is simply one of the incidental (and perfectly constitutional) consequences of conviction and incarceration.</w:t>
      </w:r>
    </w:p>
    <w:p>
      <w:pPr>
        <w:keepNext w:val="0"/>
        <w:spacing w:before="200" w:after="0" w:line="260" w:lineRule="atLeast"/>
        <w:ind w:left="0" w:right="0" w:firstLine="0"/>
        <w:jc w:val="both"/>
      </w:pPr>
      <w:bookmarkStart w:id="78" w:name="Bookmark_I68KJNKP2HM6WK0040000400_2"/>
      <w:bookmarkEnd w:id="78"/>
      <w:bookmarkStart w:id="79" w:name="Bookmark_I68KJNKP2HM6WK0020000400_2"/>
      <w:bookmarkEnd w:id="79"/>
      <w:bookmarkStart w:id="80" w:name="Bookmark_I68KJNKP2HM6WK0010000400"/>
      <w:bookmarkEnd w:id="80"/>
      <w:hyperlink r:id="rId29" w:history="1">
        <w:r>
          <w:rPr>
            <w:rFonts w:ascii="arial" w:eastAsia="arial" w:hAnsi="arial" w:cs="arial"/>
            <w:b w:val="0"/>
            <w:i/>
            <w:strike w:val="0"/>
            <w:color w:val="0077CC"/>
            <w:sz w:val="20"/>
            <w:u w:val="single"/>
            <w:vertAlign w:val="baseline"/>
          </w:rPr>
          <w:t>Lewis</w:t>
        </w:r>
      </w:hyperlink>
      <w:hyperlink r:id="rId29" w:history="1">
        <w:r>
          <w:rPr>
            <w:rFonts w:ascii="arial" w:eastAsia="arial" w:hAnsi="arial" w:cs="arial"/>
            <w:b w:val="0"/>
            <w:i/>
            <w:strike w:val="0"/>
            <w:color w:val="0077CC"/>
            <w:sz w:val="20"/>
            <w:u w:val="single"/>
            <w:vertAlign w:val="baseline"/>
          </w:rPr>
          <w:t>, 518 U.S. at 355</w:t>
        </w:r>
      </w:hyperlink>
      <w:r>
        <w:rPr>
          <w:rFonts w:ascii="arial" w:eastAsia="arial" w:hAnsi="arial" w:cs="arial"/>
          <w:b w:val="0"/>
          <w:i w:val="0"/>
          <w:strike w:val="0"/>
          <w:noProof w:val="0"/>
          <w:color w:val="000000"/>
          <w:position w:val="0"/>
          <w:sz w:val="20"/>
          <w:u w:val="none"/>
          <w:vertAlign w:val="baseline"/>
        </w:rPr>
        <w:t xml:space="preserve">. </w:t>
      </w:r>
      <w:bookmarkStart w:id="81" w:name="Bookmark_I68KJNKP2HM6WM0010000400"/>
      <w:bookmarkEnd w:id="81"/>
      <w:r>
        <w:rPr>
          <w:rFonts w:ascii="arial" w:eastAsia="arial" w:hAnsi="arial" w:cs="arial"/>
          <w:b w:val="0"/>
          <w:i w:val="0"/>
          <w:strike w:val="0"/>
          <w:noProof w:val="0"/>
          <w:color w:val="000000"/>
          <w:position w:val="0"/>
          <w:sz w:val="20"/>
          <w:u w:val="none"/>
          <w:vertAlign w:val="baseline"/>
        </w:rPr>
        <w:t xml:space="preserve">"Thus, a prisoner's right to access the courts extends to direct appeals, habeas corpus applications, and civil rights claims only." </w:t>
      </w:r>
      <w:bookmarkStart w:id="82" w:name="Bookmark_I68KJNKP2HM6WK0030000400"/>
      <w:bookmarkEnd w:id="82"/>
      <w:hyperlink r:id="rId32" w:history="1">
        <w:r>
          <w:rPr>
            <w:rFonts w:ascii="arial" w:eastAsia="arial" w:hAnsi="arial" w:cs="arial"/>
            <w:b w:val="0"/>
            <w:i/>
            <w:strike w:val="0"/>
            <w:noProof w:val="0"/>
            <w:color w:val="0077CC"/>
            <w:position w:val="0"/>
            <w:sz w:val="20"/>
            <w:u w:val="single"/>
            <w:vertAlign w:val="baseline"/>
          </w:rPr>
          <w:t>Thaddeus-X</w:t>
        </w:r>
      </w:hyperlink>
      <w:hyperlink r:id="rId32" w:history="1">
        <w:r>
          <w:rPr>
            <w:rFonts w:ascii="arial" w:eastAsia="arial" w:hAnsi="arial" w:cs="arial"/>
            <w:b w:val="0"/>
            <w:i/>
            <w:strike w:val="0"/>
            <w:noProof w:val="0"/>
            <w:color w:val="0077CC"/>
            <w:position w:val="0"/>
            <w:sz w:val="20"/>
            <w:u w:val="single"/>
            <w:vertAlign w:val="baseline"/>
          </w:rPr>
          <w:t>, 175 F.3d at 391</w:t>
        </w:r>
      </w:hyperlink>
      <w:r>
        <w:rPr>
          <w:rFonts w:ascii="arial" w:eastAsia="arial" w:hAnsi="arial" w:cs="arial"/>
          <w:b w:val="0"/>
          <w:i w:val="0"/>
          <w:strike w:val="0"/>
          <w:noProof w:val="0"/>
          <w:color w:val="000000"/>
          <w:position w:val="0"/>
          <w:sz w:val="20"/>
          <w:u w:val="none"/>
          <w:vertAlign w:val="baseline"/>
        </w:rPr>
        <w:t xml:space="preserve">. </w:t>
      </w:r>
      <w:bookmarkStart w:id="83" w:name="Bookmark_I68KJNKP2HM6WM0010000400_2"/>
      <w:bookmarkEnd w:id="83"/>
      <w:r>
        <w:rPr>
          <w:rFonts w:ascii="arial" w:eastAsia="arial" w:hAnsi="arial" w:cs="arial"/>
          <w:b w:val="0"/>
          <w:i w:val="0"/>
          <w:strike w:val="0"/>
          <w:noProof w:val="0"/>
          <w:color w:val="000000"/>
          <w:position w:val="0"/>
          <w:sz w:val="20"/>
          <w:u w:val="none"/>
          <w:vertAlign w:val="baseline"/>
        </w:rPr>
        <w:t xml:space="preserve">Moreover, the underlying action must have asserted a non-frivolous claim. </w:t>
      </w:r>
      <w:bookmarkStart w:id="84" w:name="Bookmark_I68KJNKP2HM6WK0050000400"/>
      <w:bookmarkEnd w:id="84"/>
      <w:hyperlink r:id="rId29" w:history="1">
        <w:r>
          <w:rPr>
            <w:rFonts w:ascii="arial" w:eastAsia="arial" w:hAnsi="arial" w:cs="arial"/>
            <w:b w:val="0"/>
            <w:i/>
            <w:strike w:val="0"/>
            <w:noProof w:val="0"/>
            <w:color w:val="0077CC"/>
            <w:position w:val="0"/>
            <w:sz w:val="20"/>
            <w:u w:val="single"/>
            <w:vertAlign w:val="baseline"/>
          </w:rPr>
          <w:t>Lewis</w:t>
        </w:r>
      </w:hyperlink>
      <w:hyperlink r:id="rId29" w:history="1">
        <w:r>
          <w:rPr>
            <w:rFonts w:ascii="arial" w:eastAsia="arial" w:hAnsi="arial" w:cs="arial"/>
            <w:b w:val="0"/>
            <w:i/>
            <w:strike w:val="0"/>
            <w:noProof w:val="0"/>
            <w:color w:val="0077CC"/>
            <w:position w:val="0"/>
            <w:sz w:val="20"/>
            <w:u w:val="single"/>
            <w:vertAlign w:val="baseline"/>
          </w:rPr>
          <w:t>, 518 U.S. at 353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accord </w:t>
      </w:r>
      <w:bookmarkStart w:id="85" w:name="Bookmark_I68KJNKP2HM6WM0020000400"/>
      <w:bookmarkEnd w:id="85"/>
      <w:hyperlink r:id="rId33" w:history="1">
        <w:r>
          <w:rPr>
            <w:rFonts w:ascii="arial" w:eastAsia="arial" w:hAnsi="arial" w:cs="arial"/>
            <w:b w:val="0"/>
            <w:i/>
            <w:strike w:val="0"/>
            <w:noProof w:val="0"/>
            <w:color w:val="0077CC"/>
            <w:position w:val="0"/>
            <w:sz w:val="20"/>
            <w:u w:val="single"/>
            <w:vertAlign w:val="baseline"/>
          </w:rPr>
          <w:t>Hadix v. Johnson</w:t>
        </w:r>
      </w:hyperlink>
      <w:hyperlink r:id="rId33" w:history="1">
        <w:r>
          <w:rPr>
            <w:rFonts w:ascii="arial" w:eastAsia="arial" w:hAnsi="arial" w:cs="arial"/>
            <w:b w:val="0"/>
            <w:i/>
            <w:strike w:val="0"/>
            <w:noProof w:val="0"/>
            <w:color w:val="0077CC"/>
            <w:position w:val="0"/>
            <w:sz w:val="20"/>
            <w:u w:val="single"/>
            <w:vertAlign w:val="baseline"/>
          </w:rPr>
          <w:t>, 182 F.3d 400, 405 (6th Cir. 1999)</w:t>
        </w:r>
      </w:hyperlink>
      <w:r>
        <w:rPr>
          <w:rFonts w:ascii="arial" w:eastAsia="arial" w:hAnsi="arial" w:cs="arial"/>
          <w:b w:val="0"/>
          <w:i w:val="0"/>
          <w:strike w:val="0"/>
          <w:noProof w:val="0"/>
          <w:color w:val="000000"/>
          <w:position w:val="0"/>
          <w:sz w:val="20"/>
          <w:u w:val="none"/>
          <w:vertAlign w:val="baseline"/>
        </w:rPr>
        <w:t xml:space="preserve"> (discussing that </w:t>
      </w:r>
      <w:r>
        <w:rPr>
          <w:rFonts w:ascii="arial" w:eastAsia="arial" w:hAnsi="arial" w:cs="arial"/>
          <w:b w:val="0"/>
          <w:i/>
          <w:strike w:val="0"/>
          <w:noProof w:val="0"/>
          <w:color w:val="000000"/>
          <w:position w:val="0"/>
          <w:sz w:val="20"/>
          <w:u w:val="none"/>
          <w:vertAlign w:val="baseline"/>
        </w:rPr>
        <w:t>Lewis</w:t>
      </w:r>
      <w:r>
        <w:rPr>
          <w:rFonts w:ascii="arial" w:eastAsia="arial" w:hAnsi="arial" w:cs="arial"/>
          <w:b w:val="0"/>
          <w:i w:val="0"/>
          <w:strike w:val="0"/>
          <w:noProof w:val="0"/>
          <w:color w:val="000000"/>
          <w:position w:val="0"/>
          <w:sz w:val="20"/>
          <w:u w:val="none"/>
          <w:vertAlign w:val="baseline"/>
        </w:rPr>
        <w:t xml:space="preserve"> changed actual injury to include requirement that action be non-frivolous).</w:t>
      </w:r>
    </w:p>
    <w:p>
      <w:pPr>
        <w:keepNext w:val="0"/>
        <w:spacing w:before="240" w:after="0" w:line="260" w:lineRule="atLeast"/>
        <w:ind w:left="0" w:right="0" w:firstLine="0"/>
        <w:jc w:val="both"/>
      </w:pPr>
      <w:bookmarkStart w:id="86" w:name="Bookmark_para_16"/>
      <w:bookmarkEnd w:id="86"/>
      <w:bookmarkStart w:id="87" w:name="Bookmark_I68KJNKP2HM6WM0050000400"/>
      <w:bookmarkEnd w:id="87"/>
      <w:bookmarkStart w:id="88" w:name="Bookmark_I68KJNKP2HM6WR0040000400"/>
      <w:bookmarkEnd w:id="88"/>
      <w:r>
        <w:rPr>
          <w:rFonts w:ascii="arial" w:eastAsia="arial" w:hAnsi="arial" w:cs="arial"/>
          <w:b w:val="0"/>
          <w:i w:val="0"/>
          <w:strike w:val="0"/>
          <w:noProof w:val="0"/>
          <w:color w:val="000000"/>
          <w:position w:val="0"/>
          <w:sz w:val="20"/>
          <w:u w:val="none"/>
          <w:vertAlign w:val="baseline"/>
        </w:rPr>
        <w:t xml:space="preserve">In addition, the Supreme Court squarely has held that "the underlying cause of action . . . is an element that must be described in the complaint, just as much as allegations must describe the official acts frustrating the litigation." </w:t>
      </w:r>
      <w:bookmarkStart w:id="89" w:name="Bookmark_I68KJNKP2HM6WM0040000400"/>
      <w:bookmarkEnd w:id="89"/>
      <w:hyperlink r:id="rId34" w:history="1">
        <w:r>
          <w:rPr>
            <w:rFonts w:ascii="arial" w:eastAsia="arial" w:hAnsi="arial" w:cs="arial"/>
            <w:b w:val="0"/>
            <w:i/>
            <w:strike w:val="0"/>
            <w:noProof w:val="0"/>
            <w:color w:val="0077CC"/>
            <w:position w:val="0"/>
            <w:sz w:val="20"/>
            <w:u w:val="single"/>
            <w:vertAlign w:val="baseline"/>
          </w:rPr>
          <w:t>Christopher v. Harbury</w:t>
        </w:r>
      </w:hyperlink>
      <w:hyperlink r:id="rId34" w:history="1">
        <w:r>
          <w:rPr>
            <w:rFonts w:ascii="arial" w:eastAsia="arial" w:hAnsi="arial" w:cs="arial"/>
            <w:b w:val="0"/>
            <w:i/>
            <w:strike w:val="0"/>
            <w:noProof w:val="0"/>
            <w:color w:val="0077CC"/>
            <w:position w:val="0"/>
            <w:sz w:val="20"/>
            <w:u w:val="single"/>
            <w:vertAlign w:val="baseline"/>
          </w:rPr>
          <w:t>, 536 U.S. 403, 415, 122 S. Ct. 2179, 153 L. Ed. 2d 413 (2002)</w:t>
        </w:r>
      </w:hyperlink>
      <w:r>
        <w:rPr>
          <w:rFonts w:ascii="arial" w:eastAsia="arial" w:hAnsi="arial" w:cs="arial"/>
          <w:b w:val="0"/>
          <w:i w:val="0"/>
          <w:strike w:val="0"/>
          <w:noProof w:val="0"/>
          <w:color w:val="000000"/>
          <w:position w:val="0"/>
          <w:sz w:val="20"/>
          <w:u w:val="none"/>
          <w:vertAlign w:val="baseline"/>
        </w:rPr>
        <w:t xml:space="preserve"> (citing </w:t>
      </w:r>
      <w:bookmarkStart w:id="90" w:name="Bookmark_I68KJNKP2HM6WR0010000400"/>
      <w:bookmarkEnd w:id="90"/>
      <w:hyperlink r:id="rId29" w:history="1">
        <w:r>
          <w:rPr>
            <w:rFonts w:ascii="arial" w:eastAsia="arial" w:hAnsi="arial" w:cs="arial"/>
            <w:b w:val="0"/>
            <w:i/>
            <w:strike w:val="0"/>
            <w:noProof w:val="0"/>
            <w:color w:val="0077CC"/>
            <w:position w:val="0"/>
            <w:sz w:val="20"/>
            <w:u w:val="single"/>
            <w:vertAlign w:val="baseline"/>
          </w:rPr>
          <w:t>Lewis</w:t>
        </w:r>
      </w:hyperlink>
      <w:hyperlink r:id="rId29" w:history="1">
        <w:r>
          <w:rPr>
            <w:rFonts w:ascii="arial" w:eastAsia="arial" w:hAnsi="arial" w:cs="arial"/>
            <w:b w:val="0"/>
            <w:i/>
            <w:strike w:val="0"/>
            <w:noProof w:val="0"/>
            <w:color w:val="0077CC"/>
            <w:position w:val="0"/>
            <w:sz w:val="20"/>
            <w:u w:val="single"/>
            <w:vertAlign w:val="baseline"/>
          </w:rPr>
          <w:t>, 518 U.S. at 353 &amp; n.3</w:t>
        </w:r>
      </w:hyperlink>
      <w:r>
        <w:rPr>
          <w:rFonts w:ascii="arial" w:eastAsia="arial" w:hAnsi="arial" w:cs="arial"/>
          <w:b w:val="0"/>
          <w:i w:val="0"/>
          <w:strike w:val="0"/>
          <w:noProof w:val="0"/>
          <w:color w:val="000000"/>
          <w:position w:val="0"/>
          <w:sz w:val="20"/>
          <w:u w:val="none"/>
          <w:vertAlign w:val="baseline"/>
        </w:rPr>
        <w:t>). "Like any other element of an access claim, the underlying cause of action and its lost remedy must be addressed by allegations in the complaint sufficient to give</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fair notice to a defendant." </w:t>
      </w:r>
      <w:bookmarkStart w:id="91" w:name="Bookmark_I68KJNKP2HM6WR0030000400"/>
      <w:bookmarkEnd w:id="91"/>
      <w:hyperlink r:id="rId29" w:history="1">
        <w:r>
          <w:rPr>
            <w:rFonts w:ascii="arial" w:eastAsia="arial" w:hAnsi="arial" w:cs="arial"/>
            <w:b w:val="0"/>
            <w:i/>
            <w:strike w:val="0"/>
            <w:noProof w:val="0"/>
            <w:color w:val="0077CC"/>
            <w:position w:val="0"/>
            <w:sz w:val="20"/>
            <w:u w:val="single"/>
            <w:vertAlign w:val="baseline"/>
          </w:rPr>
          <w:t>Id.</w:t>
        </w:r>
      </w:hyperlink>
      <w:hyperlink r:id="rId29" w:history="1">
        <w:r>
          <w:rPr>
            <w:rFonts w:ascii="arial" w:eastAsia="arial" w:hAnsi="arial" w:cs="arial"/>
            <w:b w:val="0"/>
            <w:i/>
            <w:strike w:val="0"/>
            <w:noProof w:val="0"/>
            <w:color w:val="0077CC"/>
            <w:position w:val="0"/>
            <w:sz w:val="20"/>
            <w:u w:val="single"/>
            <w:vertAlign w:val="baseline"/>
          </w:rPr>
          <w:t xml:space="preserve"> at 415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92" w:name="Bookmark_para_17"/>
      <w:bookmarkEnd w:id="92"/>
      <w:r>
        <w:rPr>
          <w:rFonts w:ascii="arial" w:eastAsia="arial" w:hAnsi="arial" w:cs="arial"/>
          <w:b w:val="0"/>
          <w:i w:val="0"/>
          <w:strike w:val="0"/>
          <w:noProof w:val="0"/>
          <w:color w:val="000000"/>
          <w:position w:val="0"/>
          <w:sz w:val="20"/>
          <w:u w:val="none"/>
          <w:vertAlign w:val="baseline"/>
        </w:rPr>
        <w:t xml:space="preserve">Here, Plaintiff contends that the original affidavit "embodies evidence which could exonerate" him. (ECF No. 1, PageID.9.) Although Plaintiff does not explicitly address the underlying cause of action, as noted above, he has a </w:t>
      </w:r>
      <w:hyperlink r:id="rId17" w:history="1">
        <w:r>
          <w:rPr>
            <w:rFonts w:ascii="arial" w:eastAsia="arial" w:hAnsi="arial" w:cs="arial"/>
            <w:b w:val="0"/>
            <w:i/>
            <w:strike w:val="0"/>
            <w:noProof w:val="0"/>
            <w:color w:val="0077CC"/>
            <w:position w:val="0"/>
            <w:sz w:val="20"/>
            <w:u w:val="single"/>
            <w:vertAlign w:val="baseline"/>
          </w:rPr>
          <w:t>§ 2254</w:t>
        </w:r>
      </w:hyperlink>
      <w:r>
        <w:rPr>
          <w:rFonts w:ascii="arial" w:eastAsia="arial" w:hAnsi="arial" w:cs="arial"/>
          <w:b w:val="0"/>
          <w:i w:val="0"/>
          <w:strike w:val="0"/>
          <w:noProof w:val="0"/>
          <w:color w:val="000000"/>
          <w:position w:val="0"/>
          <w:sz w:val="20"/>
          <w:u w:val="none"/>
          <w:vertAlign w:val="baseline"/>
        </w:rPr>
        <w:t xml:space="preserve"> petition that is currently pending before this Court. Presumably, Plaintiff seeks to use Ro'Quan Tyler's affidavit in order to collaterally attack his convictions and sentences. Plaintiff, therefore, has sufficiently referenced an underlying cause of action for which there can be actual injury.</w:t>
      </w:r>
    </w:p>
    <w:p>
      <w:pPr>
        <w:keepNext w:val="0"/>
        <w:spacing w:before="200" w:after="0" w:line="260" w:lineRule="atLeast"/>
        <w:ind w:left="0" w:right="0" w:firstLine="0"/>
        <w:jc w:val="both"/>
      </w:pPr>
      <w:bookmarkStart w:id="93" w:name="Bookmark_para_18"/>
      <w:bookmarkEnd w:id="93"/>
      <w:r>
        <w:rPr>
          <w:rFonts w:ascii="arial" w:eastAsia="arial" w:hAnsi="arial" w:cs="arial"/>
          <w:b w:val="0"/>
          <w:i w:val="0"/>
          <w:strike w:val="0"/>
          <w:noProof w:val="0"/>
          <w:color w:val="000000"/>
          <w:position w:val="0"/>
          <w:sz w:val="20"/>
          <w:u w:val="none"/>
          <w:vertAlign w:val="baseline"/>
        </w:rPr>
        <w:t>Plaintiff's complaint, however, is completely devoid of facts suggesting how any of the named Defendants impeded his right to access the courts. Plaintiff does not explain why he requires the original copy of Tyler's affidavit to pursue his collateral attack on his convictions and sentences. As noted above, Plaintiff received a photocopy of the affidavit, and he attached a copy of the affidavit to the instant complaint. Presumably, Plaintiff would be able to use a copy of the affidavit in his pending federal habeas proceedings as well as any state court proceedings that Plaintiff may wish to pursue. Plaintiff simply fails to allege any facts</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from which the Court could infer that Plaintiff suffered any lost remedy as a result of not receiving the original affidavit. Plaintiff, therefore, has failed to state a claim for denial of access to the courts, and such claim will be dismissed.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Interference with Incoming Mail</w:t>
      </w:r>
    </w:p>
    <w:p>
      <w:pPr>
        <w:keepNext w:val="0"/>
        <w:spacing w:before="240" w:after="0" w:line="260" w:lineRule="atLeast"/>
        <w:ind w:left="0" w:right="0" w:firstLine="0"/>
        <w:jc w:val="both"/>
      </w:pPr>
      <w:bookmarkStart w:id="94" w:name="Bookmark_para_19"/>
      <w:bookmarkEnd w:id="94"/>
      <w:r>
        <w:rPr>
          <w:rFonts w:ascii="arial" w:eastAsia="arial" w:hAnsi="arial" w:cs="arial"/>
          <w:b w:val="0"/>
          <w:i w:val="0"/>
          <w:strike w:val="0"/>
          <w:noProof w:val="0"/>
          <w:color w:val="000000"/>
          <w:position w:val="0"/>
          <w:sz w:val="20"/>
          <w:u w:val="none"/>
          <w:vertAlign w:val="baseline"/>
        </w:rPr>
        <w:t xml:space="preserve">The Court has construed Plaintiff's complaint to assert a </w:t>
      </w:r>
      <w:hyperlink r:id="rId18"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claim premised upon the alleged interference with his incoming mail.</w:t>
      </w:r>
    </w:p>
    <w:p>
      <w:pPr>
        <w:keepNext w:val="0"/>
        <w:spacing w:before="240" w:after="0" w:line="260" w:lineRule="atLeast"/>
        <w:ind w:left="0" w:right="0" w:firstLine="0"/>
        <w:jc w:val="both"/>
      </w:pPr>
      <w:bookmarkStart w:id="95" w:name="Bookmark_para_20"/>
      <w:bookmarkEnd w:id="95"/>
      <w:bookmarkStart w:id="96" w:name="Bookmark_I68KJNKP2N1RRR0010000400"/>
      <w:bookmarkEnd w:id="96"/>
      <w:bookmarkStart w:id="97" w:name="Bookmark_I68KJNKP2N1RRR0050000400"/>
      <w:bookmarkEnd w:id="97"/>
      <w:bookmarkStart w:id="98" w:name="Bookmark_I68KJNKR2D6NXS0040000400"/>
      <w:bookmarkEnd w:id="98"/>
      <w:r>
        <w:rPr>
          <w:rFonts w:ascii="arial" w:eastAsia="arial" w:hAnsi="arial" w:cs="arial"/>
          <w:b w:val="0"/>
          <w:i w:val="0"/>
          <w:strike w:val="0"/>
          <w:noProof w:val="0"/>
          <w:color w:val="000000"/>
          <w:position w:val="0"/>
          <w:sz w:val="20"/>
          <w:u w:val="none"/>
          <w:vertAlign w:val="baseline"/>
        </w:rPr>
        <w:t xml:space="preserve">"A prisoner's right to receive mail is protected by the </w:t>
      </w:r>
      <w:hyperlink r:id="rId18"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w:t>
      </w:r>
      <w:bookmarkStart w:id="99" w:name="Bookmark_I68KJNKP2HM6WR0050000400"/>
      <w:bookmarkEnd w:id="99"/>
      <w:hyperlink r:id="rId28" w:history="1">
        <w:r>
          <w:rPr>
            <w:rFonts w:ascii="arial" w:eastAsia="arial" w:hAnsi="arial" w:cs="arial"/>
            <w:b w:val="0"/>
            <w:i/>
            <w:strike w:val="0"/>
            <w:noProof w:val="0"/>
            <w:color w:val="0077CC"/>
            <w:position w:val="0"/>
            <w:sz w:val="20"/>
            <w:u w:val="single"/>
            <w:vertAlign w:val="baseline"/>
          </w:rPr>
          <w:t>Knop v. Johnson</w:t>
        </w:r>
      </w:hyperlink>
      <w:hyperlink r:id="rId28" w:history="1">
        <w:r>
          <w:rPr>
            <w:rFonts w:ascii="arial" w:eastAsia="arial" w:hAnsi="arial" w:cs="arial"/>
            <w:b w:val="0"/>
            <w:i/>
            <w:strike w:val="0"/>
            <w:noProof w:val="0"/>
            <w:color w:val="0077CC"/>
            <w:position w:val="0"/>
            <w:sz w:val="20"/>
            <w:u w:val="single"/>
            <w:vertAlign w:val="baseline"/>
          </w:rPr>
          <w:t>, 977 F.2d 996, 1012 (6th Cir. 1992)</w:t>
        </w:r>
      </w:hyperlink>
      <w:r>
        <w:rPr>
          <w:rFonts w:ascii="arial" w:eastAsia="arial" w:hAnsi="arial" w:cs="arial"/>
          <w:b w:val="0"/>
          <w:i w:val="0"/>
          <w:strike w:val="0"/>
          <w:noProof w:val="0"/>
          <w:color w:val="000000"/>
          <w:position w:val="0"/>
          <w:sz w:val="20"/>
          <w:u w:val="none"/>
          <w:vertAlign w:val="baseline"/>
        </w:rPr>
        <w:t xml:space="preserve"> (citing </w:t>
      </w:r>
      <w:bookmarkStart w:id="100" w:name="Bookmark_I68KJNKP2N1RRR0020000400"/>
      <w:bookmarkEnd w:id="100"/>
      <w:hyperlink r:id="rId35" w:history="1">
        <w:r>
          <w:rPr>
            <w:rFonts w:ascii="arial" w:eastAsia="arial" w:hAnsi="arial" w:cs="arial"/>
            <w:b w:val="0"/>
            <w:i/>
            <w:strike w:val="0"/>
            <w:noProof w:val="0"/>
            <w:color w:val="0077CC"/>
            <w:position w:val="0"/>
            <w:sz w:val="20"/>
            <w:u w:val="single"/>
            <w:vertAlign w:val="baseline"/>
          </w:rPr>
          <w:t>Pell v. Procunier</w:t>
        </w:r>
      </w:hyperlink>
      <w:hyperlink r:id="rId35" w:history="1">
        <w:r>
          <w:rPr>
            <w:rFonts w:ascii="arial" w:eastAsia="arial" w:hAnsi="arial" w:cs="arial"/>
            <w:b w:val="0"/>
            <w:i/>
            <w:strike w:val="0"/>
            <w:noProof w:val="0"/>
            <w:color w:val="0077CC"/>
            <w:position w:val="0"/>
            <w:sz w:val="20"/>
            <w:u w:val="single"/>
            <w:vertAlign w:val="baseline"/>
          </w:rPr>
          <w:t>, 417 U.S. 817, 822, 94 S. Ct. 2800, 41 L. Ed. 2d 495 (1974)</w:t>
        </w:r>
      </w:hyperlink>
      <w:r>
        <w:rPr>
          <w:rFonts w:ascii="arial" w:eastAsia="arial" w:hAnsi="arial" w:cs="arial"/>
          <w:b w:val="0"/>
          <w:i w:val="0"/>
          <w:strike w:val="0"/>
          <w:noProof w:val="0"/>
          <w:color w:val="000000"/>
          <w:position w:val="0"/>
          <w:sz w:val="20"/>
          <w:u w:val="none"/>
          <w:vertAlign w:val="baseline"/>
        </w:rPr>
        <w:t xml:space="preserve">). </w:t>
      </w:r>
      <w:bookmarkStart w:id="101" w:name="Bookmark_I68KJNKR2SF89D0050000400"/>
      <w:bookmarkEnd w:id="101"/>
      <w:r>
        <w:rPr>
          <w:rFonts w:ascii="arial" w:eastAsia="arial" w:hAnsi="arial" w:cs="arial"/>
          <w:b w:val="0"/>
          <w:i w:val="0"/>
          <w:strike w:val="0"/>
          <w:noProof w:val="0"/>
          <w:color w:val="000000"/>
          <w:position w:val="0"/>
          <w:sz w:val="20"/>
          <w:u w:val="none"/>
          <w:vertAlign w:val="baseline"/>
        </w:rPr>
        <w:t xml:space="preserve">"Mail is one medium of free speech, and the right to send and receive mail exists under the </w:t>
      </w:r>
      <w:hyperlink r:id="rId18"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w:t>
      </w:r>
      <w:bookmarkStart w:id="102" w:name="Bookmark_I68KJNKP2N1RRR0040000400"/>
      <w:bookmarkEnd w:id="102"/>
      <w:hyperlink r:id="rId36" w:history="1">
        <w:r>
          <w:rPr>
            <w:rFonts w:ascii="arial" w:eastAsia="arial" w:hAnsi="arial" w:cs="arial"/>
            <w:b w:val="0"/>
            <w:i/>
            <w:strike w:val="0"/>
            <w:noProof w:val="0"/>
            <w:color w:val="0077CC"/>
            <w:position w:val="0"/>
            <w:sz w:val="20"/>
            <w:u w:val="single"/>
            <w:vertAlign w:val="baseline"/>
          </w:rPr>
          <w:t>Al-Amin v. Smith</w:t>
        </w:r>
      </w:hyperlink>
      <w:hyperlink r:id="rId36" w:history="1">
        <w:r>
          <w:rPr>
            <w:rFonts w:ascii="arial" w:eastAsia="arial" w:hAnsi="arial" w:cs="arial"/>
            <w:b w:val="0"/>
            <w:i/>
            <w:strike w:val="0"/>
            <w:noProof w:val="0"/>
            <w:color w:val="0077CC"/>
            <w:position w:val="0"/>
            <w:sz w:val="20"/>
            <w:u w:val="single"/>
            <w:vertAlign w:val="baseline"/>
          </w:rPr>
          <w:t>, 511 F.3d 1317, 1333 (11th Cir. 2008)</w:t>
        </w:r>
      </w:hyperlink>
      <w:r>
        <w:rPr>
          <w:rFonts w:ascii="arial" w:eastAsia="arial" w:hAnsi="arial" w:cs="arial"/>
          <w:b w:val="0"/>
          <w:i w:val="0"/>
          <w:strike w:val="0"/>
          <w:noProof w:val="0"/>
          <w:color w:val="000000"/>
          <w:position w:val="0"/>
          <w:sz w:val="20"/>
          <w:u w:val="none"/>
          <w:vertAlign w:val="baseline"/>
        </w:rPr>
        <w:t xml:space="preserve"> (citing </w:t>
      </w:r>
      <w:bookmarkStart w:id="103" w:name="Bookmark_I68KJNKR2D6NXS0010000400"/>
      <w:bookmarkEnd w:id="103"/>
      <w:hyperlink r:id="rId37" w:history="1">
        <w:r>
          <w:rPr>
            <w:rFonts w:ascii="arial" w:eastAsia="arial" w:hAnsi="arial" w:cs="arial"/>
            <w:b w:val="0"/>
            <w:i/>
            <w:strike w:val="0"/>
            <w:noProof w:val="0"/>
            <w:color w:val="0077CC"/>
            <w:position w:val="0"/>
            <w:sz w:val="20"/>
            <w:u w:val="single"/>
            <w:vertAlign w:val="baseline"/>
          </w:rPr>
          <w:t>City of Cincinnati v. Discovery Network, Inc.</w:t>
        </w:r>
      </w:hyperlink>
      <w:hyperlink r:id="rId37" w:history="1">
        <w:r>
          <w:rPr>
            <w:rFonts w:ascii="arial" w:eastAsia="arial" w:hAnsi="arial" w:cs="arial"/>
            <w:b w:val="0"/>
            <w:i/>
            <w:strike w:val="0"/>
            <w:noProof w:val="0"/>
            <w:color w:val="0077CC"/>
            <w:position w:val="0"/>
            <w:sz w:val="20"/>
            <w:u w:val="single"/>
            <w:vertAlign w:val="baseline"/>
          </w:rPr>
          <w:t>, 507 U.S. 410, 427, 113 S. Ct. 1505, 123 L. Ed. 2d 99 (1993)</w:t>
        </w:r>
      </w:hyperlink>
      <w:r>
        <w:rPr>
          <w:rFonts w:ascii="arial" w:eastAsia="arial" w:hAnsi="arial" w:cs="arial"/>
          <w:b w:val="0"/>
          <w:i w:val="0"/>
          <w:strike w:val="0"/>
          <w:noProof w:val="0"/>
          <w:color w:val="000000"/>
          <w:position w:val="0"/>
          <w:sz w:val="20"/>
          <w:u w:val="none"/>
          <w:vertAlign w:val="baseline"/>
        </w:rPr>
        <w:t xml:space="preserve">). A prisoner, however, retains only those </w:t>
      </w:r>
      <w:hyperlink r:id="rId18"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freedoms which are "not inconsistent with his status as a prisoner or with legitimate penological objectives of the corrections systems." </w:t>
      </w:r>
      <w:bookmarkStart w:id="104" w:name="Bookmark_I68KJNKR2D6NXS0030000400"/>
      <w:bookmarkEnd w:id="104"/>
      <w:hyperlink r:id="rId38" w:history="1">
        <w:r>
          <w:rPr>
            <w:rFonts w:ascii="arial" w:eastAsia="arial" w:hAnsi="arial" w:cs="arial"/>
            <w:b w:val="0"/>
            <w:i/>
            <w:strike w:val="0"/>
            <w:noProof w:val="0"/>
            <w:color w:val="0077CC"/>
            <w:position w:val="0"/>
            <w:sz w:val="20"/>
            <w:u w:val="single"/>
            <w:vertAlign w:val="baseline"/>
          </w:rPr>
          <w:t>Martin v. Kelley</w:t>
        </w:r>
      </w:hyperlink>
      <w:hyperlink r:id="rId38" w:history="1">
        <w:r>
          <w:rPr>
            <w:rFonts w:ascii="arial" w:eastAsia="arial" w:hAnsi="arial" w:cs="arial"/>
            <w:b w:val="0"/>
            <w:i/>
            <w:strike w:val="0"/>
            <w:noProof w:val="0"/>
            <w:color w:val="0077CC"/>
            <w:position w:val="0"/>
            <w:sz w:val="20"/>
            <w:u w:val="single"/>
            <w:vertAlign w:val="baseline"/>
          </w:rPr>
          <w:t>, 803 F.2d 236, 240 n.7 (6th Cir. 1986)</w:t>
        </w:r>
      </w:hyperlink>
      <w:r>
        <w:rPr>
          <w:rFonts w:ascii="arial" w:eastAsia="arial" w:hAnsi="arial" w:cs="arial"/>
          <w:b w:val="0"/>
          <w:i w:val="0"/>
          <w:strike w:val="0"/>
          <w:noProof w:val="0"/>
          <w:color w:val="000000"/>
          <w:position w:val="0"/>
          <w:sz w:val="20"/>
          <w:u w:val="none"/>
          <w:vertAlign w:val="baseline"/>
        </w:rPr>
        <w:t xml:space="preserve"> (quoting </w:t>
      </w:r>
      <w:bookmarkStart w:id="105" w:name="Bookmark_I68KJNKR2D6NXS0050000400"/>
      <w:bookmarkEnd w:id="105"/>
      <w:hyperlink r:id="rId35" w:history="1">
        <w:r>
          <w:rPr>
            <w:rFonts w:ascii="arial" w:eastAsia="arial" w:hAnsi="arial" w:cs="arial"/>
            <w:b w:val="0"/>
            <w:i/>
            <w:strike w:val="0"/>
            <w:noProof w:val="0"/>
            <w:color w:val="0077CC"/>
            <w:position w:val="0"/>
            <w:sz w:val="20"/>
            <w:u w:val="single"/>
            <w:vertAlign w:val="baseline"/>
          </w:rPr>
          <w:t>Pell</w:t>
        </w:r>
      </w:hyperlink>
      <w:hyperlink r:id="rId35" w:history="1">
        <w:r>
          <w:rPr>
            <w:rFonts w:ascii="arial" w:eastAsia="arial" w:hAnsi="arial" w:cs="arial"/>
            <w:b w:val="0"/>
            <w:i/>
            <w:strike w:val="0"/>
            <w:noProof w:val="0"/>
            <w:color w:val="0077CC"/>
            <w:position w:val="0"/>
            <w:sz w:val="20"/>
            <w:u w:val="single"/>
            <w:vertAlign w:val="baseline"/>
          </w:rPr>
          <w:t>, 417 U.S. at 822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106" w:name="Bookmark_I68KJNKR2SF89D0020000400"/>
      <w:bookmarkEnd w:id="106"/>
      <w:hyperlink r:id="rId39" w:history="1">
        <w:r>
          <w:rPr>
            <w:rFonts w:ascii="arial" w:eastAsia="arial" w:hAnsi="arial" w:cs="arial"/>
            <w:b w:val="0"/>
            <w:i/>
            <w:strike w:val="0"/>
            <w:noProof w:val="0"/>
            <w:color w:val="0077CC"/>
            <w:position w:val="0"/>
            <w:sz w:val="20"/>
            <w:u w:val="single"/>
            <w:vertAlign w:val="baseline"/>
          </w:rPr>
          <w:t>Turner v. Safley</w:t>
        </w:r>
      </w:hyperlink>
      <w:hyperlink r:id="rId39" w:history="1">
        <w:r>
          <w:rPr>
            <w:rFonts w:ascii="arial" w:eastAsia="arial" w:hAnsi="arial" w:cs="arial"/>
            <w:b w:val="0"/>
            <w:i/>
            <w:strike w:val="0"/>
            <w:noProof w:val="0"/>
            <w:color w:val="0077CC"/>
            <w:position w:val="0"/>
            <w:sz w:val="20"/>
            <w:u w:val="single"/>
            <w:vertAlign w:val="baseline"/>
          </w:rPr>
          <w:t>, 482 U.S. 78, 107 S. Ct. 2254, 96 L. Ed. 2d 64 (1987)</w:t>
        </w:r>
      </w:hyperlink>
      <w:r>
        <w:rPr>
          <w:rFonts w:ascii="arial" w:eastAsia="arial" w:hAnsi="arial" w:cs="arial"/>
          <w:b w:val="0"/>
          <w:i w:val="0"/>
          <w:strike w:val="0"/>
          <w:noProof w:val="0"/>
          <w:color w:val="000000"/>
          <w:position w:val="0"/>
          <w:sz w:val="20"/>
          <w:u w:val="none"/>
          <w:vertAlign w:val="baseline"/>
        </w:rPr>
        <w:t xml:space="preserve">. </w:t>
      </w:r>
      <w:bookmarkStart w:id="107" w:name="Bookmark_I68KJNKR2SF89D0050000400_2"/>
      <w:bookmarkEnd w:id="107"/>
      <w:r>
        <w:rPr>
          <w:rFonts w:ascii="arial" w:eastAsia="arial" w:hAnsi="arial" w:cs="arial"/>
          <w:b w:val="0"/>
          <w:i w:val="0"/>
          <w:strike w:val="0"/>
          <w:noProof w:val="0"/>
          <w:color w:val="000000"/>
          <w:position w:val="0"/>
          <w:sz w:val="20"/>
          <w:u w:val="none"/>
          <w:vertAlign w:val="baseline"/>
        </w:rPr>
        <w:t xml:space="preserve">Incoming mail has long been recognized to pose a greater threat to prison order and security than outgoing mail. </w:t>
      </w:r>
      <w:bookmarkStart w:id="108" w:name="Bookmark_I68KJNKR2SF89D0040000400"/>
      <w:bookmarkEnd w:id="108"/>
      <w:hyperlink r:id="rId40" w:history="1">
        <w:r>
          <w:rPr>
            <w:rFonts w:ascii="arial" w:eastAsia="arial" w:hAnsi="arial" w:cs="arial"/>
            <w:b w:val="0"/>
            <w:i/>
            <w:strike w:val="0"/>
            <w:noProof w:val="0"/>
            <w:color w:val="0077CC"/>
            <w:position w:val="0"/>
            <w:sz w:val="20"/>
            <w:u w:val="single"/>
            <w:vertAlign w:val="baseline"/>
          </w:rPr>
          <w:t>Thornburgh v. Abbott</w:t>
        </w:r>
      </w:hyperlink>
      <w:hyperlink r:id="rId40" w:history="1">
        <w:r>
          <w:rPr>
            <w:rFonts w:ascii="arial" w:eastAsia="arial" w:hAnsi="arial" w:cs="arial"/>
            <w:b w:val="0"/>
            <w:i/>
            <w:strike w:val="0"/>
            <w:noProof w:val="0"/>
            <w:color w:val="0077CC"/>
            <w:position w:val="0"/>
            <w:sz w:val="20"/>
            <w:u w:val="single"/>
            <w:vertAlign w:val="baseline"/>
          </w:rPr>
          <w:t>, 490 U.S. 401, 109 S. Ct. 1874, 104 L. Ed. 2d 459 (1989)</w:t>
        </w:r>
      </w:hyperlink>
      <w:r>
        <w:rPr>
          <w:rFonts w:ascii="arial" w:eastAsia="arial" w:hAnsi="arial" w:cs="arial"/>
          <w:b w:val="0"/>
          <w:i w:val="0"/>
          <w:strike w:val="0"/>
          <w:noProof w:val="0"/>
          <w:color w:val="000000"/>
          <w:position w:val="0"/>
          <w:sz w:val="20"/>
          <w:u w:val="none"/>
          <w:vertAlign w:val="baseline"/>
        </w:rPr>
        <w:t xml:space="preserve">; </w:t>
      </w:r>
      <w:bookmarkStart w:id="109" w:name="Bookmark_I68KJNKS2D6NY20010000400"/>
      <w:bookmarkEnd w:id="109"/>
      <w:hyperlink r:id="rId39" w:history="1">
        <w:r>
          <w:rPr>
            <w:rFonts w:ascii="arial" w:eastAsia="arial" w:hAnsi="arial" w:cs="arial"/>
            <w:b w:val="0"/>
            <w:i/>
            <w:strike w:val="0"/>
            <w:noProof w:val="0"/>
            <w:color w:val="0077CC"/>
            <w:position w:val="0"/>
            <w:sz w:val="20"/>
            <w:u w:val="single"/>
            <w:vertAlign w:val="baseline"/>
          </w:rPr>
          <w:t>Turner</w:t>
        </w:r>
      </w:hyperlink>
      <w:hyperlink r:id="rId39" w:history="1">
        <w:r>
          <w:rPr>
            <w:rFonts w:ascii="arial" w:eastAsia="arial" w:hAnsi="arial" w:cs="arial"/>
            <w:b w:val="0"/>
            <w:i/>
            <w:strike w:val="0"/>
            <w:noProof w:val="0"/>
            <w:color w:val="0077CC"/>
            <w:position w:val="0"/>
            <w:sz w:val="20"/>
            <w:u w:val="single"/>
            <w:vertAlign w:val="baseline"/>
          </w:rPr>
          <w:t>, 482 U.S. 78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10" w:name="Bookmark_para_21"/>
      <w:bookmarkEnd w:id="110"/>
      <w:bookmarkStart w:id="111" w:name="Bookmark_I68KJNKS2D6NY20040000400"/>
      <w:bookmarkEnd w:id="111"/>
      <w:r>
        <w:rPr>
          <w:rFonts w:ascii="arial" w:eastAsia="arial" w:hAnsi="arial" w:cs="arial"/>
          <w:b w:val="0"/>
          <w:i w:val="0"/>
          <w:strike w:val="0"/>
          <w:noProof w:val="0"/>
          <w:color w:val="000000"/>
          <w:position w:val="0"/>
          <w:sz w:val="20"/>
          <w:u w:val="none"/>
          <w:vertAlign w:val="baseline"/>
        </w:rPr>
        <w:t xml:space="preserve">Plaintiff, however, does not allege any facts from which the Court could construe a plausible </w:t>
      </w:r>
      <w:hyperlink r:id="rId18"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claim premised upon interference with Plaintiff's incoming mail. Plaintiff received the document in question—Tyler's affidavit. Plaintiff's incoming mail was not censored; instead, Plaintiff takes issue with</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the fact that he received a copy of the affidavit, not the original, and that the original was not retained. "The </w:t>
      </w:r>
      <w:hyperlink r:id="rId18"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protects </w:t>
      </w:r>
      <w:r>
        <w:rPr>
          <w:rFonts w:ascii="arial" w:eastAsia="arial" w:hAnsi="arial" w:cs="arial"/>
          <w:b w:val="0"/>
          <w:i/>
          <w:strike w:val="0"/>
          <w:noProof w:val="0"/>
          <w:color w:val="000000"/>
          <w:position w:val="0"/>
          <w:sz w:val="20"/>
          <w:u w:val="none"/>
          <w:vertAlign w:val="baseline"/>
        </w:rPr>
        <w:t>communication</w:t>
      </w:r>
      <w:r>
        <w:rPr>
          <w:rFonts w:ascii="arial" w:eastAsia="arial" w:hAnsi="arial" w:cs="arial"/>
          <w:b w:val="0"/>
          <w:i w:val="0"/>
          <w:strike w:val="0"/>
          <w:noProof w:val="0"/>
          <w:color w:val="000000"/>
          <w:position w:val="0"/>
          <w:sz w:val="20"/>
          <w:u w:val="none"/>
          <w:vertAlign w:val="baseline"/>
        </w:rPr>
        <w:t xml:space="preserve">, not pieces of paper." </w:t>
      </w:r>
      <w:r>
        <w:rPr>
          <w:rFonts w:ascii="arial" w:eastAsia="arial" w:hAnsi="arial" w:cs="arial"/>
          <w:b w:val="0"/>
          <w:i/>
          <w:strike w:val="0"/>
          <w:noProof w:val="0"/>
          <w:color w:val="000000"/>
          <w:position w:val="0"/>
          <w:sz w:val="20"/>
          <w:u w:val="none"/>
          <w:vertAlign w:val="baseline"/>
        </w:rPr>
        <w:t xml:space="preserve">See </w:t>
      </w:r>
      <w:bookmarkStart w:id="112" w:name="Bookmark_I68KJNKS2D6NY20030000400"/>
      <w:bookmarkEnd w:id="112"/>
      <w:hyperlink r:id="rId41" w:history="1">
        <w:r>
          <w:rPr>
            <w:rFonts w:ascii="arial" w:eastAsia="arial" w:hAnsi="arial" w:cs="arial"/>
            <w:b w:val="0"/>
            <w:i/>
            <w:strike w:val="0"/>
            <w:noProof w:val="0"/>
            <w:color w:val="0077CC"/>
            <w:position w:val="0"/>
            <w:sz w:val="20"/>
            <w:u w:val="single"/>
            <w:vertAlign w:val="baseline"/>
          </w:rPr>
          <w:t>Williams v. Redman</w:t>
        </w:r>
      </w:hyperlink>
      <w:hyperlink r:id="rId41" w:history="1">
        <w:r>
          <w:rPr>
            <w:rFonts w:ascii="arial" w:eastAsia="arial" w:hAnsi="arial" w:cs="arial"/>
            <w:b w:val="0"/>
            <w:i/>
            <w:strike w:val="0"/>
            <w:noProof w:val="0"/>
            <w:color w:val="0077CC"/>
            <w:position w:val="0"/>
            <w:sz w:val="20"/>
            <w:u w:val="single"/>
            <w:vertAlign w:val="baseline"/>
          </w:rPr>
          <w:t>, No. 3:20-cv-196-JD-MGG, 2021 U.S. Dist. LEXIS 90203, 2021 WL 1907224, at *4 (N.D. Ind. May 12, 2021)</w:t>
        </w:r>
      </w:hyperlink>
      <w:r>
        <w:rPr>
          <w:rFonts w:ascii="arial" w:eastAsia="arial" w:hAnsi="arial" w:cs="arial"/>
          <w:b w:val="0"/>
          <w:i w:val="0"/>
          <w:strike w:val="0"/>
          <w:noProof w:val="0"/>
          <w:color w:val="000000"/>
          <w:position w:val="0"/>
          <w:sz w:val="20"/>
          <w:u w:val="none"/>
          <w:vertAlign w:val="baseline"/>
        </w:rPr>
        <w:t xml:space="preserve"> (concluding that an inmate failed to state a </w:t>
      </w:r>
      <w:hyperlink r:id="rId18"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violation based on the fact that the jail where he was incarcerated copied incoming mail, gave him the copies, and held the originals with the plaintiff's property). Plaintiff's displeasure with his receipt of the copy, not the original, simply does not rise to the level of a </w:t>
      </w:r>
      <w:hyperlink r:id="rId18"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violation. Accordingly, the Court will dismiss any intended </w:t>
      </w:r>
      <w:hyperlink r:id="rId18"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claim premised upon interference with Plaintiff's incoming mail.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Claims Regarding the Handling of and Responses to Plaintiff's Grievances</w:t>
      </w:r>
    </w:p>
    <w:p>
      <w:pPr>
        <w:keepNext w:val="0"/>
        <w:spacing w:before="240" w:after="0" w:line="260" w:lineRule="atLeast"/>
        <w:ind w:left="0" w:right="0" w:firstLine="0"/>
        <w:jc w:val="both"/>
      </w:pPr>
      <w:bookmarkStart w:id="113" w:name="Bookmark_para_22"/>
      <w:bookmarkEnd w:id="113"/>
      <w:r>
        <w:rPr>
          <w:rFonts w:ascii="arial" w:eastAsia="arial" w:hAnsi="arial" w:cs="arial"/>
          <w:b w:val="0"/>
          <w:i w:val="0"/>
          <w:strike w:val="0"/>
          <w:noProof w:val="0"/>
          <w:color w:val="000000"/>
          <w:position w:val="0"/>
          <w:sz w:val="20"/>
          <w:u w:val="none"/>
          <w:vertAlign w:val="baseline"/>
        </w:rPr>
        <w:t xml:space="preserve">The Court has also construed Plaintiff's complaint to assert constitutional claims premised upon Defendants' handling of and responses to his grievances concerning the loss of the original affidavit. </w:t>
      </w:r>
      <w:bookmarkStart w:id="114" w:name="Bookmark_I68KJNKS2SF89J0010000400"/>
      <w:bookmarkEnd w:id="114"/>
      <w:r>
        <w:rPr>
          <w:rFonts w:ascii="arial" w:eastAsia="arial" w:hAnsi="arial" w:cs="arial"/>
          <w:b w:val="0"/>
          <w:i w:val="0"/>
          <w:strike w:val="0"/>
          <w:noProof w:val="0"/>
          <w:color w:val="000000"/>
          <w:position w:val="0"/>
          <w:sz w:val="20"/>
          <w:u w:val="none"/>
          <w:vertAlign w:val="baseline"/>
        </w:rPr>
        <w:t xml:space="preserve">Plaintiff, however, has no due process right to file a prison grievance. The courts repeatedly have held that there exists no constitutionally protected due process right to an effective prison grievance procedure. </w:t>
      </w:r>
      <w:bookmarkStart w:id="115" w:name="Bookmark_I68KJNKS28T4FV0050000400"/>
      <w:bookmarkEnd w:id="115"/>
      <w:r>
        <w:rPr>
          <w:rFonts w:ascii="arial" w:eastAsia="arial" w:hAnsi="arial" w:cs="arial"/>
          <w:b w:val="0"/>
          <w:i/>
          <w:strike w:val="0"/>
          <w:noProof w:val="0"/>
          <w:color w:val="000000"/>
          <w:position w:val="0"/>
          <w:sz w:val="20"/>
          <w:u w:val="none"/>
          <w:vertAlign w:val="baseline"/>
        </w:rPr>
        <w:t xml:space="preserve">See </w:t>
      </w:r>
      <w:bookmarkStart w:id="116" w:name="Bookmark_I68KJNKS2D6NY20050000400"/>
      <w:bookmarkEnd w:id="116"/>
      <w:hyperlink r:id="rId42" w:history="1">
        <w:r>
          <w:rPr>
            <w:rFonts w:ascii="arial" w:eastAsia="arial" w:hAnsi="arial" w:cs="arial"/>
            <w:b w:val="0"/>
            <w:i/>
            <w:strike w:val="0"/>
            <w:noProof w:val="0"/>
            <w:color w:val="0077CC"/>
            <w:position w:val="0"/>
            <w:sz w:val="20"/>
            <w:u w:val="single"/>
            <w:vertAlign w:val="baseline"/>
          </w:rPr>
          <w:t>Hewitt v. Helms</w:t>
        </w:r>
      </w:hyperlink>
      <w:hyperlink r:id="rId42" w:history="1">
        <w:r>
          <w:rPr>
            <w:rFonts w:ascii="arial" w:eastAsia="arial" w:hAnsi="arial" w:cs="arial"/>
            <w:b w:val="0"/>
            <w:i/>
            <w:strike w:val="0"/>
            <w:noProof w:val="0"/>
            <w:color w:val="0077CC"/>
            <w:position w:val="0"/>
            <w:sz w:val="20"/>
            <w:u w:val="single"/>
            <w:vertAlign w:val="baseline"/>
          </w:rPr>
          <w:t>, 459 U.S. 460, 467, 103 S. Ct. 864, 74 L. Ed. 2d 675 (1983)</w:t>
        </w:r>
      </w:hyperlink>
      <w:r>
        <w:rPr>
          <w:rFonts w:ascii="arial" w:eastAsia="arial" w:hAnsi="arial" w:cs="arial"/>
          <w:b w:val="0"/>
          <w:i w:val="0"/>
          <w:strike w:val="0"/>
          <w:noProof w:val="0"/>
          <w:color w:val="000000"/>
          <w:position w:val="0"/>
          <w:sz w:val="20"/>
          <w:u w:val="none"/>
          <w:vertAlign w:val="baseline"/>
        </w:rPr>
        <w:t xml:space="preserve">; </w:t>
      </w:r>
      <w:bookmarkStart w:id="117" w:name="Bookmark_I68KJNKS2SF89J0020000400"/>
      <w:bookmarkEnd w:id="117"/>
      <w:hyperlink r:id="rId43" w:history="1">
        <w:r>
          <w:rPr>
            <w:rFonts w:ascii="arial" w:eastAsia="arial" w:hAnsi="arial" w:cs="arial"/>
            <w:b w:val="0"/>
            <w:i/>
            <w:strike w:val="0"/>
            <w:noProof w:val="0"/>
            <w:color w:val="0077CC"/>
            <w:position w:val="0"/>
            <w:sz w:val="20"/>
            <w:u w:val="single"/>
            <w:vertAlign w:val="baseline"/>
          </w:rPr>
          <w:t>Walker v. Mich. Dep't of Corr.</w:t>
        </w:r>
      </w:hyperlink>
      <w:hyperlink r:id="rId43" w:history="1">
        <w:r>
          <w:rPr>
            <w:rFonts w:ascii="arial" w:eastAsia="arial" w:hAnsi="arial" w:cs="arial"/>
            <w:b w:val="0"/>
            <w:i/>
            <w:strike w:val="0"/>
            <w:noProof w:val="0"/>
            <w:color w:val="0077CC"/>
            <w:position w:val="0"/>
            <w:sz w:val="20"/>
            <w:u w:val="single"/>
            <w:vertAlign w:val="baseline"/>
          </w:rPr>
          <w:t>, 128 F. App'x 441, 445 (6th Cir. 2005)</w:t>
        </w:r>
      </w:hyperlink>
      <w:r>
        <w:rPr>
          <w:rFonts w:ascii="arial" w:eastAsia="arial" w:hAnsi="arial" w:cs="arial"/>
          <w:b w:val="0"/>
          <w:i w:val="0"/>
          <w:strike w:val="0"/>
          <w:noProof w:val="0"/>
          <w:color w:val="000000"/>
          <w:position w:val="0"/>
          <w:sz w:val="20"/>
          <w:u w:val="none"/>
          <w:vertAlign w:val="baseline"/>
        </w:rPr>
        <w:t xml:space="preserve">; </w:t>
      </w:r>
      <w:bookmarkStart w:id="118" w:name="Bookmark_I68KJNKS2SF89J0040000400"/>
      <w:bookmarkEnd w:id="118"/>
      <w:hyperlink r:id="rId44" w:history="1">
        <w:r>
          <w:rPr>
            <w:rFonts w:ascii="arial" w:eastAsia="arial" w:hAnsi="arial" w:cs="arial"/>
            <w:b w:val="0"/>
            <w:i/>
            <w:strike w:val="0"/>
            <w:noProof w:val="0"/>
            <w:color w:val="0077CC"/>
            <w:position w:val="0"/>
            <w:sz w:val="20"/>
            <w:u w:val="single"/>
            <w:vertAlign w:val="baseline"/>
          </w:rPr>
          <w:t>Argue v. Hofmeyer</w:t>
        </w:r>
      </w:hyperlink>
      <w:hyperlink r:id="rId44" w:history="1">
        <w:r>
          <w:rPr>
            <w:rFonts w:ascii="arial" w:eastAsia="arial" w:hAnsi="arial" w:cs="arial"/>
            <w:b w:val="0"/>
            <w:i/>
            <w:strike w:val="0"/>
            <w:noProof w:val="0"/>
            <w:color w:val="0077CC"/>
            <w:position w:val="0"/>
            <w:sz w:val="20"/>
            <w:u w:val="single"/>
            <w:vertAlign w:val="baseline"/>
          </w:rPr>
          <w:t>, 80 F. App'x 427, 430 (6th Cir. 2003)</w:t>
        </w:r>
      </w:hyperlink>
      <w:r>
        <w:rPr>
          <w:rFonts w:ascii="arial" w:eastAsia="arial" w:hAnsi="arial" w:cs="arial"/>
          <w:b w:val="0"/>
          <w:i w:val="0"/>
          <w:strike w:val="0"/>
          <w:noProof w:val="0"/>
          <w:color w:val="000000"/>
          <w:position w:val="0"/>
          <w:sz w:val="20"/>
          <w:u w:val="none"/>
          <w:vertAlign w:val="baseline"/>
        </w:rPr>
        <w:t xml:space="preserve">; </w:t>
      </w:r>
      <w:bookmarkStart w:id="119" w:name="Bookmark_I68KJNKS2N1RS90010000400"/>
      <w:bookmarkEnd w:id="119"/>
      <w:hyperlink r:id="rId45" w:history="1">
        <w:r>
          <w:rPr>
            <w:rFonts w:ascii="arial" w:eastAsia="arial" w:hAnsi="arial" w:cs="arial"/>
            <w:b w:val="0"/>
            <w:i/>
            <w:strike w:val="0"/>
            <w:noProof w:val="0"/>
            <w:color w:val="0077CC"/>
            <w:position w:val="0"/>
            <w:sz w:val="20"/>
            <w:u w:val="single"/>
            <w:vertAlign w:val="baseline"/>
          </w:rPr>
          <w:t>Young v. Gundy</w:t>
        </w:r>
      </w:hyperlink>
      <w:hyperlink r:id="rId45" w:history="1">
        <w:r>
          <w:rPr>
            <w:rFonts w:ascii="arial" w:eastAsia="arial" w:hAnsi="arial" w:cs="arial"/>
            <w:b w:val="0"/>
            <w:i/>
            <w:strike w:val="0"/>
            <w:noProof w:val="0"/>
            <w:color w:val="0077CC"/>
            <w:position w:val="0"/>
            <w:sz w:val="20"/>
            <w:u w:val="single"/>
            <w:vertAlign w:val="baseline"/>
          </w:rPr>
          <w:t>, 30 F. App'x 568, 569-70 (6th Cir. 2002)</w:t>
        </w:r>
      </w:hyperlink>
      <w:r>
        <w:rPr>
          <w:rFonts w:ascii="arial" w:eastAsia="arial" w:hAnsi="arial" w:cs="arial"/>
          <w:b w:val="0"/>
          <w:i w:val="0"/>
          <w:strike w:val="0"/>
          <w:noProof w:val="0"/>
          <w:color w:val="000000"/>
          <w:position w:val="0"/>
          <w:sz w:val="20"/>
          <w:u w:val="none"/>
          <w:vertAlign w:val="baseline"/>
        </w:rPr>
        <w:t xml:space="preserve">; </w:t>
      </w:r>
      <w:bookmarkStart w:id="120" w:name="Bookmark_I68KJNKS2N1RS90030000400"/>
      <w:bookmarkEnd w:id="120"/>
      <w:hyperlink r:id="rId46" w:history="1">
        <w:r>
          <w:rPr>
            <w:rFonts w:ascii="arial" w:eastAsia="arial" w:hAnsi="arial" w:cs="arial"/>
            <w:b w:val="0"/>
            <w:i/>
            <w:strike w:val="0"/>
            <w:noProof w:val="0"/>
            <w:color w:val="0077CC"/>
            <w:position w:val="0"/>
            <w:sz w:val="20"/>
            <w:u w:val="single"/>
            <w:vertAlign w:val="baseline"/>
          </w:rPr>
          <w:t>Carpenter v. Wilkinson</w:t>
        </w:r>
      </w:hyperlink>
      <w:hyperlink r:id="rId46" w:history="1">
        <w:r>
          <w:rPr>
            <w:rFonts w:ascii="arial" w:eastAsia="arial" w:hAnsi="arial" w:cs="arial"/>
            <w:b w:val="0"/>
            <w:i/>
            <w:strike w:val="0"/>
            <w:noProof w:val="0"/>
            <w:color w:val="0077CC"/>
            <w:position w:val="0"/>
            <w:sz w:val="20"/>
            <w:u w:val="single"/>
            <w:vertAlign w:val="baseline"/>
          </w:rPr>
          <w:t>, No. 99-3562, 2000 U.S. App. LEXIS 1915, 2000 WL 190054, at *2 (6th Cir. Feb. 7, 2000)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21" w:name="Bookmark_I68KJNKS2N1RS90050000400"/>
      <w:bookmarkEnd w:id="121"/>
      <w:hyperlink r:id="rId47" w:history="1">
        <w:r>
          <w:rPr>
            <w:rFonts w:ascii="arial" w:eastAsia="arial" w:hAnsi="arial" w:cs="arial"/>
            <w:b w:val="0"/>
            <w:i/>
            <w:strike w:val="0"/>
            <w:noProof w:val="0"/>
            <w:color w:val="0077CC"/>
            <w:position w:val="0"/>
            <w:sz w:val="20"/>
            <w:u w:val="single"/>
            <w:vertAlign w:val="baseline"/>
          </w:rPr>
          <w:t>Antonelli v. Sheahan</w:t>
        </w:r>
      </w:hyperlink>
      <w:hyperlink r:id="rId47" w:history="1">
        <w:r>
          <w:rPr>
            <w:rFonts w:ascii="arial" w:eastAsia="arial" w:hAnsi="arial" w:cs="arial"/>
            <w:b w:val="0"/>
            <w:i/>
            <w:strike w:val="0"/>
            <w:noProof w:val="0"/>
            <w:color w:val="0077CC"/>
            <w:position w:val="0"/>
            <w:sz w:val="20"/>
            <w:u w:val="single"/>
            <w:vertAlign w:val="baseline"/>
          </w:rPr>
          <w:t>, 81 F.3d 1422, 1430 (7th Cir. 1996)</w:t>
        </w:r>
      </w:hyperlink>
      <w:r>
        <w:rPr>
          <w:rFonts w:ascii="arial" w:eastAsia="arial" w:hAnsi="arial" w:cs="arial"/>
          <w:b w:val="0"/>
          <w:i w:val="0"/>
          <w:strike w:val="0"/>
          <w:noProof w:val="0"/>
          <w:color w:val="000000"/>
          <w:position w:val="0"/>
          <w:sz w:val="20"/>
          <w:u w:val="none"/>
          <w:vertAlign w:val="baseline"/>
        </w:rPr>
        <w:t xml:space="preserve">; </w:t>
      </w:r>
      <w:bookmarkStart w:id="122" w:name="Bookmark_I68KJNKS28T4FV0020000400"/>
      <w:bookmarkEnd w:id="122"/>
      <w:hyperlink r:id="rId48" w:history="1">
        <w:r>
          <w:rPr>
            <w:rFonts w:ascii="arial" w:eastAsia="arial" w:hAnsi="arial" w:cs="arial"/>
            <w:b w:val="0"/>
            <w:i/>
            <w:strike w:val="0"/>
            <w:noProof w:val="0"/>
            <w:color w:val="0077CC"/>
            <w:position w:val="0"/>
            <w:sz w:val="20"/>
            <w:u w:val="single"/>
            <w:vertAlign w:val="baseline"/>
          </w:rPr>
          <w:t>Adams v. Rice</w:t>
        </w:r>
      </w:hyperlink>
      <w:hyperlink r:id="rId48" w:history="1">
        <w:r>
          <w:rPr>
            <w:rFonts w:ascii="arial" w:eastAsia="arial" w:hAnsi="arial" w:cs="arial"/>
            <w:b w:val="0"/>
            <w:i/>
            <w:strike w:val="0"/>
            <w:noProof w:val="0"/>
            <w:color w:val="0077CC"/>
            <w:position w:val="0"/>
            <w:sz w:val="20"/>
            <w:u w:val="single"/>
            <w:vertAlign w:val="baseline"/>
          </w:rPr>
          <w:t>, 40 F.3d 72, 75 (4th Cir. 1994)</w:t>
        </w:r>
      </w:hyperlink>
      <w:r>
        <w:rPr>
          <w:rFonts w:ascii="arial" w:eastAsia="arial" w:hAnsi="arial" w:cs="arial"/>
          <w:b w:val="0"/>
          <w:i w:val="0"/>
          <w:strike w:val="0"/>
          <w:noProof w:val="0"/>
          <w:color w:val="000000"/>
          <w:position w:val="0"/>
          <w:sz w:val="20"/>
          <w:u w:val="none"/>
          <w:vertAlign w:val="baseline"/>
        </w:rPr>
        <w:t xml:space="preserve"> (collecting cases). </w:t>
      </w:r>
      <w:bookmarkStart w:id="123" w:name="Bookmark_I68KJNKS28T4FV0050000400_2"/>
      <w:bookmarkEnd w:id="123"/>
      <w:r>
        <w:rPr>
          <w:rFonts w:ascii="arial" w:eastAsia="arial" w:hAnsi="arial" w:cs="arial"/>
          <w:b w:val="0"/>
          <w:i w:val="0"/>
          <w:strike w:val="0"/>
          <w:noProof w:val="0"/>
          <w:color w:val="000000"/>
          <w:position w:val="0"/>
          <w:sz w:val="20"/>
          <w:u w:val="none"/>
          <w:vertAlign w:val="baseline"/>
        </w:rPr>
        <w:t>Michigan law does not create a liberty interest in</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the grievance procedure. </w:t>
      </w:r>
      <w:r>
        <w:rPr>
          <w:rFonts w:ascii="arial" w:eastAsia="arial" w:hAnsi="arial" w:cs="arial"/>
          <w:b w:val="0"/>
          <w:i/>
          <w:strike w:val="0"/>
          <w:noProof w:val="0"/>
          <w:color w:val="000000"/>
          <w:position w:val="0"/>
          <w:sz w:val="20"/>
          <w:u w:val="none"/>
          <w:vertAlign w:val="baseline"/>
        </w:rPr>
        <w:t xml:space="preserve">See </w:t>
      </w:r>
      <w:bookmarkStart w:id="124" w:name="Bookmark_I68KJNKS28T4FV0040000400"/>
      <w:bookmarkEnd w:id="124"/>
      <w:hyperlink r:id="rId49" w:history="1">
        <w:r>
          <w:rPr>
            <w:rFonts w:ascii="arial" w:eastAsia="arial" w:hAnsi="arial" w:cs="arial"/>
            <w:b w:val="0"/>
            <w:i/>
            <w:strike w:val="0"/>
            <w:noProof w:val="0"/>
            <w:color w:val="0077CC"/>
            <w:position w:val="0"/>
            <w:sz w:val="20"/>
            <w:u w:val="single"/>
            <w:vertAlign w:val="baseline"/>
          </w:rPr>
          <w:t>Olim v. Wakinekona</w:t>
        </w:r>
      </w:hyperlink>
      <w:hyperlink r:id="rId49" w:history="1">
        <w:r>
          <w:rPr>
            <w:rFonts w:ascii="arial" w:eastAsia="arial" w:hAnsi="arial" w:cs="arial"/>
            <w:b w:val="0"/>
            <w:i/>
            <w:strike w:val="0"/>
            <w:noProof w:val="0"/>
            <w:color w:val="0077CC"/>
            <w:position w:val="0"/>
            <w:sz w:val="20"/>
            <w:u w:val="single"/>
            <w:vertAlign w:val="baseline"/>
          </w:rPr>
          <w:t>, 461 U.S. 238, 249, 103 S. Ct. 1741, 75 L. Ed. 2d 813 (1983)</w:t>
        </w:r>
      </w:hyperlink>
      <w:r>
        <w:rPr>
          <w:rFonts w:ascii="arial" w:eastAsia="arial" w:hAnsi="arial" w:cs="arial"/>
          <w:b w:val="0"/>
          <w:i w:val="0"/>
          <w:strike w:val="0"/>
          <w:noProof w:val="0"/>
          <w:color w:val="000000"/>
          <w:position w:val="0"/>
          <w:sz w:val="20"/>
          <w:u w:val="none"/>
          <w:vertAlign w:val="baseline"/>
        </w:rPr>
        <w:t xml:space="preserve">; </w:t>
      </w:r>
      <w:bookmarkStart w:id="125" w:name="Bookmark_I68KJNKS2SF89W0010000400"/>
      <w:bookmarkEnd w:id="125"/>
      <w:hyperlink r:id="rId50" w:history="1">
        <w:r>
          <w:rPr>
            <w:rFonts w:ascii="arial" w:eastAsia="arial" w:hAnsi="arial" w:cs="arial"/>
            <w:b w:val="0"/>
            <w:i/>
            <w:strike w:val="0"/>
            <w:noProof w:val="0"/>
            <w:color w:val="0077CC"/>
            <w:position w:val="0"/>
            <w:sz w:val="20"/>
            <w:u w:val="single"/>
            <w:vertAlign w:val="baseline"/>
          </w:rPr>
          <w:t>Keenan v. Marker</w:t>
        </w:r>
      </w:hyperlink>
      <w:hyperlink r:id="rId50" w:history="1">
        <w:r>
          <w:rPr>
            <w:rFonts w:ascii="arial" w:eastAsia="arial" w:hAnsi="arial" w:cs="arial"/>
            <w:b w:val="0"/>
            <w:i/>
            <w:strike w:val="0"/>
            <w:noProof w:val="0"/>
            <w:color w:val="0077CC"/>
            <w:position w:val="0"/>
            <w:sz w:val="20"/>
            <w:u w:val="single"/>
            <w:vertAlign w:val="baseline"/>
          </w:rPr>
          <w:t>, 23 F. App'x 405, 407 (6th Cir. 2001)</w:t>
        </w:r>
      </w:hyperlink>
      <w:r>
        <w:rPr>
          <w:rFonts w:ascii="arial" w:eastAsia="arial" w:hAnsi="arial" w:cs="arial"/>
          <w:b w:val="0"/>
          <w:i w:val="0"/>
          <w:strike w:val="0"/>
          <w:noProof w:val="0"/>
          <w:color w:val="000000"/>
          <w:position w:val="0"/>
          <w:sz w:val="20"/>
          <w:u w:val="none"/>
          <w:vertAlign w:val="baseline"/>
        </w:rPr>
        <w:t xml:space="preserve">; </w:t>
      </w:r>
      <w:bookmarkStart w:id="126" w:name="Bookmark_I68KJNKS2SF89W0030000400"/>
      <w:bookmarkEnd w:id="126"/>
      <w:hyperlink r:id="rId51" w:history="1">
        <w:r>
          <w:rPr>
            <w:rFonts w:ascii="arial" w:eastAsia="arial" w:hAnsi="arial" w:cs="arial"/>
            <w:b w:val="0"/>
            <w:i/>
            <w:strike w:val="0"/>
            <w:noProof w:val="0"/>
            <w:color w:val="0077CC"/>
            <w:position w:val="0"/>
            <w:sz w:val="20"/>
            <w:u w:val="single"/>
            <w:vertAlign w:val="baseline"/>
          </w:rPr>
          <w:t>Wynn v. Wolf</w:t>
        </w:r>
      </w:hyperlink>
      <w:hyperlink r:id="rId51" w:history="1">
        <w:r>
          <w:rPr>
            <w:rFonts w:ascii="arial" w:eastAsia="arial" w:hAnsi="arial" w:cs="arial"/>
            <w:b w:val="0"/>
            <w:i/>
            <w:strike w:val="0"/>
            <w:noProof w:val="0"/>
            <w:color w:val="0077CC"/>
            <w:position w:val="0"/>
            <w:sz w:val="20"/>
            <w:u w:val="single"/>
            <w:vertAlign w:val="baseline"/>
          </w:rPr>
          <w:t>, No. 93-2411, 1994 U.S. App. LEXIS 6593, 1994 WL 105907, at *1 (6th Cir. Mar. 28, 1994)</w:t>
        </w:r>
      </w:hyperlink>
      <w:r>
        <w:rPr>
          <w:rFonts w:ascii="arial" w:eastAsia="arial" w:hAnsi="arial" w:cs="arial"/>
          <w:b w:val="0"/>
          <w:i w:val="0"/>
          <w:strike w:val="0"/>
          <w:noProof w:val="0"/>
          <w:color w:val="000000"/>
          <w:position w:val="0"/>
          <w:sz w:val="20"/>
          <w:u w:val="none"/>
          <w:vertAlign w:val="baseline"/>
        </w:rPr>
        <w:t>. Because Plaintiff has no liberty interest in the grievance process, Defendants' actions did not deprive him of due process.</w:t>
      </w:r>
    </w:p>
    <w:p>
      <w:pPr>
        <w:keepNext w:val="0"/>
        <w:spacing w:before="240" w:after="0" w:line="260" w:lineRule="atLeast"/>
        <w:ind w:left="0" w:right="0" w:firstLine="0"/>
        <w:jc w:val="both"/>
      </w:pPr>
      <w:bookmarkStart w:id="127" w:name="Bookmark_para_23"/>
      <w:bookmarkEnd w:id="127"/>
      <w:bookmarkStart w:id="128" w:name="Bookmark_I68KJNKT28T4G10010000400"/>
      <w:bookmarkEnd w:id="128"/>
      <w:r>
        <w:rPr>
          <w:rFonts w:ascii="arial" w:eastAsia="arial" w:hAnsi="arial" w:cs="arial"/>
          <w:b w:val="0"/>
          <w:i w:val="0"/>
          <w:strike w:val="0"/>
          <w:noProof w:val="0"/>
          <w:color w:val="000000"/>
          <w:position w:val="0"/>
          <w:sz w:val="20"/>
          <w:u w:val="none"/>
          <w:vertAlign w:val="baseline"/>
        </w:rPr>
        <w:t xml:space="preserve">Moreover, Plaintiff's </w:t>
      </w:r>
      <w:hyperlink r:id="rId18"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right to petition the government was not violated by Defendants' conduct. The </w:t>
      </w:r>
      <w:hyperlink r:id="rId18"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"right to petition the government does not guarantee a response to the petition or the right to compel government officials to act on or adopt a citizen's views." </w:t>
      </w:r>
      <w:bookmarkStart w:id="129" w:name="Bookmark_I68KJNKS2SF89W0050000400"/>
      <w:bookmarkEnd w:id="129"/>
      <w:hyperlink r:id="rId52" w:history="1">
        <w:r>
          <w:rPr>
            <w:rFonts w:ascii="arial" w:eastAsia="arial" w:hAnsi="arial" w:cs="arial"/>
            <w:b w:val="0"/>
            <w:i/>
            <w:strike w:val="0"/>
            <w:noProof w:val="0"/>
            <w:color w:val="0077CC"/>
            <w:position w:val="0"/>
            <w:sz w:val="20"/>
            <w:u w:val="single"/>
            <w:vertAlign w:val="baseline"/>
          </w:rPr>
          <w:t>Apple v. Glenn</w:t>
        </w:r>
      </w:hyperlink>
      <w:hyperlink r:id="rId52" w:history="1">
        <w:r>
          <w:rPr>
            <w:rFonts w:ascii="arial" w:eastAsia="arial" w:hAnsi="arial" w:cs="arial"/>
            <w:b w:val="0"/>
            <w:i/>
            <w:strike w:val="0"/>
            <w:noProof w:val="0"/>
            <w:color w:val="0077CC"/>
            <w:position w:val="0"/>
            <w:sz w:val="20"/>
            <w:u w:val="single"/>
            <w:vertAlign w:val="baseline"/>
          </w:rPr>
          <w:t>, 183 F.3d 477, 479 (6th Cir. 1999)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30" w:name="Bookmark_I68KJNKT28T4G10020000400"/>
      <w:bookmarkEnd w:id="130"/>
      <w:hyperlink r:id="rId53" w:history="1">
        <w:r>
          <w:rPr>
            <w:rFonts w:ascii="arial" w:eastAsia="arial" w:hAnsi="arial" w:cs="arial"/>
            <w:b w:val="0"/>
            <w:i/>
            <w:strike w:val="0"/>
            <w:noProof w:val="0"/>
            <w:color w:val="0077CC"/>
            <w:position w:val="0"/>
            <w:sz w:val="20"/>
            <w:u w:val="single"/>
            <w:vertAlign w:val="baseline"/>
          </w:rPr>
          <w:t>Minn. State Bd. for Cmty. Colls. v. Knight</w:t>
        </w:r>
      </w:hyperlink>
      <w:hyperlink r:id="rId53" w:history="1">
        <w:r>
          <w:rPr>
            <w:rFonts w:ascii="arial" w:eastAsia="arial" w:hAnsi="arial" w:cs="arial"/>
            <w:b w:val="0"/>
            <w:i/>
            <w:strike w:val="0"/>
            <w:noProof w:val="0"/>
            <w:color w:val="0077CC"/>
            <w:position w:val="0"/>
            <w:sz w:val="20"/>
            <w:u w:val="single"/>
            <w:vertAlign w:val="baseline"/>
          </w:rPr>
          <w:t>, 465 U.S. 271, 285, 104 S. Ct. 1058, 79 L. Ed. 2d 299 (1984)</w:t>
        </w:r>
      </w:hyperlink>
      <w:r>
        <w:rPr>
          <w:rFonts w:ascii="arial" w:eastAsia="arial" w:hAnsi="arial" w:cs="arial"/>
          <w:b w:val="0"/>
          <w:i w:val="0"/>
          <w:strike w:val="0"/>
          <w:noProof w:val="0"/>
          <w:color w:val="000000"/>
          <w:position w:val="0"/>
          <w:sz w:val="20"/>
          <w:u w:val="none"/>
          <w:vertAlign w:val="baseline"/>
        </w:rPr>
        <w:t xml:space="preserve"> (holding the right to petition protects only the right to address government; the government may refuse to listen or respond).</w:t>
      </w:r>
    </w:p>
    <w:p>
      <w:pPr>
        <w:keepNext w:val="0"/>
        <w:spacing w:before="240" w:after="0" w:line="260" w:lineRule="atLeast"/>
        <w:ind w:left="0" w:right="0" w:firstLine="0"/>
        <w:jc w:val="both"/>
      </w:pPr>
      <w:bookmarkStart w:id="131" w:name="Bookmark_para_24"/>
      <w:bookmarkEnd w:id="131"/>
      <w:bookmarkStart w:id="132" w:name="Bookmark_I68KJNKT28T4G10050000400"/>
      <w:bookmarkEnd w:id="132"/>
      <w:bookmarkStart w:id="133" w:name="Bookmark_I68KJNKT2SF8B30020000400"/>
      <w:bookmarkEnd w:id="133"/>
      <w:r>
        <w:rPr>
          <w:rFonts w:ascii="arial" w:eastAsia="arial" w:hAnsi="arial" w:cs="arial"/>
          <w:b w:val="0"/>
          <w:i w:val="0"/>
          <w:strike w:val="0"/>
          <w:noProof w:val="0"/>
          <w:color w:val="000000"/>
          <w:position w:val="0"/>
          <w:sz w:val="20"/>
          <w:u w:val="none"/>
          <w:vertAlign w:val="baseline"/>
        </w:rPr>
        <w:t xml:space="preserve">Finally, Defendants' actions (or inaction) have not barred Plaintiff from seeking a remedy for his complaints. </w:t>
      </w:r>
      <w:r>
        <w:rPr>
          <w:rFonts w:ascii="arial" w:eastAsia="arial" w:hAnsi="arial" w:cs="arial"/>
          <w:b w:val="0"/>
          <w:i/>
          <w:strike w:val="0"/>
          <w:noProof w:val="0"/>
          <w:color w:val="000000"/>
          <w:position w:val="0"/>
          <w:sz w:val="20"/>
          <w:u w:val="none"/>
          <w:vertAlign w:val="baseline"/>
        </w:rPr>
        <w:t xml:space="preserve">See </w:t>
      </w:r>
      <w:bookmarkStart w:id="134" w:name="Bookmark_I68KJNKT28T4G10040000400"/>
      <w:bookmarkEnd w:id="134"/>
      <w:hyperlink r:id="rId54" w:history="1">
        <w:r>
          <w:rPr>
            <w:rFonts w:ascii="arial" w:eastAsia="arial" w:hAnsi="arial" w:cs="arial"/>
            <w:b w:val="0"/>
            <w:i/>
            <w:strike w:val="0"/>
            <w:noProof w:val="0"/>
            <w:color w:val="0077CC"/>
            <w:position w:val="0"/>
            <w:sz w:val="20"/>
            <w:u w:val="single"/>
            <w:vertAlign w:val="baseline"/>
          </w:rPr>
          <w:t>Cruz v. Beto</w:t>
        </w:r>
      </w:hyperlink>
      <w:hyperlink r:id="rId54" w:history="1">
        <w:r>
          <w:rPr>
            <w:rFonts w:ascii="arial" w:eastAsia="arial" w:hAnsi="arial" w:cs="arial"/>
            <w:b w:val="0"/>
            <w:i/>
            <w:strike w:val="0"/>
            <w:noProof w:val="0"/>
            <w:color w:val="0077CC"/>
            <w:position w:val="0"/>
            <w:sz w:val="20"/>
            <w:u w:val="single"/>
            <w:vertAlign w:val="baseline"/>
          </w:rPr>
          <w:t>, 405 U.S. 319, 321, 92 S. Ct. 1079, 31 L. Ed. 2d 263 (1972)</w:t>
        </w:r>
      </w:hyperlink>
      <w:r>
        <w:rPr>
          <w:rFonts w:ascii="arial" w:eastAsia="arial" w:hAnsi="arial" w:cs="arial"/>
          <w:b w:val="0"/>
          <w:i w:val="0"/>
          <w:strike w:val="0"/>
          <w:noProof w:val="0"/>
          <w:color w:val="000000"/>
          <w:position w:val="0"/>
          <w:sz w:val="20"/>
          <w:u w:val="none"/>
          <w:vertAlign w:val="baseline"/>
        </w:rPr>
        <w:t xml:space="preserve">. </w:t>
      </w:r>
      <w:bookmarkStart w:id="135" w:name="Bookmark_I68KJNKT2D6NYP0010000400"/>
      <w:bookmarkEnd w:id="135"/>
      <w:r>
        <w:rPr>
          <w:rFonts w:ascii="arial" w:eastAsia="arial" w:hAnsi="arial" w:cs="arial"/>
          <w:b w:val="0"/>
          <w:i w:val="0"/>
          <w:strike w:val="0"/>
          <w:noProof w:val="0"/>
          <w:color w:val="000000"/>
          <w:position w:val="0"/>
          <w:sz w:val="20"/>
          <w:u w:val="none"/>
          <w:vertAlign w:val="baseline"/>
        </w:rPr>
        <w:t xml:space="preserve">"A prisoner's constitutional right to assert grievances typically is not violated when prison officials prohibit only 'one of several ways in which inmates may voice their complaints to, and seek relief, from prison officials' while leaving a formal grievance procedure intact." </w:t>
      </w:r>
      <w:bookmarkStart w:id="136" w:name="Bookmark_I68KJNKT2SF8B30010000400"/>
      <w:bookmarkEnd w:id="136"/>
      <w:hyperlink r:id="rId55" w:history="1">
        <w:r>
          <w:rPr>
            <w:rFonts w:ascii="arial" w:eastAsia="arial" w:hAnsi="arial" w:cs="arial"/>
            <w:b w:val="0"/>
            <w:i/>
            <w:strike w:val="0"/>
            <w:noProof w:val="0"/>
            <w:color w:val="0077CC"/>
            <w:position w:val="0"/>
            <w:sz w:val="20"/>
            <w:u w:val="single"/>
            <w:vertAlign w:val="baseline"/>
          </w:rPr>
          <w:t>Griffin v. Berghuis</w:t>
        </w:r>
      </w:hyperlink>
      <w:hyperlink r:id="rId55" w:history="1">
        <w:r>
          <w:rPr>
            <w:rFonts w:ascii="arial" w:eastAsia="arial" w:hAnsi="arial" w:cs="arial"/>
            <w:b w:val="0"/>
            <w:i/>
            <w:strike w:val="0"/>
            <w:noProof w:val="0"/>
            <w:color w:val="0077CC"/>
            <w:position w:val="0"/>
            <w:sz w:val="20"/>
            <w:u w:val="single"/>
            <w:vertAlign w:val="baseline"/>
          </w:rPr>
          <w:t>, 563 F. App'x 411, 415-16 (6th Cir. 2014)</w:t>
        </w:r>
      </w:hyperlink>
      <w:r>
        <w:rPr>
          <w:rFonts w:ascii="arial" w:eastAsia="arial" w:hAnsi="arial" w:cs="arial"/>
          <w:b w:val="0"/>
          <w:i w:val="0"/>
          <w:strike w:val="0"/>
          <w:noProof w:val="0"/>
          <w:color w:val="000000"/>
          <w:position w:val="0"/>
          <w:sz w:val="20"/>
          <w:u w:val="none"/>
          <w:vertAlign w:val="baseline"/>
        </w:rPr>
        <w:t xml:space="preserve"> (citing </w:t>
      </w:r>
      <w:bookmarkStart w:id="137" w:name="Bookmark_I68KJNKT2SF8B30030000400"/>
      <w:bookmarkEnd w:id="137"/>
      <w:hyperlink r:id="rId56" w:history="1">
        <w:r>
          <w:rPr>
            <w:rFonts w:ascii="arial" w:eastAsia="arial" w:hAnsi="arial" w:cs="arial"/>
            <w:b w:val="0"/>
            <w:i/>
            <w:strike w:val="0"/>
            <w:noProof w:val="0"/>
            <w:color w:val="0077CC"/>
            <w:position w:val="0"/>
            <w:sz w:val="20"/>
            <w:u w:val="single"/>
            <w:vertAlign w:val="baseline"/>
          </w:rPr>
          <w:t>Jones v. N.C. Prisoners' Labor Union, Inc.</w:t>
        </w:r>
      </w:hyperlink>
      <w:hyperlink r:id="rId56" w:history="1">
        <w:r>
          <w:rPr>
            <w:rFonts w:ascii="arial" w:eastAsia="arial" w:hAnsi="arial" w:cs="arial"/>
            <w:b w:val="0"/>
            <w:i/>
            <w:strike w:val="0"/>
            <w:noProof w:val="0"/>
            <w:color w:val="0077CC"/>
            <w:position w:val="0"/>
            <w:sz w:val="20"/>
            <w:u w:val="single"/>
            <w:vertAlign w:val="baseline"/>
          </w:rPr>
          <w:t>, 433 U.S. 119, 130 n.6, 97 S. Ct. 2532, 53 L. Ed. 2d 629 (1977)</w:t>
        </w:r>
      </w:hyperlink>
      <w:r>
        <w:rPr>
          <w:rFonts w:ascii="arial" w:eastAsia="arial" w:hAnsi="arial" w:cs="arial"/>
          <w:b w:val="0"/>
          <w:i w:val="0"/>
          <w:strike w:val="0"/>
          <w:noProof w:val="0"/>
          <w:color w:val="000000"/>
          <w:position w:val="0"/>
          <w:sz w:val="20"/>
          <w:u w:val="none"/>
          <w:vertAlign w:val="baseline"/>
        </w:rPr>
        <w:t xml:space="preserve">). </w:t>
      </w:r>
      <w:bookmarkStart w:id="138" w:name="Bookmark_I68KJNKT2D6NYP0010000400_2"/>
      <w:bookmarkEnd w:id="138"/>
      <w:r>
        <w:rPr>
          <w:rFonts w:ascii="arial" w:eastAsia="arial" w:hAnsi="arial" w:cs="arial"/>
          <w:b w:val="0"/>
          <w:i w:val="0"/>
          <w:strike w:val="0"/>
          <w:noProof w:val="0"/>
          <w:color w:val="000000"/>
          <w:position w:val="0"/>
          <w:sz w:val="20"/>
          <w:u w:val="none"/>
          <w:vertAlign w:val="baseline"/>
        </w:rPr>
        <w:t xml:space="preserve">Indeed, Plaintiff's ability to seek redress is underscored by his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invocation of the judicial process. </w:t>
      </w:r>
      <w:bookmarkStart w:id="139" w:name="Bookmark_I68KJNKT2D6NYP0030000400"/>
      <w:bookmarkEnd w:id="139"/>
      <w:r>
        <w:rPr>
          <w:rFonts w:ascii="arial" w:eastAsia="arial" w:hAnsi="arial" w:cs="arial"/>
          <w:b w:val="0"/>
          <w:i/>
          <w:strike w:val="0"/>
          <w:noProof w:val="0"/>
          <w:color w:val="000000"/>
          <w:position w:val="0"/>
          <w:sz w:val="20"/>
          <w:u w:val="none"/>
          <w:vertAlign w:val="baseline"/>
        </w:rPr>
        <w:t xml:space="preserve">See </w:t>
      </w:r>
      <w:bookmarkStart w:id="140" w:name="Bookmark_I68KJNKT2SF8B30050000400"/>
      <w:bookmarkEnd w:id="140"/>
      <w:hyperlink r:id="rId57" w:history="1">
        <w:r>
          <w:rPr>
            <w:rFonts w:ascii="arial" w:eastAsia="arial" w:hAnsi="arial" w:cs="arial"/>
            <w:b w:val="0"/>
            <w:i/>
            <w:strike w:val="0"/>
            <w:noProof w:val="0"/>
            <w:color w:val="0077CC"/>
            <w:position w:val="0"/>
            <w:sz w:val="20"/>
            <w:u w:val="single"/>
            <w:vertAlign w:val="baseline"/>
          </w:rPr>
          <w:t>Azeez v. DeRobertis</w:t>
        </w:r>
      </w:hyperlink>
      <w:hyperlink r:id="rId57" w:history="1">
        <w:r>
          <w:rPr>
            <w:rFonts w:ascii="arial" w:eastAsia="arial" w:hAnsi="arial" w:cs="arial"/>
            <w:b w:val="0"/>
            <w:i/>
            <w:strike w:val="0"/>
            <w:noProof w:val="0"/>
            <w:color w:val="0077CC"/>
            <w:position w:val="0"/>
            <w:sz w:val="20"/>
            <w:u w:val="single"/>
            <w:vertAlign w:val="baseline"/>
          </w:rPr>
          <w:t>, 568 F. Supp. 8, 10 (N.D. Ill. 1982)</w:t>
        </w:r>
      </w:hyperlink>
      <w:r>
        <w:rPr>
          <w:rFonts w:ascii="arial" w:eastAsia="arial" w:hAnsi="arial" w:cs="arial"/>
          <w:b w:val="0"/>
          <w:i w:val="0"/>
          <w:strike w:val="0"/>
          <w:noProof w:val="0"/>
          <w:color w:val="000000"/>
          <w:position w:val="0"/>
          <w:sz w:val="20"/>
          <w:u w:val="none"/>
          <w:vertAlign w:val="baseline"/>
        </w:rPr>
        <w:t xml:space="preserve">. </w:t>
      </w:r>
      <w:bookmarkStart w:id="141" w:name="Bookmark_I68KJNKT2D6NYP0030000400_2"/>
      <w:bookmarkEnd w:id="141"/>
      <w:r>
        <w:rPr>
          <w:rFonts w:ascii="arial" w:eastAsia="arial" w:hAnsi="arial" w:cs="arial"/>
          <w:b w:val="0"/>
          <w:i w:val="0"/>
          <w:strike w:val="0"/>
          <w:noProof w:val="0"/>
          <w:color w:val="000000"/>
          <w:position w:val="0"/>
          <w:sz w:val="20"/>
          <w:u w:val="none"/>
          <w:vertAlign w:val="baseline"/>
        </w:rPr>
        <w:t>Even if Plaintiff had been improperly prevented from filing a grievance, his right of access to the courts to petition</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for redress of his grievances (i.e., by filing a lawsuit) cannot be compromised by his inability to file institutional grievances, and he therefore cannot demonstrate the actual injury required for an access-to-the-courts claim. </w:t>
      </w:r>
      <w:r>
        <w:rPr>
          <w:rFonts w:ascii="arial" w:eastAsia="arial" w:hAnsi="arial" w:cs="arial"/>
          <w:b w:val="0"/>
          <w:i/>
          <w:strike w:val="0"/>
          <w:noProof w:val="0"/>
          <w:color w:val="000000"/>
          <w:position w:val="0"/>
          <w:sz w:val="20"/>
          <w:u w:val="none"/>
          <w:vertAlign w:val="baseline"/>
        </w:rPr>
        <w:t xml:space="preserve">See, e.g., </w:t>
      </w:r>
      <w:bookmarkStart w:id="142" w:name="Bookmark_I68KJNKT2D6NYP0020000400"/>
      <w:bookmarkEnd w:id="142"/>
      <w:hyperlink r:id="rId29" w:history="1">
        <w:r>
          <w:rPr>
            <w:rFonts w:ascii="arial" w:eastAsia="arial" w:hAnsi="arial" w:cs="arial"/>
            <w:b w:val="0"/>
            <w:i/>
            <w:strike w:val="0"/>
            <w:noProof w:val="0"/>
            <w:color w:val="0077CC"/>
            <w:position w:val="0"/>
            <w:sz w:val="20"/>
            <w:u w:val="single"/>
            <w:vertAlign w:val="baseline"/>
          </w:rPr>
          <w:t>Lewis v. Casey</w:t>
        </w:r>
      </w:hyperlink>
      <w:hyperlink r:id="rId29" w:history="1">
        <w:r>
          <w:rPr>
            <w:rFonts w:ascii="arial" w:eastAsia="arial" w:hAnsi="arial" w:cs="arial"/>
            <w:b w:val="0"/>
            <w:i/>
            <w:strike w:val="0"/>
            <w:noProof w:val="0"/>
            <w:color w:val="0077CC"/>
            <w:position w:val="0"/>
            <w:sz w:val="20"/>
            <w:u w:val="single"/>
            <w:vertAlign w:val="baseline"/>
          </w:rPr>
          <w:t>, 518 U.S. 343, 355, 116 S. Ct. 2174, 135 L. Ed. 2d 606 (1996)</w:t>
        </w:r>
      </w:hyperlink>
      <w:r>
        <w:rPr>
          <w:rFonts w:ascii="arial" w:eastAsia="arial" w:hAnsi="arial" w:cs="arial"/>
          <w:b w:val="0"/>
          <w:i w:val="0"/>
          <w:strike w:val="0"/>
          <w:noProof w:val="0"/>
          <w:color w:val="000000"/>
          <w:position w:val="0"/>
          <w:sz w:val="20"/>
          <w:u w:val="none"/>
          <w:vertAlign w:val="baseline"/>
        </w:rPr>
        <w:t xml:space="preserve"> (requiring actual injury); </w:t>
      </w:r>
      <w:bookmarkStart w:id="143" w:name="Bookmark_I68KJNKT2D6NYP0040000400"/>
      <w:bookmarkEnd w:id="143"/>
      <w:hyperlink r:id="rId27" w:history="1">
        <w:r>
          <w:rPr>
            <w:rFonts w:ascii="arial" w:eastAsia="arial" w:hAnsi="arial" w:cs="arial"/>
            <w:b w:val="0"/>
            <w:i/>
            <w:strike w:val="0"/>
            <w:noProof w:val="0"/>
            <w:color w:val="0077CC"/>
            <w:position w:val="0"/>
            <w:sz w:val="20"/>
            <w:u w:val="single"/>
            <w:vertAlign w:val="baseline"/>
          </w:rPr>
          <w:t>Bounds v. Smith</w:t>
        </w:r>
      </w:hyperlink>
      <w:hyperlink r:id="rId27" w:history="1">
        <w:r>
          <w:rPr>
            <w:rFonts w:ascii="arial" w:eastAsia="arial" w:hAnsi="arial" w:cs="arial"/>
            <w:b w:val="0"/>
            <w:i/>
            <w:strike w:val="0"/>
            <w:noProof w:val="0"/>
            <w:color w:val="0077CC"/>
            <w:position w:val="0"/>
            <w:sz w:val="20"/>
            <w:u w:val="single"/>
            <w:vertAlign w:val="baseline"/>
          </w:rPr>
          <w:t>, 430 U.S. 817, 821-24, 97 S. Ct. 1491, 52 L. Ed. 2d 72 (1977)</w:t>
        </w:r>
      </w:hyperlink>
      <w:r>
        <w:rPr>
          <w:rFonts w:ascii="arial" w:eastAsia="arial" w:hAnsi="arial" w:cs="arial"/>
          <w:b w:val="0"/>
          <w:i w:val="0"/>
          <w:strike w:val="0"/>
          <w:noProof w:val="0"/>
          <w:color w:val="000000"/>
          <w:position w:val="0"/>
          <w:sz w:val="20"/>
          <w:u w:val="none"/>
          <w:vertAlign w:val="baseline"/>
        </w:rPr>
        <w:t xml:space="preserve">. The exhaustion requirement only mandates exhaustion of </w:t>
      </w:r>
      <w:r>
        <w:rPr>
          <w:rFonts w:ascii="arial" w:eastAsia="arial" w:hAnsi="arial" w:cs="arial"/>
          <w:b w:val="0"/>
          <w:i/>
          <w:strike w:val="0"/>
          <w:noProof w:val="0"/>
          <w:color w:val="000000"/>
          <w:position w:val="0"/>
          <w:sz w:val="20"/>
          <w:u w:val="none"/>
          <w:vertAlign w:val="baseline"/>
        </w:rPr>
        <w:t>available</w:t>
      </w:r>
      <w:r>
        <w:rPr>
          <w:rFonts w:ascii="arial" w:eastAsia="arial" w:hAnsi="arial" w:cs="arial"/>
          <w:b w:val="0"/>
          <w:i w:val="0"/>
          <w:strike w:val="0"/>
          <w:noProof w:val="0"/>
          <w:color w:val="000000"/>
          <w:position w:val="0"/>
          <w:sz w:val="20"/>
          <w:u w:val="none"/>
          <w:vertAlign w:val="baseline"/>
        </w:rPr>
        <w:t xml:space="preserve"> administrative remedies. </w:t>
      </w:r>
      <w:bookmarkStart w:id="144" w:name="Bookmark_I68KJNKV2HM6Y00020000400"/>
      <w:bookmarkEnd w:id="144"/>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42 U.S.C. § 1997e(a)</w:t>
        </w:r>
      </w:hyperlink>
      <w:r>
        <w:rPr>
          <w:rFonts w:ascii="arial" w:eastAsia="arial" w:hAnsi="arial" w:cs="arial"/>
          <w:b w:val="0"/>
          <w:i w:val="0"/>
          <w:strike w:val="0"/>
          <w:noProof w:val="0"/>
          <w:color w:val="000000"/>
          <w:position w:val="0"/>
          <w:sz w:val="20"/>
          <w:u w:val="none"/>
          <w:vertAlign w:val="baseline"/>
        </w:rPr>
        <w:t xml:space="preserve">. If Plaintiff were improperly denied access to the grievance process, the process would be rendered unavailable, and exhaustion would not be a prerequisite for initiation of a civil rights action. </w:t>
      </w:r>
      <w:r>
        <w:rPr>
          <w:rFonts w:ascii="arial" w:eastAsia="arial" w:hAnsi="arial" w:cs="arial"/>
          <w:b w:val="0"/>
          <w:i/>
          <w:strike w:val="0"/>
          <w:noProof w:val="0"/>
          <w:color w:val="000000"/>
          <w:position w:val="0"/>
          <w:sz w:val="20"/>
          <w:u w:val="none"/>
          <w:vertAlign w:val="baseline"/>
        </w:rPr>
        <w:t xml:space="preserve">See </w:t>
      </w:r>
      <w:bookmarkStart w:id="145" w:name="Bookmark_I68KJNKV2HM6Y00010000400"/>
      <w:bookmarkEnd w:id="145"/>
      <w:hyperlink r:id="rId58" w:history="1">
        <w:r>
          <w:rPr>
            <w:rFonts w:ascii="arial" w:eastAsia="arial" w:hAnsi="arial" w:cs="arial"/>
            <w:b w:val="0"/>
            <w:i/>
            <w:strike w:val="0"/>
            <w:noProof w:val="0"/>
            <w:color w:val="0077CC"/>
            <w:position w:val="0"/>
            <w:sz w:val="20"/>
            <w:u w:val="single"/>
            <w:vertAlign w:val="baseline"/>
          </w:rPr>
          <w:t>Ross v. Blake</w:t>
        </w:r>
      </w:hyperlink>
      <w:hyperlink r:id="rId58" w:history="1">
        <w:r>
          <w:rPr>
            <w:rFonts w:ascii="arial" w:eastAsia="arial" w:hAnsi="arial" w:cs="arial"/>
            <w:b w:val="0"/>
            <w:i/>
            <w:strike w:val="0"/>
            <w:noProof w:val="0"/>
            <w:color w:val="0077CC"/>
            <w:position w:val="0"/>
            <w:sz w:val="20"/>
            <w:u w:val="single"/>
            <w:vertAlign w:val="baseline"/>
          </w:rPr>
          <w:t>, 578 U.S. 632, 640-44, 136 S. Ct. 1850, 195 L. Ed. 2d 117 (2016)</w:t>
        </w:r>
      </w:hyperlink>
      <w:r>
        <w:rPr>
          <w:rFonts w:ascii="arial" w:eastAsia="arial" w:hAnsi="arial" w:cs="arial"/>
          <w:b w:val="0"/>
          <w:i w:val="0"/>
          <w:strike w:val="0"/>
          <w:noProof w:val="0"/>
          <w:color w:val="000000"/>
          <w:position w:val="0"/>
          <w:sz w:val="20"/>
          <w:u w:val="none"/>
          <w:vertAlign w:val="baseline"/>
        </w:rPr>
        <w:t xml:space="preserve"> (reiterating that, if the prisoner is barred from pursuing a remedy by policy or by the interference of officials, the grievance process is not available, and exhaustion is not required); </w:t>
      </w:r>
      <w:bookmarkStart w:id="146" w:name="Bookmark_I68KJNKV2HM6Y00030000400"/>
      <w:bookmarkEnd w:id="146"/>
      <w:hyperlink r:id="rId59" w:history="1">
        <w:r>
          <w:rPr>
            <w:rFonts w:ascii="arial" w:eastAsia="arial" w:hAnsi="arial" w:cs="arial"/>
            <w:b w:val="0"/>
            <w:i/>
            <w:strike w:val="0"/>
            <w:noProof w:val="0"/>
            <w:color w:val="0077CC"/>
            <w:position w:val="0"/>
            <w:sz w:val="20"/>
            <w:u w:val="single"/>
            <w:vertAlign w:val="baseline"/>
          </w:rPr>
          <w:t>Kennedy v. Tallio</w:t>
        </w:r>
      </w:hyperlink>
      <w:hyperlink r:id="rId59" w:history="1">
        <w:r>
          <w:rPr>
            <w:rFonts w:ascii="arial" w:eastAsia="arial" w:hAnsi="arial" w:cs="arial"/>
            <w:b w:val="0"/>
            <w:i/>
            <w:strike w:val="0"/>
            <w:noProof w:val="0"/>
            <w:color w:val="0077CC"/>
            <w:position w:val="0"/>
            <w:sz w:val="20"/>
            <w:u w:val="single"/>
            <w:vertAlign w:val="baseline"/>
          </w:rPr>
          <w:t>, 20 F. App'x 469, 470-71 (6th Cir. 2001)</w:t>
        </w:r>
      </w:hyperlink>
      <w:r>
        <w:rPr>
          <w:rFonts w:ascii="arial" w:eastAsia="arial" w:hAnsi="arial" w:cs="arial"/>
          <w:b w:val="0"/>
          <w:i w:val="0"/>
          <w:strike w:val="0"/>
          <w:noProof w:val="0"/>
          <w:color w:val="000000"/>
          <w:position w:val="0"/>
          <w:sz w:val="20"/>
          <w:u w:val="none"/>
          <w:vertAlign w:val="baseline"/>
        </w:rPr>
        <w:t>. In light of the foregoing, Plaintiff has failed to state a cognizable claim against Defendants premised upon their handling of and responses to Plaintiff's grievances.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Constitutionality of DOM 2022-23</w:t>
      </w:r>
    </w:p>
    <w:p>
      <w:pPr>
        <w:keepNext w:val="0"/>
        <w:spacing w:before="200" w:after="0" w:line="260" w:lineRule="atLeast"/>
        <w:ind w:left="0" w:right="0" w:firstLine="0"/>
        <w:jc w:val="both"/>
      </w:pPr>
      <w:bookmarkStart w:id="147" w:name="Bookmark_para_25"/>
      <w:bookmarkEnd w:id="147"/>
      <w:r>
        <w:rPr>
          <w:rFonts w:ascii="arial" w:eastAsia="arial" w:hAnsi="arial" w:cs="arial"/>
          <w:b w:val="0"/>
          <w:i w:val="0"/>
          <w:strike w:val="0"/>
          <w:noProof w:val="0"/>
          <w:color w:val="000000"/>
          <w:position w:val="0"/>
          <w:sz w:val="20"/>
          <w:u w:val="none"/>
          <w:vertAlign w:val="baseline"/>
        </w:rPr>
        <w:t xml:space="preserve">Plaintiff also challenges the constitutionality of DOM 2022-23 on </w:t>
      </w:r>
      <w:hyperlink r:id="rId18"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grounds, suggesting that it is an "overreaching department [regulation] without a shred of penological justification." (ECF No. 1, PageID.15.) Plaintiff contends that there is</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"no justification for prohibiting the sending out [of] original legal documents, comparable to a sworn and notarized affidavit."</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PageID.16.)</w:t>
      </w:r>
    </w:p>
    <w:p>
      <w:pPr>
        <w:keepNext w:val="0"/>
        <w:spacing w:before="240" w:after="0" w:line="260" w:lineRule="atLeast"/>
        <w:ind w:left="0" w:right="0" w:firstLine="0"/>
        <w:jc w:val="both"/>
      </w:pPr>
      <w:bookmarkStart w:id="157" w:name="Bookmark_para_26"/>
      <w:bookmarkEnd w:id="157"/>
      <w:bookmarkStart w:id="158" w:name="Bookmark_I68KJNKV2SF8BG0040000400"/>
      <w:bookmarkEnd w:id="158"/>
      <w:bookmarkStart w:id="159" w:name="Bookmark_I2DSGBJ7HDT000015Y800042"/>
      <w:bookmarkEnd w:id="159"/>
      <w:bookmarkStart w:id="160" w:name="Bookmark_I68KJNKW2HM6Y60010000400"/>
      <w:bookmarkEnd w:id="160"/>
      <w:r>
        <w:rPr>
          <w:rFonts w:ascii="arial" w:eastAsia="arial" w:hAnsi="arial" w:cs="arial"/>
          <w:b w:val="0"/>
          <w:i w:val="0"/>
          <w:strike w:val="0"/>
          <w:noProof w:val="0"/>
          <w:color w:val="000000"/>
          <w:position w:val="0"/>
          <w:sz w:val="20"/>
          <w:u w:val="none"/>
          <w:vertAlign w:val="baseline"/>
        </w:rPr>
        <w:t xml:space="preserve">The question of whether a prison regulation can withstand a constitutional challenge is controlled by </w:t>
      </w:r>
      <w:bookmarkStart w:id="161" w:name="Bookmark_I68KJNKV2SF8BG0030000400"/>
      <w:bookmarkEnd w:id="161"/>
      <w:hyperlink r:id="rId39" w:history="1">
        <w:r>
          <w:rPr>
            <w:rFonts w:ascii="arial" w:eastAsia="arial" w:hAnsi="arial" w:cs="arial"/>
            <w:b w:val="0"/>
            <w:i/>
            <w:strike w:val="0"/>
            <w:noProof w:val="0"/>
            <w:color w:val="0077CC"/>
            <w:position w:val="0"/>
            <w:sz w:val="20"/>
            <w:u w:val="single"/>
            <w:vertAlign w:val="baseline"/>
          </w:rPr>
          <w:t>Turner v. Safley</w:t>
        </w:r>
      </w:hyperlink>
      <w:hyperlink r:id="rId39" w:history="1">
        <w:r>
          <w:rPr>
            <w:rFonts w:ascii="arial" w:eastAsia="arial" w:hAnsi="arial" w:cs="arial"/>
            <w:b w:val="0"/>
            <w:i/>
            <w:strike w:val="0"/>
            <w:noProof w:val="0"/>
            <w:color w:val="0077CC"/>
            <w:position w:val="0"/>
            <w:sz w:val="20"/>
            <w:u w:val="single"/>
            <w:vertAlign w:val="baseline"/>
          </w:rPr>
          <w:t>, 482 U.S. 78, 107 S. Ct. 2254, 96 L. Ed. 2d 64 (1987)</w:t>
        </w:r>
      </w:hyperlink>
      <w:r>
        <w:rPr>
          <w:rFonts w:ascii="arial" w:eastAsia="arial" w:hAnsi="arial" w:cs="arial"/>
          <w:b w:val="0"/>
          <w:i w:val="0"/>
          <w:strike w:val="0"/>
          <w:noProof w:val="0"/>
          <w:color w:val="000000"/>
          <w:position w:val="0"/>
          <w:sz w:val="20"/>
          <w:u w:val="none"/>
          <w:vertAlign w:val="baseline"/>
        </w:rPr>
        <w:t xml:space="preserve">. </w:t>
      </w:r>
      <w:bookmarkStart w:id="162" w:name="Bookmark_I68KJNKW2HM6Y60030000400"/>
      <w:bookmarkEnd w:id="162"/>
      <w:r>
        <w:rPr>
          <w:rFonts w:ascii="arial" w:eastAsia="arial" w:hAnsi="arial" w:cs="arial"/>
          <w:b w:val="0"/>
          <w:i w:val="0"/>
          <w:strike w:val="0"/>
          <w:noProof w:val="0"/>
          <w:color w:val="000000"/>
          <w:position w:val="0"/>
          <w:sz w:val="20"/>
          <w:u w:val="none"/>
          <w:vertAlign w:val="baseline"/>
        </w:rPr>
        <w:t xml:space="preserve">Under </w:t>
      </w:r>
      <w:r>
        <w:rPr>
          <w:rFonts w:ascii="arial" w:eastAsia="arial" w:hAnsi="arial" w:cs="arial"/>
          <w:b w:val="0"/>
          <w:i/>
          <w:strike w:val="0"/>
          <w:noProof w:val="0"/>
          <w:color w:val="000000"/>
          <w:position w:val="0"/>
          <w:sz w:val="20"/>
          <w:u w:val="none"/>
          <w:vertAlign w:val="baseline"/>
        </w:rPr>
        <w:t>Turner</w:t>
      </w:r>
      <w:r>
        <w:rPr>
          <w:rFonts w:ascii="arial" w:eastAsia="arial" w:hAnsi="arial" w:cs="arial"/>
          <w:b w:val="0"/>
          <w:i w:val="0"/>
          <w:strike w:val="0"/>
          <w:noProof w:val="0"/>
          <w:color w:val="000000"/>
          <w:position w:val="0"/>
          <w:sz w:val="20"/>
          <w:u w:val="none"/>
          <w:vertAlign w:val="baseline"/>
        </w:rPr>
        <w:t xml:space="preserve">, the Court must consider (1) whether there is a "rational connection" between the challenged regulation and a legitimate government interest; (2) whether there are alternative means for prisoners to exercise the allegedly affected right; (3) the impact an accommodation of the asserted right will have on other inmates, guards, and prison resources; and (4) whether "ready alternatives" to the challenged regulation exist. </w:t>
      </w:r>
      <w:r>
        <w:rPr>
          <w:rFonts w:ascii="arial" w:eastAsia="arial" w:hAnsi="arial" w:cs="arial"/>
          <w:b w:val="0"/>
          <w:i/>
          <w:strike w:val="0"/>
          <w:noProof w:val="0"/>
          <w:color w:val="000000"/>
          <w:position w:val="0"/>
          <w:sz w:val="20"/>
          <w:u w:val="none"/>
          <w:vertAlign w:val="baseline"/>
        </w:rPr>
        <w:t xml:space="preserve">See </w:t>
      </w:r>
      <w:bookmarkStart w:id="163" w:name="Bookmark_I68KJNKV2SF8BG0050000400"/>
      <w:bookmarkEnd w:id="163"/>
      <w:hyperlink r:id="rId39" w:history="1">
        <w:r>
          <w:rPr>
            <w:rFonts w:ascii="arial" w:eastAsia="arial" w:hAnsi="arial" w:cs="arial"/>
            <w:b w:val="0"/>
            <w:i/>
            <w:strike w:val="0"/>
            <w:noProof w:val="0"/>
            <w:color w:val="0077CC"/>
            <w:position w:val="0"/>
            <w:sz w:val="20"/>
            <w:u w:val="single"/>
            <w:vertAlign w:val="baseline"/>
          </w:rPr>
          <w:t>Turner</w:t>
        </w:r>
      </w:hyperlink>
      <w:hyperlink r:id="rId39" w:history="1">
        <w:r>
          <w:rPr>
            <w:rFonts w:ascii="arial" w:eastAsia="arial" w:hAnsi="arial" w:cs="arial"/>
            <w:b w:val="0"/>
            <w:i/>
            <w:strike w:val="0"/>
            <w:noProof w:val="0"/>
            <w:color w:val="0077CC"/>
            <w:position w:val="0"/>
            <w:sz w:val="20"/>
            <w:u w:val="single"/>
            <w:vertAlign w:val="baseline"/>
          </w:rPr>
          <w:t>, 482 U.S. at 89-90</w:t>
        </w:r>
      </w:hyperlink>
      <w:r>
        <w:rPr>
          <w:rFonts w:ascii="arial" w:eastAsia="arial" w:hAnsi="arial" w:cs="arial"/>
          <w:b w:val="0"/>
          <w:i w:val="0"/>
          <w:strike w:val="0"/>
          <w:noProof w:val="0"/>
          <w:color w:val="000000"/>
          <w:position w:val="0"/>
          <w:sz w:val="20"/>
          <w:u w:val="none"/>
          <w:vertAlign w:val="baseline"/>
        </w:rPr>
        <w:t xml:space="preserve">. </w:t>
      </w:r>
      <w:bookmarkStart w:id="164" w:name="Bookmark_I68KJNKW2HM6Y60030000400_2"/>
      <w:bookmarkEnd w:id="164"/>
      <w:bookmarkStart w:id="165" w:name="Bookmark_I68KJNKW2HM6Y60050000400"/>
      <w:bookmarkEnd w:id="165"/>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strike w:val="0"/>
          <w:noProof w:val="0"/>
          <w:color w:val="000000"/>
          <w:position w:val="0"/>
          <w:sz w:val="20"/>
          <w:u w:val="none"/>
          <w:vertAlign w:val="baseline"/>
        </w:rPr>
        <w:t>Turner</w:t>
      </w:r>
      <w:r>
        <w:rPr>
          <w:rFonts w:ascii="arial" w:eastAsia="arial" w:hAnsi="arial" w:cs="arial"/>
          <w:b w:val="0"/>
          <w:i w:val="0"/>
          <w:strike w:val="0"/>
          <w:noProof w:val="0"/>
          <w:color w:val="000000"/>
          <w:position w:val="0"/>
          <w:sz w:val="20"/>
          <w:u w:val="none"/>
          <w:vertAlign w:val="baseline"/>
        </w:rPr>
        <w:t xml:space="preserve"> standard is one of reasonableness: a regulation is valid "if it is reasonably related to legitimate penological interests." </w:t>
      </w:r>
      <w:bookmarkStart w:id="166" w:name="Bookmark_I68KJNKW2HM6Y60020000400"/>
      <w:bookmarkEnd w:id="166"/>
      <w:hyperlink r:id="rId39" w:history="1">
        <w:r>
          <w:rPr>
            <w:rFonts w:ascii="arial" w:eastAsia="arial" w:hAnsi="arial" w:cs="arial"/>
            <w:b w:val="0"/>
            <w:i/>
            <w:strike w:val="0"/>
            <w:noProof w:val="0"/>
            <w:color w:val="0077CC"/>
            <w:position w:val="0"/>
            <w:sz w:val="20"/>
            <w:u w:val="single"/>
            <w:vertAlign w:val="baseline"/>
          </w:rPr>
          <w:t>Id.</w:t>
        </w:r>
      </w:hyperlink>
      <w:hyperlink r:id="rId39" w:history="1">
        <w:r>
          <w:rPr>
            <w:rFonts w:ascii="arial" w:eastAsia="arial" w:hAnsi="arial" w:cs="arial"/>
            <w:b w:val="0"/>
            <w:i/>
            <w:strike w:val="0"/>
            <w:noProof w:val="0"/>
            <w:color w:val="0077CC"/>
            <w:position w:val="0"/>
            <w:sz w:val="20"/>
            <w:u w:val="single"/>
            <w:vertAlign w:val="baseline"/>
          </w:rPr>
          <w:t xml:space="preserve"> at 89</w:t>
        </w:r>
      </w:hyperlink>
      <w:r>
        <w:rPr>
          <w:rFonts w:ascii="arial" w:eastAsia="arial" w:hAnsi="arial" w:cs="arial"/>
          <w:b w:val="0"/>
          <w:i w:val="0"/>
          <w:strike w:val="0"/>
          <w:noProof w:val="0"/>
          <w:color w:val="000000"/>
          <w:position w:val="0"/>
          <w:sz w:val="20"/>
          <w:u w:val="none"/>
          <w:vertAlign w:val="baseline"/>
        </w:rPr>
        <w:t xml:space="preserve">. </w:t>
      </w:r>
      <w:bookmarkStart w:id="167" w:name="Bookmark_I68KJNKW2HM6Y60050000400_2"/>
      <w:bookmarkEnd w:id="167"/>
      <w:r>
        <w:rPr>
          <w:rFonts w:ascii="arial" w:eastAsia="arial" w:hAnsi="arial" w:cs="arial"/>
          <w:b w:val="0"/>
          <w:i w:val="0"/>
          <w:strike w:val="0"/>
          <w:noProof w:val="0"/>
          <w:color w:val="000000"/>
          <w:position w:val="0"/>
          <w:sz w:val="20"/>
          <w:u w:val="none"/>
          <w:vertAlign w:val="baseline"/>
        </w:rPr>
        <w:t xml:space="preserve">The burden of disproving the validity of a prison regulation lies with the plaintiff. </w:t>
      </w:r>
      <w:r>
        <w:rPr>
          <w:rFonts w:ascii="arial" w:eastAsia="arial" w:hAnsi="arial" w:cs="arial"/>
          <w:b w:val="0"/>
          <w:i/>
          <w:strike w:val="0"/>
          <w:noProof w:val="0"/>
          <w:color w:val="000000"/>
          <w:position w:val="0"/>
          <w:sz w:val="20"/>
          <w:u w:val="none"/>
          <w:vertAlign w:val="baseline"/>
        </w:rPr>
        <w:t xml:space="preserve">See </w:t>
      </w:r>
      <w:bookmarkStart w:id="168" w:name="Bookmark_I68KJNKW2HM6Y60040000400"/>
      <w:bookmarkEnd w:id="168"/>
      <w:hyperlink r:id="rId60" w:history="1">
        <w:r>
          <w:rPr>
            <w:rFonts w:ascii="arial" w:eastAsia="arial" w:hAnsi="arial" w:cs="arial"/>
            <w:b w:val="0"/>
            <w:i/>
            <w:strike w:val="0"/>
            <w:noProof w:val="0"/>
            <w:color w:val="0077CC"/>
            <w:position w:val="0"/>
            <w:sz w:val="20"/>
            <w:u w:val="single"/>
            <w:vertAlign w:val="baseline"/>
          </w:rPr>
          <w:t>Overton v. Bazzetta</w:t>
        </w:r>
      </w:hyperlink>
      <w:hyperlink r:id="rId60" w:history="1">
        <w:r>
          <w:rPr>
            <w:rFonts w:ascii="arial" w:eastAsia="arial" w:hAnsi="arial" w:cs="arial"/>
            <w:b w:val="0"/>
            <w:i/>
            <w:strike w:val="0"/>
            <w:noProof w:val="0"/>
            <w:color w:val="0077CC"/>
            <w:position w:val="0"/>
            <w:sz w:val="20"/>
            <w:u w:val="single"/>
            <w:vertAlign w:val="baseline"/>
          </w:rPr>
          <w:t>, 539 U.S. 126, 132, 123 S. Ct. 2162, 156 L. Ed. 2d 162 (2003)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69" w:name="Bookmark_para_27"/>
      <w:bookmarkEnd w:id="169"/>
      <w:r>
        <w:rPr>
          <w:rFonts w:ascii="arial" w:eastAsia="arial" w:hAnsi="arial" w:cs="arial"/>
          <w:b w:val="0"/>
          <w:i w:val="0"/>
          <w:strike w:val="0"/>
          <w:noProof w:val="0"/>
          <w:color w:val="000000"/>
          <w:position w:val="0"/>
          <w:sz w:val="20"/>
          <w:u w:val="none"/>
          <w:vertAlign w:val="baseline"/>
        </w:rPr>
        <w:t>As an initial matter, to the extent Plaintiff challenges the constitutionality of DOM 2022-23, such a challenge is moot, because DOM 2022-23 has been superseded and is no longer in place. As noted above, DOM 2023-18R3 is the current DOM in place regarding incoming prisoner</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mail. To the extent that Plaintiff challenges the constitutionality of DOM 2023-18R3 and its provisions regarding retention of original documents, Plaintiff has not demonstrated that the provision violates the </w:t>
      </w:r>
      <w:hyperlink r:id="rId18"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Plaintiff has not cited, and the Court has not located, any case law suggesting that there is a </w:t>
      </w:r>
      <w:hyperlink r:id="rId18"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right to retention of original documents within the prison setting.</w:t>
      </w:r>
    </w:p>
    <w:p>
      <w:pPr>
        <w:keepNext w:val="0"/>
        <w:spacing w:before="200" w:after="0" w:line="260" w:lineRule="atLeast"/>
        <w:ind w:left="0" w:right="0" w:firstLine="0"/>
        <w:jc w:val="both"/>
      </w:pPr>
      <w:bookmarkStart w:id="170" w:name="Bookmark_para_28"/>
      <w:bookmarkEnd w:id="170"/>
      <w:r>
        <w:rPr>
          <w:rFonts w:ascii="arial" w:eastAsia="arial" w:hAnsi="arial" w:cs="arial"/>
          <w:b w:val="0"/>
          <w:i w:val="0"/>
          <w:strike w:val="0"/>
          <w:noProof w:val="0"/>
          <w:color w:val="000000"/>
          <w:position w:val="0"/>
          <w:sz w:val="20"/>
          <w:u w:val="none"/>
          <w:vertAlign w:val="baseline"/>
        </w:rPr>
        <w:t xml:space="preserve">As to the first </w:t>
      </w:r>
      <w:r>
        <w:rPr>
          <w:rFonts w:ascii="arial" w:eastAsia="arial" w:hAnsi="arial" w:cs="arial"/>
          <w:b w:val="0"/>
          <w:i/>
          <w:strike w:val="0"/>
          <w:noProof w:val="0"/>
          <w:color w:val="000000"/>
          <w:position w:val="0"/>
          <w:sz w:val="20"/>
          <w:u w:val="none"/>
          <w:vertAlign w:val="baseline"/>
        </w:rPr>
        <w:t>Turner</w:t>
      </w:r>
      <w:r>
        <w:rPr>
          <w:rFonts w:ascii="arial" w:eastAsia="arial" w:hAnsi="arial" w:cs="arial"/>
          <w:b w:val="0"/>
          <w:i w:val="0"/>
          <w:strike w:val="0"/>
          <w:noProof w:val="0"/>
          <w:color w:val="000000"/>
          <w:position w:val="0"/>
          <w:sz w:val="20"/>
          <w:u w:val="none"/>
          <w:vertAlign w:val="baseline"/>
        </w:rPr>
        <w:t xml:space="preserve"> factor, Plaintiff suggests that there is "no justification for prohibiting the sending out [of] original legal documents, comparable to a sworn and notarized affidavit." (ECF No. 1, PageID.16.) Plaintiff, however, is mistaken in his belief that Tyler's affidavit constitutes legal mail. MDOC policy indicates that</w:t>
      </w:r>
    </w:p>
    <w:p>
      <w:pPr>
        <w:keepNext w:val="0"/>
        <w:spacing w:before="200" w:after="0" w:line="260" w:lineRule="atLeast"/>
        <w:ind w:left="400" w:right="0" w:firstLine="0"/>
        <w:jc w:val="both"/>
      </w:pPr>
      <w:bookmarkStart w:id="171" w:name="Bookmark_para_29"/>
      <w:bookmarkEnd w:id="171"/>
      <w:r>
        <w:rPr>
          <w:rFonts w:ascii="arial" w:eastAsia="arial" w:hAnsi="arial" w:cs="arial"/>
          <w:b w:val="0"/>
          <w:i w:val="0"/>
          <w:strike w:val="0"/>
          <w:noProof w:val="0"/>
          <w:color w:val="000000"/>
          <w:position w:val="0"/>
          <w:sz w:val="20"/>
          <w:u w:val="none"/>
          <w:vertAlign w:val="baseline"/>
        </w:rPr>
        <w:t>[o]nly mail received directly from an attorney or a law firm, a legitimate legal service organization, the Department of the Attorney General, a prosecuting attorney's office, a court, a clerk of the court, a Friend of the Court office, or the Office of the Legislative Corrections Ombudsman is considered legal mail, and only if the mail is clearly identified on the face of the envelope as being from one of the above. It is not sufficient for the envelope to be simply marked "legal mail."</w:t>
      </w:r>
      <w:r>
        <w:rPr>
          <w:rFonts w:ascii="arial" w:eastAsia="arial" w:hAnsi="arial" w:cs="arial"/>
          <w:b/>
          <w:i w:val="0"/>
          <w:strike w:val="0"/>
          <w:noProof w:val="0"/>
          <w:color w:val="000000"/>
          <w:position w:val="0"/>
          <w:sz w:val="20"/>
          <w:u w:val="none"/>
          <w:vertAlign w:val="baseline"/>
        </w:rPr>
        <w:t> [*19]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MDOC Policy Directive 05.03.118 ¶ FF (eff. Mar. 1, 2018). Inmates may request special handling for legal mail.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Incoming mail subject to special handling is "opened and inspected for money, controlled substances, and other physical contraband in the prisoner's presence."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JJ. The policy explicitly states that the "content of the mail shall not be read or skimmed."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If mail that is opened in the inmate's presence "clearly does not qualify for special handling or contains contraband," it is returned "to the mailroom for processing in accordance" with policy.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MDOC staff are responsible for maintaining logs to "document the delivery of mail receiving special handling."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KK. Thus, MDOC policy provides that inmates may receive original copies of legal mail that is subject to special handling. Nothing in Plaintiff's complaint suggests that the affidavit prepared by Tyler constituted legal mail.</w:t>
      </w:r>
    </w:p>
    <w:p>
      <w:pPr>
        <w:keepNext w:val="0"/>
        <w:spacing w:before="240" w:after="0" w:line="260" w:lineRule="atLeast"/>
        <w:ind w:left="0" w:right="0" w:firstLine="0"/>
        <w:jc w:val="both"/>
      </w:pPr>
      <w:bookmarkStart w:id="172" w:name="Bookmark_para_30"/>
      <w:bookmarkEnd w:id="172"/>
      <w:bookmarkStart w:id="173" w:name="Bookmark_I68KJNKW2SF8BM0020000400"/>
      <w:bookmarkEnd w:id="173"/>
      <w:r>
        <w:rPr>
          <w:rFonts w:ascii="arial" w:eastAsia="arial" w:hAnsi="arial" w:cs="arial"/>
          <w:b w:val="0"/>
          <w:i w:val="0"/>
          <w:strike w:val="0"/>
          <w:noProof w:val="0"/>
          <w:color w:val="000000"/>
          <w:position w:val="0"/>
          <w:sz w:val="20"/>
          <w:u w:val="none"/>
          <w:vertAlign w:val="baseline"/>
        </w:rPr>
        <w:t xml:space="preserve">DOM 2023-18R3 explicitly sets forth that the measures imposed upon incoming mail that does not require special handling, such as the affidavit in question here, are "[d]ue to an increase in contraband that has been coming into facilities from incoming prisoner mail."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DOM 2023-18R3.</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Countering the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of contraband is a legitimate penological interest. </w:t>
      </w:r>
      <w:r>
        <w:rPr>
          <w:rFonts w:ascii="arial" w:eastAsia="arial" w:hAnsi="arial" w:cs="arial"/>
          <w:b w:val="0"/>
          <w:i/>
          <w:strike w:val="0"/>
          <w:noProof w:val="0"/>
          <w:color w:val="000000"/>
          <w:position w:val="0"/>
          <w:sz w:val="20"/>
          <w:u w:val="none"/>
          <w:vertAlign w:val="baseline"/>
        </w:rPr>
        <w:t xml:space="preserve">See, e.g., </w:t>
      </w:r>
      <w:bookmarkStart w:id="174" w:name="Bookmark_I68KJNKW2SF8BM0010000400"/>
      <w:bookmarkEnd w:id="174"/>
      <w:hyperlink r:id="rId61" w:history="1">
        <w:r>
          <w:rPr>
            <w:rFonts w:ascii="arial" w:eastAsia="arial" w:hAnsi="arial" w:cs="arial"/>
            <w:b w:val="0"/>
            <w:i/>
            <w:strike w:val="0"/>
            <w:noProof w:val="0"/>
            <w:color w:val="0077CC"/>
            <w:position w:val="0"/>
            <w:sz w:val="20"/>
            <w:u w:val="single"/>
            <w:vertAlign w:val="baseline"/>
          </w:rPr>
          <w:t>Bratcher v. Clarke</w:t>
        </w:r>
      </w:hyperlink>
      <w:hyperlink r:id="rId61" w:history="1">
        <w:r>
          <w:rPr>
            <w:rFonts w:ascii="arial" w:eastAsia="arial" w:hAnsi="arial" w:cs="arial"/>
            <w:b w:val="0"/>
            <w:i/>
            <w:strike w:val="0"/>
            <w:noProof w:val="0"/>
            <w:color w:val="0077CC"/>
            <w:position w:val="0"/>
            <w:sz w:val="20"/>
            <w:u w:val="single"/>
            <w:vertAlign w:val="baseline"/>
          </w:rPr>
          <w:t>, No. 1:17-cv-474, 2018 U.S. Dist. LEXIS 166939, 2018 WL 4658684, at *8 (E.D. Va. Sept. 26, 2018)</w:t>
        </w:r>
      </w:hyperlink>
      <w:r>
        <w:rPr>
          <w:rFonts w:ascii="arial" w:eastAsia="arial" w:hAnsi="arial" w:cs="arial"/>
          <w:b w:val="0"/>
          <w:i w:val="0"/>
          <w:strike w:val="0"/>
          <w:noProof w:val="0"/>
          <w:color w:val="000000"/>
          <w:position w:val="0"/>
          <w:sz w:val="20"/>
          <w:u w:val="none"/>
          <w:vertAlign w:val="baseline"/>
        </w:rPr>
        <w:t xml:space="preserve"> (concluding that the Virginia DOC's policy restricting receipt of original documents and instead providing photocopies of incoming mail to inmates was "reasonably related to its legitimate interest in jail security and prisoner rehabilitation"), </w:t>
      </w:r>
      <w:r>
        <w:rPr>
          <w:rFonts w:ascii="arial" w:eastAsia="arial" w:hAnsi="arial" w:cs="arial"/>
          <w:b w:val="0"/>
          <w:i/>
          <w:strike w:val="0"/>
          <w:noProof w:val="0"/>
          <w:color w:val="000000"/>
          <w:position w:val="0"/>
          <w:sz w:val="20"/>
          <w:u w:val="none"/>
          <w:vertAlign w:val="baseline"/>
        </w:rPr>
        <w:t>reversed on other grounds by</w:t>
      </w:r>
      <w:r>
        <w:rPr>
          <w:rFonts w:ascii="arial" w:eastAsia="arial" w:hAnsi="arial" w:cs="arial"/>
          <w:b w:val="0"/>
          <w:i w:val="0"/>
          <w:strike w:val="0"/>
          <w:noProof w:val="0"/>
          <w:color w:val="000000"/>
          <w:position w:val="0"/>
          <w:sz w:val="20"/>
          <w:u w:val="none"/>
          <w:vertAlign w:val="baseline"/>
        </w:rPr>
        <w:t xml:space="preserve"> </w:t>
      </w:r>
      <w:bookmarkStart w:id="175" w:name="Bookmark_I68KJNKW2SF8BM0030000400"/>
      <w:bookmarkEnd w:id="175"/>
      <w:hyperlink r:id="rId62" w:history="1">
        <w:r>
          <w:rPr>
            <w:rFonts w:ascii="arial" w:eastAsia="arial" w:hAnsi="arial" w:cs="arial"/>
            <w:b w:val="0"/>
            <w:i/>
            <w:strike w:val="0"/>
            <w:noProof w:val="0"/>
            <w:color w:val="0077CC"/>
            <w:position w:val="0"/>
            <w:sz w:val="20"/>
            <w:u w:val="single"/>
            <w:vertAlign w:val="baseline"/>
          </w:rPr>
          <w:t>770 F. App'x 105 (4th Cir. 2019)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76" w:name="Bookmark_para_31"/>
      <w:bookmarkEnd w:id="176"/>
      <w:r>
        <w:rPr>
          <w:rFonts w:ascii="arial" w:eastAsia="arial" w:hAnsi="arial" w:cs="arial"/>
          <w:b w:val="0"/>
          <w:i w:val="0"/>
          <w:strike w:val="0"/>
          <w:noProof w:val="0"/>
          <w:color w:val="000000"/>
          <w:position w:val="0"/>
          <w:sz w:val="20"/>
          <w:u w:val="none"/>
          <w:vertAlign w:val="baseline"/>
        </w:rPr>
        <w:t xml:space="preserve">With respect to the second </w:t>
      </w:r>
      <w:r>
        <w:rPr>
          <w:rFonts w:ascii="arial" w:eastAsia="arial" w:hAnsi="arial" w:cs="arial"/>
          <w:b w:val="0"/>
          <w:i/>
          <w:strike w:val="0"/>
          <w:noProof w:val="0"/>
          <w:color w:val="000000"/>
          <w:position w:val="0"/>
          <w:sz w:val="20"/>
          <w:u w:val="none"/>
          <w:vertAlign w:val="baseline"/>
        </w:rPr>
        <w:t>Turner</w:t>
      </w:r>
      <w:r>
        <w:rPr>
          <w:rFonts w:ascii="arial" w:eastAsia="arial" w:hAnsi="arial" w:cs="arial"/>
          <w:b w:val="0"/>
          <w:i w:val="0"/>
          <w:strike w:val="0"/>
          <w:noProof w:val="0"/>
          <w:color w:val="000000"/>
          <w:position w:val="0"/>
          <w:sz w:val="20"/>
          <w:u w:val="none"/>
          <w:vertAlign w:val="baseline"/>
        </w:rPr>
        <w:t xml:space="preserve"> factor, Plaintiff has not demonstrated how the failure to retain original documents for more than 14 days restricts inmates' </w:t>
      </w:r>
      <w:hyperlink r:id="rId18"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rights. </w:t>
      </w:r>
      <w:bookmarkStart w:id="177" w:name="Bookmark_I68KJNKW2HM6Y90010000400"/>
      <w:bookmarkEnd w:id="177"/>
      <w:r>
        <w:rPr>
          <w:rFonts w:ascii="arial" w:eastAsia="arial" w:hAnsi="arial" w:cs="arial"/>
          <w:b w:val="0"/>
          <w:i w:val="0"/>
          <w:strike w:val="0"/>
          <w:noProof w:val="0"/>
          <w:color w:val="000000"/>
          <w:position w:val="0"/>
          <w:sz w:val="20"/>
          <w:u w:val="none"/>
          <w:vertAlign w:val="baseline"/>
        </w:rPr>
        <w:t xml:space="preserve">DOM 2023-18R3 does not prohibit inmates from receiving mail or accessing the content of such mail. Instead, inmates receive copies of all documents that do not require special handling. </w:t>
      </w:r>
      <w:bookmarkStart w:id="178" w:name="Bookmark_I68KJNKW2HM6Y90050000400"/>
      <w:bookmarkEnd w:id="178"/>
      <w:r>
        <w:rPr>
          <w:rFonts w:ascii="arial" w:eastAsia="arial" w:hAnsi="arial" w:cs="arial"/>
          <w:b w:val="0"/>
          <w:i w:val="0"/>
          <w:strike w:val="0"/>
          <w:noProof w:val="0"/>
          <w:color w:val="000000"/>
          <w:position w:val="0"/>
          <w:sz w:val="20"/>
          <w:u w:val="none"/>
          <w:vertAlign w:val="baseline"/>
        </w:rPr>
        <w:t xml:space="preserve">DOM 2023-18R3, however, does not just affect Plaintiff, it affects inmates at all MDOC correctional institutions. In that case, it is "particularly appropriate for a court to deter to the 'informed decision of corrections officials.'" </w:t>
      </w:r>
      <w:bookmarkStart w:id="179" w:name="Bookmark_I68KJNKW2SF8BM0050000400"/>
      <w:bookmarkEnd w:id="179"/>
      <w:hyperlink r:id="rId61" w:history="1">
        <w:r>
          <w:rPr>
            <w:rFonts w:ascii="arial" w:eastAsia="arial" w:hAnsi="arial" w:cs="arial"/>
            <w:b w:val="0"/>
            <w:i/>
            <w:strike w:val="0"/>
            <w:noProof w:val="0"/>
            <w:color w:val="0077CC"/>
            <w:position w:val="0"/>
            <w:sz w:val="20"/>
            <w:u w:val="single"/>
            <w:vertAlign w:val="baseline"/>
          </w:rPr>
          <w:t>Bratcher</w:t>
        </w:r>
      </w:hyperlink>
      <w:hyperlink r:id="rId61" w:history="1">
        <w:r>
          <w:rPr>
            <w:rFonts w:ascii="arial" w:eastAsia="arial" w:hAnsi="arial" w:cs="arial"/>
            <w:b w:val="0"/>
            <w:i/>
            <w:strike w:val="0"/>
            <w:noProof w:val="0"/>
            <w:color w:val="0077CC"/>
            <w:position w:val="0"/>
            <w:sz w:val="20"/>
            <w:u w:val="single"/>
            <w:vertAlign w:val="baseline"/>
          </w:rPr>
          <w:t>, 2018 U.S. Dist. LEXIS 166939, 2018 WL 4658684, at *19</w:t>
        </w:r>
      </w:hyperlink>
      <w:r>
        <w:rPr>
          <w:rFonts w:ascii="arial" w:eastAsia="arial" w:hAnsi="arial" w:cs="arial"/>
          <w:b w:val="0"/>
          <w:i w:val="0"/>
          <w:strike w:val="0"/>
          <w:noProof w:val="0"/>
          <w:color w:val="000000"/>
          <w:position w:val="0"/>
          <w:sz w:val="20"/>
          <w:u w:val="none"/>
          <w:vertAlign w:val="baseline"/>
        </w:rPr>
        <w:t xml:space="preserve"> (quoting </w:t>
      </w:r>
      <w:bookmarkStart w:id="180" w:name="Bookmark_I68KJNKW2HM6Y90020000400"/>
      <w:bookmarkEnd w:id="180"/>
      <w:hyperlink r:id="rId40" w:history="1">
        <w:r>
          <w:rPr>
            <w:rFonts w:ascii="arial" w:eastAsia="arial" w:hAnsi="arial" w:cs="arial"/>
            <w:b w:val="0"/>
            <w:i/>
            <w:strike w:val="0"/>
            <w:noProof w:val="0"/>
            <w:color w:val="0077CC"/>
            <w:position w:val="0"/>
            <w:sz w:val="20"/>
            <w:u w:val="single"/>
            <w:vertAlign w:val="baseline"/>
          </w:rPr>
          <w:t>Thornburgh v. Abbott</w:t>
        </w:r>
      </w:hyperlink>
      <w:hyperlink r:id="rId40" w:history="1">
        <w:r>
          <w:rPr>
            <w:rFonts w:ascii="arial" w:eastAsia="arial" w:hAnsi="arial" w:cs="arial"/>
            <w:b w:val="0"/>
            <w:i/>
            <w:strike w:val="0"/>
            <w:noProof w:val="0"/>
            <w:color w:val="0077CC"/>
            <w:position w:val="0"/>
            <w:sz w:val="20"/>
            <w:u w:val="single"/>
            <w:vertAlign w:val="baseline"/>
          </w:rPr>
          <w:t>, 490 U.S. 401, 418, 109 S. Ct. 1874, 104 L. Ed. 2d 459 (1989)</w:t>
        </w:r>
      </w:hyperlink>
      <w:r>
        <w:rPr>
          <w:rFonts w:ascii="arial" w:eastAsia="arial" w:hAnsi="arial" w:cs="arial"/>
          <w:b w:val="0"/>
          <w:i w:val="0"/>
          <w:strike w:val="0"/>
          <w:noProof w:val="0"/>
          <w:color w:val="000000"/>
          <w:position w:val="0"/>
          <w:sz w:val="20"/>
          <w:u w:val="none"/>
          <w:vertAlign w:val="baseline"/>
        </w:rPr>
        <w:t xml:space="preserve">). </w:t>
      </w:r>
      <w:bookmarkStart w:id="181" w:name="Bookmark_I68KJNKW2HM6Y90050000400_2"/>
      <w:bookmarkEnd w:id="181"/>
      <w:r>
        <w:rPr>
          <w:rFonts w:ascii="arial" w:eastAsia="arial" w:hAnsi="arial" w:cs="arial"/>
          <w:b w:val="0"/>
          <w:i w:val="0"/>
          <w:strike w:val="0"/>
          <w:noProof w:val="0"/>
          <w:color w:val="000000"/>
          <w:position w:val="0"/>
          <w:sz w:val="20"/>
          <w:u w:val="none"/>
          <w:vertAlign w:val="baseline"/>
        </w:rPr>
        <w:t xml:space="preserve">While the Court recognizes that inmates would prefer to receive and retain original copies of correspondence, the law provides that "alternatives . . . need not be ideal; they need only be available." </w:t>
      </w:r>
      <w:bookmarkStart w:id="182" w:name="Bookmark_I68KJNKW2HM6Y90040000400"/>
      <w:bookmarkEnd w:id="182"/>
      <w:hyperlink r:id="rId60" w:history="1">
        <w:r>
          <w:rPr>
            <w:rFonts w:ascii="arial" w:eastAsia="arial" w:hAnsi="arial" w:cs="arial"/>
            <w:b w:val="0"/>
            <w:i/>
            <w:strike w:val="0"/>
            <w:noProof w:val="0"/>
            <w:color w:val="0077CC"/>
            <w:position w:val="0"/>
            <w:sz w:val="20"/>
            <w:u w:val="single"/>
            <w:vertAlign w:val="baseline"/>
          </w:rPr>
          <w:t>Overton</w:t>
        </w:r>
      </w:hyperlink>
      <w:hyperlink r:id="rId60" w:history="1">
        <w:r>
          <w:rPr>
            <w:rFonts w:ascii="arial" w:eastAsia="arial" w:hAnsi="arial" w:cs="arial"/>
            <w:b w:val="0"/>
            <w:i/>
            <w:strike w:val="0"/>
            <w:noProof w:val="0"/>
            <w:color w:val="0077CC"/>
            <w:position w:val="0"/>
            <w:sz w:val="20"/>
            <w:u w:val="single"/>
            <w:vertAlign w:val="baseline"/>
          </w:rPr>
          <w:t>, 539 U.S. at 135</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83" w:name="Bookmark_para_32"/>
      <w:bookmarkEnd w:id="183"/>
      <w:r>
        <w:rPr>
          <w:rFonts w:ascii="arial" w:eastAsia="arial" w:hAnsi="arial" w:cs="arial"/>
          <w:b w:val="0"/>
          <w:i w:val="0"/>
          <w:strike w:val="0"/>
          <w:noProof w:val="0"/>
          <w:color w:val="000000"/>
          <w:position w:val="0"/>
          <w:sz w:val="20"/>
          <w:u w:val="none"/>
          <w:vertAlign w:val="baseline"/>
        </w:rPr>
        <w:t>Furthermore, Plaintiff has not</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alleged facts regarding the impact that would result upon prison resources if the MDOC permitted unlimited retention of incoming mail. Plaintiff suggests that there would be no impact because staff are already required to retain such documents for 14 days. (ECF No. 1, PageID.17.) If the MDOC were required to retain all original copies of each inmate's incoming mail, however, the MDOC would require significant additional storage space for these documents.</w:t>
      </w:r>
    </w:p>
    <w:p>
      <w:pPr>
        <w:keepNext w:val="0"/>
        <w:spacing w:before="200" w:after="0" w:line="260" w:lineRule="atLeast"/>
        <w:ind w:left="0" w:right="0" w:firstLine="0"/>
        <w:jc w:val="both"/>
      </w:pPr>
      <w:bookmarkStart w:id="184" w:name="Bookmark_para_33"/>
      <w:bookmarkEnd w:id="184"/>
      <w:bookmarkStart w:id="185" w:name="Bookmark_I68KJNKW2D6P070020000400"/>
      <w:bookmarkEnd w:id="185"/>
      <w:r>
        <w:rPr>
          <w:rFonts w:ascii="arial" w:eastAsia="arial" w:hAnsi="arial" w:cs="arial"/>
          <w:b w:val="0"/>
          <w:i w:val="0"/>
          <w:strike w:val="0"/>
          <w:noProof w:val="0"/>
          <w:color w:val="000000"/>
          <w:position w:val="0"/>
          <w:sz w:val="20"/>
          <w:u w:val="none"/>
          <w:vertAlign w:val="baseline"/>
        </w:rPr>
        <w:t xml:space="preserve">Finally, with respect to the last </w:t>
      </w:r>
      <w:r>
        <w:rPr>
          <w:rFonts w:ascii="arial" w:eastAsia="arial" w:hAnsi="arial" w:cs="arial"/>
          <w:b w:val="0"/>
          <w:i/>
          <w:strike w:val="0"/>
          <w:noProof w:val="0"/>
          <w:color w:val="000000"/>
          <w:position w:val="0"/>
          <w:sz w:val="20"/>
          <w:u w:val="none"/>
          <w:vertAlign w:val="baseline"/>
        </w:rPr>
        <w:t>Turner</w:t>
      </w:r>
      <w:r>
        <w:rPr>
          <w:rFonts w:ascii="arial" w:eastAsia="arial" w:hAnsi="arial" w:cs="arial"/>
          <w:b w:val="0"/>
          <w:i w:val="0"/>
          <w:strike w:val="0"/>
          <w:noProof w:val="0"/>
          <w:color w:val="000000"/>
          <w:position w:val="0"/>
          <w:sz w:val="20"/>
          <w:u w:val="none"/>
          <w:vertAlign w:val="baseline"/>
        </w:rPr>
        <w:t xml:space="preserve"> factor, if an inmate "can point to an alternative that fully accommodates the prisoner's rights at </w:t>
      </w:r>
      <w:r>
        <w:rPr>
          <w:rFonts w:ascii="arial" w:eastAsia="arial" w:hAnsi="arial" w:cs="arial"/>
          <w:b w:val="0"/>
          <w:i/>
          <w:strike w:val="0"/>
          <w:noProof w:val="0"/>
          <w:color w:val="000000"/>
          <w:position w:val="0"/>
          <w:sz w:val="20"/>
          <w:u w:val="none"/>
          <w:vertAlign w:val="baseline"/>
        </w:rPr>
        <w:t>de minimis</w:t>
      </w:r>
      <w:r>
        <w:rPr>
          <w:rFonts w:ascii="arial" w:eastAsia="arial" w:hAnsi="arial" w:cs="arial"/>
          <w:b w:val="0"/>
          <w:i w:val="0"/>
          <w:strike w:val="0"/>
          <w:noProof w:val="0"/>
          <w:color w:val="000000"/>
          <w:position w:val="0"/>
          <w:sz w:val="20"/>
          <w:u w:val="none"/>
          <w:vertAlign w:val="baseline"/>
        </w:rPr>
        <w:t xml:space="preserve"> cost to valid penological interests, a court may consider that as evidence that the regulation does not satisfy the reasonable relationship standard." </w:t>
      </w:r>
      <w:bookmarkStart w:id="186" w:name="Bookmark_I68KJNKW2D6P070010000400"/>
      <w:bookmarkEnd w:id="186"/>
      <w:hyperlink r:id="rId39" w:history="1">
        <w:r>
          <w:rPr>
            <w:rFonts w:ascii="arial" w:eastAsia="arial" w:hAnsi="arial" w:cs="arial"/>
            <w:b w:val="0"/>
            <w:i/>
            <w:strike w:val="0"/>
            <w:noProof w:val="0"/>
            <w:color w:val="0077CC"/>
            <w:position w:val="0"/>
            <w:sz w:val="20"/>
            <w:u w:val="single"/>
            <w:vertAlign w:val="baseline"/>
          </w:rPr>
          <w:t>Turner</w:t>
        </w:r>
      </w:hyperlink>
      <w:hyperlink r:id="rId39" w:history="1">
        <w:r>
          <w:rPr>
            <w:rFonts w:ascii="arial" w:eastAsia="arial" w:hAnsi="arial" w:cs="arial"/>
            <w:b w:val="0"/>
            <w:i/>
            <w:strike w:val="0"/>
            <w:noProof w:val="0"/>
            <w:color w:val="0077CC"/>
            <w:position w:val="0"/>
            <w:sz w:val="20"/>
            <w:u w:val="single"/>
            <w:vertAlign w:val="baseline"/>
          </w:rPr>
          <w:t>, 482 U.S. at 90-91</w:t>
        </w:r>
      </w:hyperlink>
      <w:r>
        <w:rPr>
          <w:rFonts w:ascii="arial" w:eastAsia="arial" w:hAnsi="arial" w:cs="arial"/>
          <w:b w:val="0"/>
          <w:i w:val="0"/>
          <w:strike w:val="0"/>
          <w:noProof w:val="0"/>
          <w:color w:val="000000"/>
          <w:position w:val="0"/>
          <w:sz w:val="20"/>
          <w:u w:val="none"/>
          <w:vertAlign w:val="baseline"/>
        </w:rPr>
        <w:t xml:space="preserve">. Plaintiff contends that there is "no ready alternative to DOM [2023-18R3], as it is the only available means a prisoner without counsel or the funds to hire an attorney[] may receive any legal documentation, or mail for that matter." (ECF No. 1, PageID.18.) Plaintiff argues that there is no alternative "to secure the preservation of an original legal document" and to ensure that a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inmate receives an original legal document.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i/>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As discussed above, however, affidavits such as the one prepared by Tyler do not necessarily qualify as legal mail, and MDOC Policy Directive 05.03.118 already sets forth procedures for processing mail that requires special handling, such as legal mail. With respect to all other mail, inmates have the opportunity to receive photocopies. Given the additional storage and staff that would be required to maintain the volume of original incoming mail that is received by each MDOC institution, the Court cannot agree with Plaintiff that the costs to the MDOC's valid penological interests would be </w:t>
      </w:r>
      <w:r>
        <w:rPr>
          <w:rFonts w:ascii="arial" w:eastAsia="arial" w:hAnsi="arial" w:cs="arial"/>
          <w:b w:val="0"/>
          <w:i/>
          <w:strike w:val="0"/>
          <w:noProof w:val="0"/>
          <w:color w:val="000000"/>
          <w:position w:val="0"/>
          <w:sz w:val="20"/>
          <w:u w:val="none"/>
          <w:vertAlign w:val="baseline"/>
        </w:rPr>
        <w:t>de minimis</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87" w:name="Bookmark_para_34"/>
      <w:bookmarkEnd w:id="187"/>
      <w:r>
        <w:rPr>
          <w:rFonts w:ascii="arial" w:eastAsia="arial" w:hAnsi="arial" w:cs="arial"/>
          <w:b w:val="0"/>
          <w:i w:val="0"/>
          <w:strike w:val="0"/>
          <w:noProof w:val="0"/>
          <w:color w:val="000000"/>
          <w:position w:val="0"/>
          <w:sz w:val="20"/>
          <w:u w:val="none"/>
          <w:vertAlign w:val="baseline"/>
        </w:rPr>
        <w:t xml:space="preserve">In sum, Plaintiff has not met his burden of demonstrating that the provisions of DOM 2023-18R3 regarding retention of original incoming mail that is not subject to legal handling violates the </w:t>
      </w:r>
      <w:hyperlink r:id="rId18"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Accordingly, his claim regarding the constitutionality of this provision will be dismissed.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 Violations of MDOC Policy</w:t>
      </w:r>
    </w:p>
    <w:p>
      <w:pPr>
        <w:keepNext w:val="0"/>
        <w:spacing w:before="240" w:after="0" w:line="260" w:lineRule="atLeast"/>
        <w:ind w:left="0" w:right="0" w:firstLine="0"/>
        <w:jc w:val="both"/>
      </w:pPr>
      <w:bookmarkStart w:id="188" w:name="Bookmark_para_35"/>
      <w:bookmarkEnd w:id="188"/>
      <w:bookmarkStart w:id="189" w:name="Bookmark_I68KJNKW2D6P070040000400"/>
      <w:bookmarkEnd w:id="189"/>
      <w:r>
        <w:rPr>
          <w:rFonts w:ascii="arial" w:eastAsia="arial" w:hAnsi="arial" w:cs="arial"/>
          <w:b w:val="0"/>
          <w:i w:val="0"/>
          <w:strike w:val="0"/>
          <w:noProof w:val="0"/>
          <w:color w:val="000000"/>
          <w:position w:val="0"/>
          <w:sz w:val="20"/>
          <w:u w:val="none"/>
          <w:vertAlign w:val="baseline"/>
        </w:rPr>
        <w:t xml:space="preserve">Plaintiff alleges further that Defendants' actions violated various MDOC Policy Directives. </w:t>
      </w:r>
      <w:hyperlink r:id="rId10" w:history="1">
        <w:r>
          <w:rPr>
            <w:rFonts w:ascii="arial" w:eastAsia="arial" w:hAnsi="arial" w:cs="arial"/>
            <w:b w:val="0"/>
            <w:i/>
            <w:strike w:val="0"/>
            <w:noProof w:val="0"/>
            <w:color w:val="0077CC"/>
            <w:position w:val="0"/>
            <w:sz w:val="20"/>
            <w:u w:val="single"/>
            <w:vertAlign w:val="baseline"/>
          </w:rPr>
          <w:t>Section 1983</w:t>
        </w:r>
      </w:hyperlink>
      <w:r>
        <w:rPr>
          <w:rFonts w:ascii="arial" w:eastAsia="arial" w:hAnsi="arial" w:cs="arial"/>
          <w:b w:val="0"/>
          <w:i w:val="0"/>
          <w:strike w:val="0"/>
          <w:noProof w:val="0"/>
          <w:color w:val="000000"/>
          <w:position w:val="0"/>
          <w:sz w:val="20"/>
          <w:u w:val="none"/>
          <w:vertAlign w:val="baseline"/>
        </w:rPr>
        <w:t xml:space="preserve">, however, does not provide redress for violations of state law. </w:t>
      </w:r>
      <w:r>
        <w:rPr>
          <w:rFonts w:ascii="arial" w:eastAsia="arial" w:hAnsi="arial" w:cs="arial"/>
          <w:b w:val="0"/>
          <w:i/>
          <w:strike w:val="0"/>
          <w:noProof w:val="0"/>
          <w:color w:val="000000"/>
          <w:position w:val="0"/>
          <w:sz w:val="20"/>
          <w:u w:val="none"/>
          <w:vertAlign w:val="baseline"/>
        </w:rPr>
        <w:t xml:space="preserve">See </w:t>
      </w:r>
      <w:bookmarkStart w:id="190" w:name="Bookmark_I68KJNKW2D6P070030000400"/>
      <w:bookmarkEnd w:id="190"/>
      <w:hyperlink r:id="rId63" w:history="1">
        <w:r>
          <w:rPr>
            <w:rFonts w:ascii="arial" w:eastAsia="arial" w:hAnsi="arial" w:cs="arial"/>
            <w:b w:val="0"/>
            <w:i/>
            <w:strike w:val="0"/>
            <w:noProof w:val="0"/>
            <w:color w:val="0077CC"/>
            <w:position w:val="0"/>
            <w:sz w:val="20"/>
            <w:u w:val="single"/>
            <w:vertAlign w:val="baseline"/>
          </w:rPr>
          <w:t>Pyles v. Raisor</w:t>
        </w:r>
      </w:hyperlink>
      <w:hyperlink r:id="rId63" w:history="1">
        <w:r>
          <w:rPr>
            <w:rFonts w:ascii="arial" w:eastAsia="arial" w:hAnsi="arial" w:cs="arial"/>
            <w:b w:val="0"/>
            <w:i/>
            <w:strike w:val="0"/>
            <w:noProof w:val="0"/>
            <w:color w:val="0077CC"/>
            <w:position w:val="0"/>
            <w:sz w:val="20"/>
            <w:u w:val="single"/>
            <w:vertAlign w:val="baseline"/>
          </w:rPr>
          <w:t>, 60 F.3d 1211, 1215 (6th Cir. 1995)</w:t>
        </w:r>
      </w:hyperlink>
      <w:r>
        <w:rPr>
          <w:rFonts w:ascii="arial" w:eastAsia="arial" w:hAnsi="arial" w:cs="arial"/>
          <w:b w:val="0"/>
          <w:i w:val="0"/>
          <w:strike w:val="0"/>
          <w:noProof w:val="0"/>
          <w:color w:val="000000"/>
          <w:position w:val="0"/>
          <w:sz w:val="20"/>
          <w:u w:val="none"/>
          <w:vertAlign w:val="baseline"/>
        </w:rPr>
        <w:t xml:space="preserve">; </w:t>
      </w:r>
      <w:bookmarkStart w:id="191" w:name="Bookmark_I68KJNKW2D6P070050000400"/>
      <w:bookmarkEnd w:id="191"/>
      <w:hyperlink r:id="rId64" w:history="1">
        <w:r>
          <w:rPr>
            <w:rFonts w:ascii="arial" w:eastAsia="arial" w:hAnsi="arial" w:cs="arial"/>
            <w:b w:val="0"/>
            <w:i/>
            <w:strike w:val="0"/>
            <w:noProof w:val="0"/>
            <w:color w:val="0077CC"/>
            <w:position w:val="0"/>
            <w:sz w:val="20"/>
            <w:u w:val="single"/>
            <w:vertAlign w:val="baseline"/>
          </w:rPr>
          <w:t>Sweeton v. Brown</w:t>
        </w:r>
      </w:hyperlink>
      <w:hyperlink r:id="rId64" w:history="1">
        <w:r>
          <w:rPr>
            <w:rFonts w:ascii="arial" w:eastAsia="arial" w:hAnsi="arial" w:cs="arial"/>
            <w:b w:val="0"/>
            <w:i/>
            <w:strike w:val="0"/>
            <w:noProof w:val="0"/>
            <w:color w:val="0077CC"/>
            <w:position w:val="0"/>
            <w:sz w:val="20"/>
            <w:u w:val="single"/>
            <w:vertAlign w:val="baseline"/>
          </w:rPr>
          <w:t>, 27 F.3d 1162, 1166 (6th Cir. 1994)</w:t>
        </w:r>
      </w:hyperlink>
      <w:r>
        <w:rPr>
          <w:rFonts w:ascii="arial" w:eastAsia="arial" w:hAnsi="arial" w:cs="arial"/>
          <w:b w:val="0"/>
          <w:i w:val="0"/>
          <w:strike w:val="0"/>
          <w:noProof w:val="0"/>
          <w:color w:val="000000"/>
          <w:position w:val="0"/>
          <w:sz w:val="20"/>
          <w:u w:val="none"/>
          <w:vertAlign w:val="baseline"/>
        </w:rPr>
        <w:t>. With respect to Plaintiff's claims concerning MDOC policy, the only possible way a policy might enjoy constitutional</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protection would be through the </w:t>
      </w:r>
      <w:hyperlink r:id="rId65" w:history="1">
        <w:r>
          <w:rPr>
            <w:rFonts w:ascii="arial" w:eastAsia="arial" w:hAnsi="arial" w:cs="arial"/>
            <w:b w:val="0"/>
            <w:i/>
            <w:strike w:val="0"/>
            <w:noProof w:val="0"/>
            <w:color w:val="0077CC"/>
            <w:position w:val="0"/>
            <w:sz w:val="20"/>
            <w:u w:val="single"/>
            <w:vertAlign w:val="baseline"/>
          </w:rPr>
          <w:t>Fourteenth Amendment's Due Process Clause</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92" w:name="Bookmark_para_36"/>
      <w:bookmarkEnd w:id="192"/>
      <w:bookmarkStart w:id="193" w:name="Bookmark_I68KJNKW2HM6YD0030000400"/>
      <w:bookmarkEnd w:id="193"/>
      <w:bookmarkStart w:id="194" w:name="Bookmark_I68KJNKW2HM6YD0050000400"/>
      <w:bookmarkEnd w:id="194"/>
      <w:r>
        <w:rPr>
          <w:rFonts w:ascii="arial" w:eastAsia="arial" w:hAnsi="arial" w:cs="arial"/>
          <w:b w:val="0"/>
          <w:i w:val="0"/>
          <w:strike w:val="0"/>
          <w:noProof w:val="0"/>
          <w:color w:val="000000"/>
          <w:position w:val="0"/>
          <w:sz w:val="20"/>
          <w:u w:val="none"/>
          <w:vertAlign w:val="baseline"/>
        </w:rPr>
        <w:t xml:space="preserve">To demonstrate a due process violation, a plaintiff must prove the following elements: (1) a life, liberty, or property interest requiring protection under the Due Process Clause; and (2) a deprivation of that interest (3) without adequate process. </w:t>
      </w:r>
      <w:bookmarkStart w:id="195" w:name="Bookmark_I68KJNKW2HM6YD0020000400"/>
      <w:bookmarkEnd w:id="195"/>
      <w:hyperlink r:id="rId66" w:history="1">
        <w:r>
          <w:rPr>
            <w:rFonts w:ascii="arial" w:eastAsia="arial" w:hAnsi="arial" w:cs="arial"/>
            <w:b w:val="0"/>
            <w:i/>
            <w:strike w:val="0"/>
            <w:noProof w:val="0"/>
            <w:color w:val="0077CC"/>
            <w:position w:val="0"/>
            <w:sz w:val="20"/>
            <w:u w:val="single"/>
            <w:vertAlign w:val="baseline"/>
          </w:rPr>
          <w:t>Women's Med. Prof'l Corp. v. Baird</w:t>
        </w:r>
      </w:hyperlink>
      <w:hyperlink r:id="rId66" w:history="1">
        <w:r>
          <w:rPr>
            <w:rFonts w:ascii="arial" w:eastAsia="arial" w:hAnsi="arial" w:cs="arial"/>
            <w:b w:val="0"/>
            <w:i/>
            <w:strike w:val="0"/>
            <w:noProof w:val="0"/>
            <w:color w:val="0077CC"/>
            <w:position w:val="0"/>
            <w:sz w:val="20"/>
            <w:u w:val="single"/>
            <w:vertAlign w:val="baseline"/>
          </w:rPr>
          <w:t>, 438 F.3d 595, 611 (6th Cir. 2006)</w:t>
        </w:r>
      </w:hyperlink>
      <w:r>
        <w:rPr>
          <w:rFonts w:ascii="arial" w:eastAsia="arial" w:hAnsi="arial" w:cs="arial"/>
          <w:b w:val="0"/>
          <w:i w:val="0"/>
          <w:strike w:val="0"/>
          <w:noProof w:val="0"/>
          <w:color w:val="000000"/>
          <w:position w:val="0"/>
          <w:sz w:val="20"/>
          <w:u w:val="none"/>
          <w:vertAlign w:val="baseline"/>
        </w:rPr>
        <w:t xml:space="preserve">. </w:t>
      </w:r>
      <w:bookmarkStart w:id="196" w:name="Bookmark_I68KJNKX2N1RTH0040000400"/>
      <w:bookmarkEnd w:id="196"/>
      <w:r>
        <w:rPr>
          <w:rFonts w:ascii="arial" w:eastAsia="arial" w:hAnsi="arial" w:cs="arial"/>
          <w:b w:val="0"/>
          <w:i w:val="0"/>
          <w:strike w:val="0"/>
          <w:noProof w:val="0"/>
          <w:color w:val="000000"/>
          <w:position w:val="0"/>
          <w:sz w:val="20"/>
          <w:u w:val="none"/>
          <w:vertAlign w:val="baseline"/>
        </w:rPr>
        <w:t xml:space="preserve">"Without a protected liberty or property interest, there can be no federal procedural due process claim." </w:t>
      </w:r>
      <w:bookmarkStart w:id="197" w:name="Bookmark_I68KJNKW2HM6YD0040000400"/>
      <w:bookmarkEnd w:id="197"/>
      <w:hyperlink r:id="rId67" w:history="1">
        <w:r>
          <w:rPr>
            <w:rFonts w:ascii="arial" w:eastAsia="arial" w:hAnsi="arial" w:cs="arial"/>
            <w:b w:val="0"/>
            <w:i/>
            <w:strike w:val="0"/>
            <w:noProof w:val="0"/>
            <w:color w:val="0077CC"/>
            <w:position w:val="0"/>
            <w:sz w:val="20"/>
            <w:u w:val="single"/>
            <w:vertAlign w:val="baseline"/>
          </w:rPr>
          <w:t>Experimental Holdings, Inc. v. Farris</w:t>
        </w:r>
      </w:hyperlink>
      <w:hyperlink r:id="rId67" w:history="1">
        <w:r>
          <w:rPr>
            <w:rFonts w:ascii="arial" w:eastAsia="arial" w:hAnsi="arial" w:cs="arial"/>
            <w:b w:val="0"/>
            <w:i/>
            <w:strike w:val="0"/>
            <w:noProof w:val="0"/>
            <w:color w:val="0077CC"/>
            <w:position w:val="0"/>
            <w:sz w:val="20"/>
            <w:u w:val="single"/>
            <w:vertAlign w:val="baseline"/>
          </w:rPr>
          <w:t>, 503 F.3d 514, 519 (6th Cir. 2007)</w:t>
        </w:r>
      </w:hyperlink>
      <w:r>
        <w:rPr>
          <w:rFonts w:ascii="arial" w:eastAsia="arial" w:hAnsi="arial" w:cs="arial"/>
          <w:b w:val="0"/>
          <w:i w:val="0"/>
          <w:strike w:val="0"/>
          <w:noProof w:val="0"/>
          <w:color w:val="000000"/>
          <w:position w:val="0"/>
          <w:sz w:val="20"/>
          <w:u w:val="none"/>
          <w:vertAlign w:val="baseline"/>
        </w:rPr>
        <w:t xml:space="preserve"> (citing </w:t>
      </w:r>
      <w:bookmarkStart w:id="198" w:name="Bookmark_I68KJNKX2N1RTH0010000400"/>
      <w:bookmarkEnd w:id="198"/>
      <w:hyperlink r:id="rId68" w:history="1">
        <w:r>
          <w:rPr>
            <w:rFonts w:ascii="arial" w:eastAsia="arial" w:hAnsi="arial" w:cs="arial"/>
            <w:b w:val="0"/>
            <w:i/>
            <w:strike w:val="0"/>
            <w:noProof w:val="0"/>
            <w:color w:val="0077CC"/>
            <w:position w:val="0"/>
            <w:sz w:val="20"/>
            <w:u w:val="single"/>
            <w:vertAlign w:val="baseline"/>
          </w:rPr>
          <w:t>Bd. of Regents of State Colleges v. Roth</w:t>
        </w:r>
      </w:hyperlink>
      <w:hyperlink r:id="rId68" w:history="1">
        <w:r>
          <w:rPr>
            <w:rFonts w:ascii="arial" w:eastAsia="arial" w:hAnsi="arial" w:cs="arial"/>
            <w:b w:val="0"/>
            <w:i/>
            <w:strike w:val="0"/>
            <w:noProof w:val="0"/>
            <w:color w:val="0077CC"/>
            <w:position w:val="0"/>
            <w:sz w:val="20"/>
            <w:u w:val="single"/>
            <w:vertAlign w:val="baseline"/>
          </w:rPr>
          <w:t>, 408 U.S. 564, 579, 92 S. Ct. 2701, 33 L. Ed. 2d 548 (1972)</w:t>
        </w:r>
      </w:hyperlink>
      <w:r>
        <w:rPr>
          <w:rFonts w:ascii="arial" w:eastAsia="arial" w:hAnsi="arial" w:cs="arial"/>
          <w:b w:val="0"/>
          <w:i w:val="0"/>
          <w:strike w:val="0"/>
          <w:noProof w:val="0"/>
          <w:color w:val="000000"/>
          <w:position w:val="0"/>
          <w:sz w:val="20"/>
          <w:u w:val="none"/>
          <w:vertAlign w:val="baseline"/>
        </w:rPr>
        <w:t xml:space="preserve">). </w:t>
      </w:r>
      <w:bookmarkStart w:id="199" w:name="Bookmark_I68KJNKX2N1RTH0040000400_2"/>
      <w:bookmarkEnd w:id="199"/>
      <w:r>
        <w:rPr>
          <w:rFonts w:ascii="arial" w:eastAsia="arial" w:hAnsi="arial" w:cs="arial"/>
          <w:b w:val="0"/>
          <w:i w:val="0"/>
          <w:strike w:val="0"/>
          <w:noProof w:val="0"/>
          <w:color w:val="000000"/>
          <w:position w:val="0"/>
          <w:sz w:val="20"/>
          <w:u w:val="none"/>
          <w:vertAlign w:val="baseline"/>
        </w:rPr>
        <w:t xml:space="preserve">Courts, however, have routinely recognized that a prisoner does not enjoy any federal protected liberty or property interest in state procedure. </w:t>
      </w:r>
      <w:r>
        <w:rPr>
          <w:rFonts w:ascii="arial" w:eastAsia="arial" w:hAnsi="arial" w:cs="arial"/>
          <w:b w:val="0"/>
          <w:i/>
          <w:strike w:val="0"/>
          <w:noProof w:val="0"/>
          <w:color w:val="000000"/>
          <w:position w:val="0"/>
          <w:sz w:val="20"/>
          <w:u w:val="none"/>
          <w:vertAlign w:val="baseline"/>
        </w:rPr>
        <w:t xml:space="preserve">See </w:t>
      </w:r>
      <w:bookmarkStart w:id="200" w:name="Bookmark_I68KJNKX2N1RTH0030000400"/>
      <w:bookmarkEnd w:id="200"/>
      <w:hyperlink r:id="rId49" w:history="1">
        <w:r>
          <w:rPr>
            <w:rFonts w:ascii="arial" w:eastAsia="arial" w:hAnsi="arial" w:cs="arial"/>
            <w:b w:val="0"/>
            <w:i/>
            <w:strike w:val="0"/>
            <w:noProof w:val="0"/>
            <w:color w:val="0077CC"/>
            <w:position w:val="0"/>
            <w:sz w:val="20"/>
            <w:u w:val="single"/>
            <w:vertAlign w:val="baseline"/>
          </w:rPr>
          <w:t>Olim v. Wakinekona</w:t>
        </w:r>
      </w:hyperlink>
      <w:hyperlink r:id="rId49" w:history="1">
        <w:r>
          <w:rPr>
            <w:rFonts w:ascii="arial" w:eastAsia="arial" w:hAnsi="arial" w:cs="arial"/>
            <w:b w:val="0"/>
            <w:i/>
            <w:strike w:val="0"/>
            <w:noProof w:val="0"/>
            <w:color w:val="0077CC"/>
            <w:position w:val="0"/>
            <w:sz w:val="20"/>
            <w:u w:val="single"/>
            <w:vertAlign w:val="baseline"/>
          </w:rPr>
          <w:t>, 461 U.S. 238, 250, 103 S. Ct. 1741, 75 L. Ed. 2d 813 (1983)</w:t>
        </w:r>
      </w:hyperlink>
      <w:r>
        <w:rPr>
          <w:rFonts w:ascii="arial" w:eastAsia="arial" w:hAnsi="arial" w:cs="arial"/>
          <w:b w:val="0"/>
          <w:i w:val="0"/>
          <w:strike w:val="0"/>
          <w:noProof w:val="0"/>
          <w:color w:val="000000"/>
          <w:position w:val="0"/>
          <w:sz w:val="20"/>
          <w:u w:val="none"/>
          <w:vertAlign w:val="baseline"/>
        </w:rPr>
        <w:t xml:space="preserve">; </w:t>
      </w:r>
      <w:bookmarkStart w:id="201" w:name="Bookmark_I68KJNKX2N1RTH0050000400"/>
      <w:bookmarkEnd w:id="201"/>
      <w:hyperlink r:id="rId69" w:history="1">
        <w:r>
          <w:rPr>
            <w:rFonts w:ascii="arial" w:eastAsia="arial" w:hAnsi="arial" w:cs="arial"/>
            <w:b w:val="0"/>
            <w:i/>
            <w:strike w:val="0"/>
            <w:noProof w:val="0"/>
            <w:color w:val="0077CC"/>
            <w:position w:val="0"/>
            <w:sz w:val="20"/>
            <w:u w:val="single"/>
            <w:vertAlign w:val="baseline"/>
          </w:rPr>
          <w:t>Laney v. Farley</w:t>
        </w:r>
      </w:hyperlink>
      <w:hyperlink r:id="rId69" w:history="1">
        <w:r>
          <w:rPr>
            <w:rFonts w:ascii="arial" w:eastAsia="arial" w:hAnsi="arial" w:cs="arial"/>
            <w:b w:val="0"/>
            <w:i/>
            <w:strike w:val="0"/>
            <w:noProof w:val="0"/>
            <w:color w:val="0077CC"/>
            <w:position w:val="0"/>
            <w:sz w:val="20"/>
            <w:u w:val="single"/>
            <w:vertAlign w:val="baseline"/>
          </w:rPr>
          <w:t>, 501 F.3d 577, 581 n.2 (6th Cir. 2007)</w:t>
        </w:r>
      </w:hyperlink>
      <w:r>
        <w:rPr>
          <w:rFonts w:ascii="arial" w:eastAsia="arial" w:hAnsi="arial" w:cs="arial"/>
          <w:b w:val="0"/>
          <w:i w:val="0"/>
          <w:strike w:val="0"/>
          <w:noProof w:val="0"/>
          <w:color w:val="000000"/>
          <w:position w:val="0"/>
          <w:sz w:val="20"/>
          <w:u w:val="none"/>
          <w:vertAlign w:val="baseline"/>
        </w:rPr>
        <w:t xml:space="preserve">; </w:t>
      </w:r>
      <w:bookmarkStart w:id="202" w:name="Bookmark_I68KJNKX2N1RTM0020000400"/>
      <w:bookmarkEnd w:id="202"/>
      <w:hyperlink r:id="rId70" w:history="1">
        <w:r>
          <w:rPr>
            <w:rFonts w:ascii="arial" w:eastAsia="arial" w:hAnsi="arial" w:cs="arial"/>
            <w:b w:val="0"/>
            <w:i/>
            <w:strike w:val="0"/>
            <w:noProof w:val="0"/>
            <w:color w:val="0077CC"/>
            <w:position w:val="0"/>
            <w:sz w:val="20"/>
            <w:u w:val="single"/>
            <w:vertAlign w:val="baseline"/>
          </w:rPr>
          <w:t>Brody v. City of Mason</w:t>
        </w:r>
      </w:hyperlink>
      <w:hyperlink r:id="rId70" w:history="1">
        <w:r>
          <w:rPr>
            <w:rFonts w:ascii="arial" w:eastAsia="arial" w:hAnsi="arial" w:cs="arial"/>
            <w:b w:val="0"/>
            <w:i/>
            <w:strike w:val="0"/>
            <w:noProof w:val="0"/>
            <w:color w:val="0077CC"/>
            <w:position w:val="0"/>
            <w:sz w:val="20"/>
            <w:u w:val="single"/>
            <w:vertAlign w:val="baseline"/>
          </w:rPr>
          <w:t>, 250 F.3d 432, 437 (6th Cir. 2001)</w:t>
        </w:r>
      </w:hyperlink>
      <w:r>
        <w:rPr>
          <w:rFonts w:ascii="arial" w:eastAsia="arial" w:hAnsi="arial" w:cs="arial"/>
          <w:b w:val="0"/>
          <w:i w:val="0"/>
          <w:strike w:val="0"/>
          <w:noProof w:val="0"/>
          <w:color w:val="000000"/>
          <w:position w:val="0"/>
          <w:sz w:val="20"/>
          <w:u w:val="none"/>
          <w:vertAlign w:val="baseline"/>
        </w:rPr>
        <w:t xml:space="preserve">; </w:t>
      </w:r>
      <w:bookmarkStart w:id="203" w:name="Bookmark_I68KJNKX2N1RTM0040000400"/>
      <w:bookmarkEnd w:id="203"/>
      <w:hyperlink r:id="rId64" w:history="1">
        <w:r>
          <w:rPr>
            <w:rFonts w:ascii="arial" w:eastAsia="arial" w:hAnsi="arial" w:cs="arial"/>
            <w:b w:val="0"/>
            <w:i/>
            <w:strike w:val="0"/>
            <w:noProof w:val="0"/>
            <w:color w:val="0077CC"/>
            <w:position w:val="0"/>
            <w:sz w:val="20"/>
            <w:u w:val="single"/>
            <w:vertAlign w:val="baseline"/>
          </w:rPr>
          <w:t>Sweeton</w:t>
        </w:r>
      </w:hyperlink>
      <w:hyperlink r:id="rId64" w:history="1">
        <w:r>
          <w:rPr>
            <w:rFonts w:ascii="arial" w:eastAsia="arial" w:hAnsi="arial" w:cs="arial"/>
            <w:b w:val="0"/>
            <w:i/>
            <w:strike w:val="0"/>
            <w:noProof w:val="0"/>
            <w:color w:val="0077CC"/>
            <w:position w:val="0"/>
            <w:sz w:val="20"/>
            <w:u w:val="single"/>
            <w:vertAlign w:val="baseline"/>
          </w:rPr>
          <w:t>, 27 F.3d at 1164</w:t>
        </w:r>
      </w:hyperlink>
      <w:r>
        <w:rPr>
          <w:rFonts w:ascii="arial" w:eastAsia="arial" w:hAnsi="arial" w:cs="arial"/>
          <w:b w:val="0"/>
          <w:i w:val="0"/>
          <w:strike w:val="0"/>
          <w:noProof w:val="0"/>
          <w:color w:val="000000"/>
          <w:position w:val="0"/>
          <w:sz w:val="20"/>
          <w:u w:val="none"/>
          <w:vertAlign w:val="baseline"/>
        </w:rPr>
        <w:t>. Plaintiff's allegation that Defendants violated MDOC policy and procedure, therefore, fails to raise a cognizable federal constitutional claim.</w:t>
      </w:r>
    </w:p>
    <w:p>
      <w:pPr>
        <w:keepNext w:val="0"/>
        <w:spacing w:before="240" w:after="0" w:line="260" w:lineRule="atLeast"/>
        <w:ind w:left="0" w:right="0" w:firstLine="0"/>
        <w:jc w:val="both"/>
      </w:pPr>
      <w:bookmarkStart w:id="204" w:name="Bookmark_para_37"/>
      <w:bookmarkEnd w:id="204"/>
      <w:bookmarkStart w:id="205" w:name="Bookmark_I68KJNKX2N1RTP0020000400"/>
      <w:bookmarkEnd w:id="205"/>
      <w:r>
        <w:rPr>
          <w:rFonts w:ascii="arial" w:eastAsia="arial" w:hAnsi="arial" w:cs="arial"/>
          <w:b w:val="0"/>
          <w:i w:val="0"/>
          <w:strike w:val="0"/>
          <w:noProof w:val="0"/>
          <w:color w:val="000000"/>
          <w:position w:val="0"/>
          <w:sz w:val="20"/>
          <w:u w:val="none"/>
          <w:vertAlign w:val="baseline"/>
        </w:rPr>
        <w:t xml:space="preserve">Plaintiff may seek to invoke this Court's supplemental jurisdiction over his state law claims for violations of MDOC policy. </w:t>
      </w:r>
      <w:bookmarkStart w:id="206" w:name="Bookmark_I68KJNM02HM5P50030000400"/>
      <w:bookmarkEnd w:id="206"/>
      <w:r>
        <w:rPr>
          <w:rFonts w:ascii="arial" w:eastAsia="arial" w:hAnsi="arial" w:cs="arial"/>
          <w:b w:val="0"/>
          <w:i w:val="0"/>
          <w:strike w:val="0"/>
          <w:noProof w:val="0"/>
          <w:color w:val="000000"/>
          <w:position w:val="0"/>
          <w:sz w:val="20"/>
          <w:u w:val="none"/>
          <w:vertAlign w:val="baseline"/>
        </w:rPr>
        <w:t xml:space="preserve">Ordinarily, where a district court has exercised jurisdiction over a state law claim solely by virtue of supplemental jurisdiction and the federal claims are dismissed prior to trial, the court will dismiss the remaining state law claims. </w:t>
      </w:r>
      <w:bookmarkStart w:id="207" w:name="Bookmark_I68KJNM02HM5PH0020000400"/>
      <w:bookmarkEnd w:id="207"/>
      <w:r>
        <w:rPr>
          <w:rFonts w:ascii="arial" w:eastAsia="arial" w:hAnsi="arial" w:cs="arial"/>
          <w:b w:val="0"/>
          <w:i/>
          <w:strike w:val="0"/>
          <w:noProof w:val="0"/>
          <w:color w:val="000000"/>
          <w:position w:val="0"/>
          <w:sz w:val="20"/>
          <w:u w:val="none"/>
          <w:vertAlign w:val="baseline"/>
        </w:rPr>
        <w:t xml:space="preserve">See </w:t>
      </w:r>
      <w:bookmarkStart w:id="208" w:name="Bookmark_I68KJNKX2N1RTP0010000400"/>
      <w:bookmarkEnd w:id="208"/>
      <w:hyperlink r:id="rId67" w:history="1">
        <w:r>
          <w:rPr>
            <w:rFonts w:ascii="arial" w:eastAsia="arial" w:hAnsi="arial" w:cs="arial"/>
            <w:b w:val="0"/>
            <w:i/>
            <w:strike w:val="0"/>
            <w:noProof w:val="0"/>
            <w:color w:val="0077CC"/>
            <w:position w:val="0"/>
            <w:sz w:val="20"/>
            <w:u w:val="single"/>
            <w:vertAlign w:val="baseline"/>
          </w:rPr>
          <w:t>Experimental Holdings, Inc. v. Farris</w:t>
        </w:r>
      </w:hyperlink>
      <w:hyperlink r:id="rId67" w:history="1">
        <w:r>
          <w:rPr>
            <w:rFonts w:ascii="arial" w:eastAsia="arial" w:hAnsi="arial" w:cs="arial"/>
            <w:b w:val="0"/>
            <w:i/>
            <w:strike w:val="0"/>
            <w:noProof w:val="0"/>
            <w:color w:val="0077CC"/>
            <w:position w:val="0"/>
            <w:sz w:val="20"/>
            <w:u w:val="single"/>
            <w:vertAlign w:val="baseline"/>
          </w:rPr>
          <w:t>, 503 F.3d 514, 521 (6th Cir. 2007)</w:t>
        </w:r>
      </w:hyperlink>
      <w:r>
        <w:rPr>
          <w:rFonts w:ascii="arial" w:eastAsia="arial" w:hAnsi="arial" w:cs="arial"/>
          <w:b w:val="0"/>
          <w:i w:val="0"/>
          <w:strike w:val="0"/>
          <w:noProof w:val="0"/>
          <w:color w:val="000000"/>
          <w:position w:val="0"/>
          <w:sz w:val="20"/>
          <w:u w:val="none"/>
          <w:vertAlign w:val="baseline"/>
        </w:rPr>
        <w:t xml:space="preserve"> ("Generally, once a federal court has dismissed a plaintiff's federal law claim, it should not reach state law claims." (citing </w:t>
      </w:r>
      <w:bookmarkStart w:id="209" w:name="Bookmark_I68KJNKX2N1RTP0030000400"/>
      <w:bookmarkEnd w:id="209"/>
      <w:hyperlink r:id="rId71" w:history="1">
        <w:r>
          <w:rPr>
            <w:rFonts w:ascii="arial" w:eastAsia="arial" w:hAnsi="arial" w:cs="arial"/>
            <w:b w:val="0"/>
            <w:i/>
            <w:strike w:val="0"/>
            <w:noProof w:val="0"/>
            <w:color w:val="0077CC"/>
            <w:position w:val="0"/>
            <w:sz w:val="20"/>
            <w:u w:val="single"/>
            <w:vertAlign w:val="baseline"/>
          </w:rPr>
          <w:t>United Mine Workers of Am. v. Gibbs</w:t>
        </w:r>
      </w:hyperlink>
      <w:hyperlink r:id="rId71" w:history="1">
        <w:r>
          <w:rPr>
            <w:rFonts w:ascii="arial" w:eastAsia="arial" w:hAnsi="arial" w:cs="arial"/>
            <w:b w:val="0"/>
            <w:i/>
            <w:strike w:val="0"/>
            <w:noProof w:val="0"/>
            <w:color w:val="0077CC"/>
            <w:position w:val="0"/>
            <w:sz w:val="20"/>
            <w:u w:val="single"/>
            <w:vertAlign w:val="baseline"/>
          </w:rPr>
          <w:t>, 383 U.S. 715, 726, 86 S. Ct. 1130, 16 L. Ed. 2d 218 (1966)</w:t>
        </w:r>
      </w:hyperlink>
      <w:r>
        <w:rPr>
          <w:rFonts w:ascii="arial" w:eastAsia="arial" w:hAnsi="arial" w:cs="arial"/>
          <w:b w:val="0"/>
          <w:i w:val="0"/>
          <w:strike w:val="0"/>
          <w:noProof w:val="0"/>
          <w:color w:val="000000"/>
          <w:position w:val="0"/>
          <w:sz w:val="20"/>
          <w:u w:val="none"/>
          <w:vertAlign w:val="baseline"/>
        </w:rPr>
        <w:t xml:space="preserve">)); </w:t>
      </w:r>
      <w:bookmarkStart w:id="210" w:name="Bookmark_I68KJNKX2N1RTP0050000400"/>
      <w:bookmarkEnd w:id="210"/>
      <w:hyperlink r:id="rId72" w:history="1">
        <w:r>
          <w:rPr>
            <w:rFonts w:ascii="arial" w:eastAsia="arial" w:hAnsi="arial" w:cs="arial"/>
            <w:b w:val="0"/>
            <w:i/>
            <w:strike w:val="0"/>
            <w:noProof w:val="0"/>
            <w:color w:val="0077CC"/>
            <w:position w:val="0"/>
            <w:sz w:val="20"/>
            <w:u w:val="single"/>
            <w:vertAlign w:val="baseline"/>
          </w:rPr>
          <w:t>Landefeld v. Marion Gen. Hosp., Inc.</w:t>
        </w:r>
      </w:hyperlink>
      <w:hyperlink r:id="rId72" w:history="1">
        <w:r>
          <w:rPr>
            <w:rFonts w:ascii="arial" w:eastAsia="arial" w:hAnsi="arial" w:cs="arial"/>
            <w:b w:val="0"/>
            <w:i/>
            <w:strike w:val="0"/>
            <w:noProof w:val="0"/>
            <w:color w:val="0077CC"/>
            <w:position w:val="0"/>
            <w:sz w:val="20"/>
            <w:u w:val="single"/>
            <w:vertAlign w:val="baseline"/>
          </w:rPr>
          <w:t>, 994 F.2d 1178, 1182 (6th Cir. 1993)</w:t>
        </w:r>
      </w:hyperlink>
      <w:r>
        <w:rPr>
          <w:rFonts w:ascii="arial" w:eastAsia="arial" w:hAnsi="arial" w:cs="arial"/>
          <w:b w:val="0"/>
          <w:i w:val="0"/>
          <w:strike w:val="0"/>
          <w:noProof w:val="0"/>
          <w:color w:val="000000"/>
          <w:position w:val="0"/>
          <w:sz w:val="20"/>
          <w:u w:val="none"/>
          <w:vertAlign w:val="baseline"/>
        </w:rPr>
        <w:t xml:space="preserve">. </w:t>
      </w:r>
      <w:bookmarkStart w:id="211" w:name="Bookmark_I68KJNM02HM5PH0020000400_2"/>
      <w:bookmarkEnd w:id="211"/>
      <w:bookmarkStart w:id="212" w:name="Bookmark_I68KJNM02HM5P50030000400_2"/>
      <w:bookmarkEnd w:id="212"/>
      <w:r>
        <w:rPr>
          <w:rFonts w:ascii="arial" w:eastAsia="arial" w:hAnsi="arial" w:cs="arial"/>
          <w:b w:val="0"/>
          <w:i w:val="0"/>
          <w:strike w:val="0"/>
          <w:noProof w:val="0"/>
          <w:color w:val="000000"/>
          <w:position w:val="0"/>
          <w:sz w:val="20"/>
          <w:u w:val="none"/>
          <w:vertAlign w:val="baseline"/>
        </w:rPr>
        <w:t>In determining</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whether to retain supplemental jurisdiction, "[a] district court should consider the interests of judicial economy and the avoidance of multiplicity of litigation and balance those interests against needlessly deciding state law issues." </w:t>
      </w:r>
      <w:bookmarkStart w:id="213" w:name="Bookmark_I68KJNM02HM5P50020000400"/>
      <w:bookmarkEnd w:id="213"/>
      <w:hyperlink r:id="rId72" w:history="1">
        <w:r>
          <w:rPr>
            <w:rFonts w:ascii="arial" w:eastAsia="arial" w:hAnsi="arial" w:cs="arial"/>
            <w:b w:val="0"/>
            <w:i/>
            <w:strike w:val="0"/>
            <w:noProof w:val="0"/>
            <w:color w:val="0077CC"/>
            <w:position w:val="0"/>
            <w:sz w:val="20"/>
            <w:u w:val="single"/>
            <w:vertAlign w:val="baseline"/>
          </w:rPr>
          <w:t>Landefeld</w:t>
        </w:r>
      </w:hyperlink>
      <w:hyperlink r:id="rId72" w:history="1">
        <w:r>
          <w:rPr>
            <w:rFonts w:ascii="arial" w:eastAsia="arial" w:hAnsi="arial" w:cs="arial"/>
            <w:b w:val="0"/>
            <w:i/>
            <w:strike w:val="0"/>
            <w:noProof w:val="0"/>
            <w:color w:val="0077CC"/>
            <w:position w:val="0"/>
            <w:sz w:val="20"/>
            <w:u w:val="single"/>
            <w:vertAlign w:val="baseline"/>
          </w:rPr>
          <w:t>, 994 F.2d at 1182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214" w:name="Bookmark_I68KJNM02HM5P50040000400"/>
      <w:bookmarkEnd w:id="214"/>
      <w:hyperlink r:id="rId73" w:history="1">
        <w:r>
          <w:rPr>
            <w:rFonts w:ascii="arial" w:eastAsia="arial" w:hAnsi="arial" w:cs="arial"/>
            <w:b w:val="0"/>
            <w:i/>
            <w:strike w:val="0"/>
            <w:noProof w:val="0"/>
            <w:color w:val="0077CC"/>
            <w:position w:val="0"/>
            <w:sz w:val="20"/>
            <w:u w:val="single"/>
            <w:vertAlign w:val="baseline"/>
          </w:rPr>
          <w:t>Moon v. Harrison Piping Supply</w:t>
        </w:r>
      </w:hyperlink>
      <w:hyperlink r:id="rId73" w:history="1">
        <w:r>
          <w:rPr>
            <w:rFonts w:ascii="arial" w:eastAsia="arial" w:hAnsi="arial" w:cs="arial"/>
            <w:b w:val="0"/>
            <w:i/>
            <w:strike w:val="0"/>
            <w:noProof w:val="0"/>
            <w:color w:val="0077CC"/>
            <w:position w:val="0"/>
            <w:sz w:val="20"/>
            <w:u w:val="single"/>
            <w:vertAlign w:val="baseline"/>
          </w:rPr>
          <w:t>, 465 F.3d 719, 728 (6th Cir. 2006)</w:t>
        </w:r>
      </w:hyperlink>
      <w:r>
        <w:rPr>
          <w:rFonts w:ascii="arial" w:eastAsia="arial" w:hAnsi="arial" w:cs="arial"/>
          <w:b w:val="0"/>
          <w:i w:val="0"/>
          <w:strike w:val="0"/>
          <w:noProof w:val="0"/>
          <w:color w:val="000000"/>
          <w:position w:val="0"/>
          <w:sz w:val="20"/>
          <w:u w:val="none"/>
          <w:vertAlign w:val="baseline"/>
        </w:rPr>
        <w:t xml:space="preserve"> ("Residual jurisdiction should be exercised only in cases where the interests of judicial economy and the avoidance of multiplicity of litigation outweigh our concern over needlessly deciding state law issues." (internal quotations omitted)). Dismissal, however, remains "purely discretionary." </w:t>
      </w:r>
      <w:bookmarkStart w:id="215" w:name="Bookmark_I68KJNM02HM5PH0010000400"/>
      <w:bookmarkEnd w:id="215"/>
      <w:hyperlink r:id="rId74" w:history="1">
        <w:r>
          <w:rPr>
            <w:rFonts w:ascii="arial" w:eastAsia="arial" w:hAnsi="arial" w:cs="arial"/>
            <w:b w:val="0"/>
            <w:i/>
            <w:strike w:val="0"/>
            <w:noProof w:val="0"/>
            <w:color w:val="0077CC"/>
            <w:position w:val="0"/>
            <w:sz w:val="20"/>
            <w:u w:val="single"/>
            <w:vertAlign w:val="baseline"/>
          </w:rPr>
          <w:t>Carlsbad Tech., Inc. v. HIF Bio, Inc.</w:t>
        </w:r>
      </w:hyperlink>
      <w:hyperlink r:id="rId74" w:history="1">
        <w:r>
          <w:rPr>
            <w:rFonts w:ascii="arial" w:eastAsia="arial" w:hAnsi="arial" w:cs="arial"/>
            <w:b w:val="0"/>
            <w:i/>
            <w:strike w:val="0"/>
            <w:noProof w:val="0"/>
            <w:color w:val="0077CC"/>
            <w:position w:val="0"/>
            <w:sz w:val="20"/>
            <w:u w:val="single"/>
            <w:vertAlign w:val="baseline"/>
          </w:rPr>
          <w:t>, 556 U.S. 635, 639, 129 S. Ct. 1862, 173 L. Ed. 2d 843 (2009)</w:t>
        </w:r>
      </w:hyperlink>
      <w:r>
        <w:rPr>
          <w:rFonts w:ascii="arial" w:eastAsia="arial" w:hAnsi="arial" w:cs="arial"/>
          <w:b w:val="0"/>
          <w:i w:val="0"/>
          <w:strike w:val="0"/>
          <w:noProof w:val="0"/>
          <w:color w:val="000000"/>
          <w:position w:val="0"/>
          <w:sz w:val="20"/>
          <w:u w:val="none"/>
          <w:vertAlign w:val="baseline"/>
        </w:rPr>
        <w:t xml:space="preserve"> (citing </w:t>
      </w:r>
      <w:hyperlink r:id="rId75" w:history="1">
        <w:r>
          <w:rPr>
            <w:rFonts w:ascii="arial" w:eastAsia="arial" w:hAnsi="arial" w:cs="arial"/>
            <w:b w:val="0"/>
            <w:i/>
            <w:strike w:val="0"/>
            <w:noProof w:val="0"/>
            <w:color w:val="0077CC"/>
            <w:position w:val="0"/>
            <w:sz w:val="20"/>
            <w:u w:val="single"/>
            <w:vertAlign w:val="baseline"/>
          </w:rPr>
          <w:t>28 U.S.C. § 1367(c)</w:t>
        </w:r>
      </w:hyperlink>
      <w:r>
        <w:rPr>
          <w:rFonts w:ascii="arial" w:eastAsia="arial" w:hAnsi="arial" w:cs="arial"/>
          <w:b w:val="0"/>
          <w:i w:val="0"/>
          <w:strike w:val="0"/>
          <w:noProof w:val="0"/>
          <w:color w:val="000000"/>
          <w:position w:val="0"/>
          <w:sz w:val="20"/>
          <w:u w:val="none"/>
          <w:vertAlign w:val="baseline"/>
        </w:rPr>
        <w:t xml:space="preserve">); </w:t>
      </w:r>
      <w:bookmarkStart w:id="216" w:name="Bookmark_I68KJNM02HM5PH0030000400"/>
      <w:bookmarkEnd w:id="216"/>
      <w:hyperlink r:id="rId76" w:history="1">
        <w:r>
          <w:rPr>
            <w:rFonts w:ascii="arial" w:eastAsia="arial" w:hAnsi="arial" w:cs="arial"/>
            <w:b w:val="0"/>
            <w:i/>
            <w:strike w:val="0"/>
            <w:noProof w:val="0"/>
            <w:color w:val="0077CC"/>
            <w:position w:val="0"/>
            <w:sz w:val="20"/>
            <w:u w:val="single"/>
            <w:vertAlign w:val="baseline"/>
          </w:rPr>
          <w:t>Orton v. Johnny's Lunch Franchise, LLC</w:t>
        </w:r>
      </w:hyperlink>
      <w:hyperlink r:id="rId76" w:history="1">
        <w:r>
          <w:rPr>
            <w:rFonts w:ascii="arial" w:eastAsia="arial" w:hAnsi="arial" w:cs="arial"/>
            <w:b w:val="0"/>
            <w:i/>
            <w:strike w:val="0"/>
            <w:noProof w:val="0"/>
            <w:color w:val="0077CC"/>
            <w:position w:val="0"/>
            <w:sz w:val="20"/>
            <w:u w:val="single"/>
            <w:vertAlign w:val="baseline"/>
          </w:rPr>
          <w:t>, 668 F.3d 843, 850 (6th Cir. 2012)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17" w:name="Bookmark_para_38"/>
      <w:bookmarkEnd w:id="217"/>
      <w:r>
        <w:rPr>
          <w:rFonts w:ascii="arial" w:eastAsia="arial" w:hAnsi="arial" w:cs="arial"/>
          <w:b w:val="0"/>
          <w:i w:val="0"/>
          <w:strike w:val="0"/>
          <w:noProof w:val="0"/>
          <w:color w:val="000000"/>
          <w:position w:val="0"/>
          <w:sz w:val="20"/>
          <w:u w:val="none"/>
          <w:vertAlign w:val="baseline"/>
        </w:rPr>
        <w:t>As discussed above, all of Plaintiff's federal claims have been dismissed. Accordingly, the Court declines to exercise supplemental jurisdiction over Plaintiff's state law claims concerning violations of MDOC policy, and such claims will be dismissed without prejudice.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Conclusion</w:t>
      </w:r>
    </w:p>
    <w:p>
      <w:pPr>
        <w:keepNext w:val="0"/>
        <w:spacing w:before="200" w:after="0" w:line="260" w:lineRule="atLeast"/>
        <w:ind w:left="0" w:right="0" w:firstLine="0"/>
        <w:jc w:val="both"/>
      </w:pPr>
      <w:bookmarkStart w:id="218" w:name="Bookmark_para_39"/>
      <w:bookmarkEnd w:id="218"/>
      <w:r>
        <w:rPr>
          <w:rFonts w:ascii="arial" w:eastAsia="arial" w:hAnsi="arial" w:cs="arial"/>
          <w:b w:val="0"/>
          <w:i w:val="0"/>
          <w:strike w:val="0"/>
          <w:noProof w:val="0"/>
          <w:color w:val="000000"/>
          <w:position w:val="0"/>
          <w:sz w:val="20"/>
          <w:u w:val="none"/>
          <w:vertAlign w:val="baseline"/>
        </w:rPr>
        <w:t xml:space="preserve">Having conducted the review required by the Prison Litigation Reform Act, the Court determines that Plaintiff's federal claims will be dismissed for failure to state a claim, under </w:t>
      </w:r>
      <w:hyperlink r:id="rId11" w:history="1">
        <w:r>
          <w:rPr>
            <w:rFonts w:ascii="arial" w:eastAsia="arial" w:hAnsi="arial" w:cs="arial"/>
            <w:b w:val="0"/>
            <w:i/>
            <w:strike w:val="0"/>
            <w:noProof w:val="0"/>
            <w:color w:val="0077CC"/>
            <w:position w:val="0"/>
            <w:sz w:val="20"/>
            <w:u w:val="single"/>
            <w:vertAlign w:val="baseline"/>
          </w:rPr>
          <w:t>28 U.S.C. §§ 1915(e)(2)</w:t>
        </w:r>
      </w:hyperlink>
      <w:r>
        <w:rPr>
          <w:rFonts w:ascii="arial" w:eastAsia="arial" w:hAnsi="arial" w:cs="arial"/>
          <w:b w:val="0"/>
          <w:i w:val="0"/>
          <w:strike w:val="0"/>
          <w:noProof w:val="0"/>
          <w:color w:val="000000"/>
          <w:position w:val="0"/>
          <w:sz w:val="20"/>
          <w:u w:val="none"/>
          <w:vertAlign w:val="baseline"/>
        </w:rPr>
        <w:t xml:space="preserve"> and </w:t>
      </w:r>
      <w:hyperlink r:id="rId12" w:history="1">
        <w:r>
          <w:rPr>
            <w:rFonts w:ascii="arial" w:eastAsia="arial" w:hAnsi="arial" w:cs="arial"/>
            <w:b w:val="0"/>
            <w:i/>
            <w:strike w:val="0"/>
            <w:noProof w:val="0"/>
            <w:color w:val="0077CC"/>
            <w:position w:val="0"/>
            <w:sz w:val="20"/>
            <w:u w:val="single"/>
            <w:vertAlign w:val="baseline"/>
          </w:rPr>
          <w:t>1915A(b)</w:t>
        </w:r>
      </w:hyperlink>
      <w:r>
        <w:rPr>
          <w:rFonts w:ascii="arial" w:eastAsia="arial" w:hAnsi="arial" w:cs="arial"/>
          <w:b w:val="0"/>
          <w:i w:val="0"/>
          <w:strike w:val="0"/>
          <w:noProof w:val="0"/>
          <w:color w:val="000000"/>
          <w:position w:val="0"/>
          <w:sz w:val="20"/>
          <w:u w:val="none"/>
          <w:vertAlign w:val="baseline"/>
        </w:rPr>
        <w:t xml:space="preserve">, and </w:t>
      </w:r>
      <w:hyperlink r:id="rId13" w:history="1">
        <w:r>
          <w:rPr>
            <w:rFonts w:ascii="arial" w:eastAsia="arial" w:hAnsi="arial" w:cs="arial"/>
            <w:b w:val="0"/>
            <w:i/>
            <w:strike w:val="0"/>
            <w:noProof w:val="0"/>
            <w:color w:val="0077CC"/>
            <w:position w:val="0"/>
            <w:sz w:val="20"/>
            <w:u w:val="single"/>
            <w:vertAlign w:val="baseline"/>
          </w:rPr>
          <w:t>42 U.S.C. § 1997e(c)</w:t>
        </w:r>
      </w:hyperlink>
      <w:r>
        <w:rPr>
          <w:rFonts w:ascii="arial" w:eastAsia="arial" w:hAnsi="arial" w:cs="arial"/>
          <w:b w:val="0"/>
          <w:i w:val="0"/>
          <w:strike w:val="0"/>
          <w:noProof w:val="0"/>
          <w:color w:val="000000"/>
          <w:position w:val="0"/>
          <w:sz w:val="20"/>
          <w:u w:val="none"/>
          <w:vertAlign w:val="baseline"/>
        </w:rPr>
        <w:t>. Plaintiff's state law claims regarding violations of MDOC Policy Directives will be dismissed without prejudice because the Court declines to exercise supplemental jurisdiction</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over such claims.</w:t>
      </w:r>
    </w:p>
    <w:p>
      <w:pPr>
        <w:keepNext w:val="0"/>
        <w:spacing w:before="240" w:after="0" w:line="260" w:lineRule="atLeast"/>
        <w:ind w:left="0" w:right="0" w:firstLine="0"/>
        <w:jc w:val="both"/>
      </w:pPr>
      <w:bookmarkStart w:id="219" w:name="Bookmark_para_40"/>
      <w:bookmarkEnd w:id="219"/>
      <w:bookmarkStart w:id="220" w:name="Bookmark_I68KJNM12HM5PM0010000400"/>
      <w:bookmarkEnd w:id="220"/>
      <w:r>
        <w:rPr>
          <w:rFonts w:ascii="arial" w:eastAsia="arial" w:hAnsi="arial" w:cs="arial"/>
          <w:b w:val="0"/>
          <w:i w:val="0"/>
          <w:strike w:val="0"/>
          <w:noProof w:val="0"/>
          <w:color w:val="000000"/>
          <w:position w:val="0"/>
          <w:sz w:val="20"/>
          <w:u w:val="none"/>
          <w:vertAlign w:val="baseline"/>
        </w:rPr>
        <w:t xml:space="preserve">The Court must next decide whether an appeal of this action would be in good faith within the meaning of </w:t>
      </w:r>
      <w:hyperlink r:id="rId11" w:history="1">
        <w:r>
          <w:rPr>
            <w:rFonts w:ascii="arial" w:eastAsia="arial" w:hAnsi="arial" w:cs="arial"/>
            <w:b w:val="0"/>
            <w:i/>
            <w:strike w:val="0"/>
            <w:noProof w:val="0"/>
            <w:color w:val="0077CC"/>
            <w:position w:val="0"/>
            <w:sz w:val="20"/>
            <w:u w:val="single"/>
            <w:vertAlign w:val="baseline"/>
          </w:rPr>
          <w:t>28 U.S.C. § 1915(a)(3)</w:t>
        </w:r>
      </w:hyperlink>
      <w:r>
        <w:rPr>
          <w:rFonts w:ascii="arial" w:eastAsia="arial" w:hAnsi="arial" w:cs="arial"/>
          <w:b w:val="0"/>
          <w:i w:val="0"/>
          <w:strike w:val="0"/>
          <w:noProof w:val="0"/>
          <w:color w:val="000000"/>
          <w:position w:val="0"/>
          <w:sz w:val="20"/>
          <w:u w:val="none"/>
          <w:vertAlign w:val="baseline"/>
        </w:rPr>
        <w:t xml:space="preserve">. </w:t>
      </w:r>
      <w:bookmarkStart w:id="221" w:name="Bookmark_I68KJNM12HM5PM0030000400"/>
      <w:bookmarkEnd w:id="221"/>
      <w:r>
        <w:rPr>
          <w:rFonts w:ascii="arial" w:eastAsia="arial" w:hAnsi="arial" w:cs="arial"/>
          <w:b w:val="0"/>
          <w:i/>
          <w:strike w:val="0"/>
          <w:noProof w:val="0"/>
          <w:color w:val="000000"/>
          <w:position w:val="0"/>
          <w:sz w:val="20"/>
          <w:u w:val="none"/>
          <w:vertAlign w:val="baseline"/>
        </w:rPr>
        <w:t xml:space="preserve">See </w:t>
      </w:r>
      <w:bookmarkStart w:id="222" w:name="Bookmark_I68KJNM02HM5PH0050000400"/>
      <w:bookmarkEnd w:id="222"/>
      <w:hyperlink r:id="rId77" w:history="1">
        <w:r>
          <w:rPr>
            <w:rFonts w:ascii="arial" w:eastAsia="arial" w:hAnsi="arial" w:cs="arial"/>
            <w:b w:val="0"/>
            <w:i/>
            <w:strike w:val="0"/>
            <w:noProof w:val="0"/>
            <w:color w:val="0077CC"/>
            <w:position w:val="0"/>
            <w:sz w:val="20"/>
            <w:u w:val="single"/>
            <w:vertAlign w:val="baseline"/>
          </w:rPr>
          <w:t>McGore v. Wrigglesworth</w:t>
        </w:r>
      </w:hyperlink>
      <w:hyperlink r:id="rId77" w:history="1">
        <w:r>
          <w:rPr>
            <w:rFonts w:ascii="arial" w:eastAsia="arial" w:hAnsi="arial" w:cs="arial"/>
            <w:b w:val="0"/>
            <w:i/>
            <w:strike w:val="0"/>
            <w:noProof w:val="0"/>
            <w:color w:val="0077CC"/>
            <w:position w:val="0"/>
            <w:sz w:val="20"/>
            <w:u w:val="single"/>
            <w:vertAlign w:val="baseline"/>
          </w:rPr>
          <w:t>, 114 F.3d 601, 611 (6th Cir. 1997)</w:t>
        </w:r>
      </w:hyperlink>
      <w:r>
        <w:rPr>
          <w:rFonts w:ascii="arial" w:eastAsia="arial" w:hAnsi="arial" w:cs="arial"/>
          <w:b w:val="0"/>
          <w:i w:val="0"/>
          <w:strike w:val="0"/>
          <w:noProof w:val="0"/>
          <w:color w:val="000000"/>
          <w:position w:val="0"/>
          <w:sz w:val="20"/>
          <w:u w:val="none"/>
          <w:vertAlign w:val="baseline"/>
        </w:rPr>
        <w:t xml:space="preserve">. Although the Court concludes that Plaintiff's claims are properly dismissed, the Court does not conclude that any issue Plaintiff might raise on appeal would be frivolous. </w:t>
      </w:r>
      <w:bookmarkStart w:id="223" w:name="Bookmark_I68KJNM12HM5PM0030000400_2"/>
      <w:bookmarkEnd w:id="223"/>
      <w:bookmarkStart w:id="224" w:name="Bookmark_I68KJNM12HM5PM0050000400"/>
      <w:bookmarkEnd w:id="224"/>
      <w:bookmarkStart w:id="225" w:name="Bookmark_I68KJNM12HM5PM0020000400"/>
      <w:bookmarkEnd w:id="225"/>
      <w:hyperlink r:id="rId78" w:history="1">
        <w:r>
          <w:rPr>
            <w:rFonts w:ascii="arial" w:eastAsia="arial" w:hAnsi="arial" w:cs="arial"/>
            <w:b w:val="0"/>
            <w:i/>
            <w:strike w:val="0"/>
            <w:noProof w:val="0"/>
            <w:color w:val="0077CC"/>
            <w:position w:val="0"/>
            <w:sz w:val="20"/>
            <w:u w:val="single"/>
            <w:vertAlign w:val="baseline"/>
          </w:rPr>
          <w:t>Coppedge v. United States</w:t>
        </w:r>
      </w:hyperlink>
      <w:hyperlink r:id="rId78" w:history="1">
        <w:r>
          <w:rPr>
            <w:rFonts w:ascii="arial" w:eastAsia="arial" w:hAnsi="arial" w:cs="arial"/>
            <w:b w:val="0"/>
            <w:i/>
            <w:strike w:val="0"/>
            <w:noProof w:val="0"/>
            <w:color w:val="0077CC"/>
            <w:position w:val="0"/>
            <w:sz w:val="20"/>
            <w:u w:val="single"/>
            <w:vertAlign w:val="baseline"/>
          </w:rPr>
          <w:t>, 369 U.S. 438, 445, 82 S. Ct. 917, 8 L. Ed. 2d 21 (1962)</w:t>
        </w:r>
      </w:hyperlink>
      <w:r>
        <w:rPr>
          <w:rFonts w:ascii="arial" w:eastAsia="arial" w:hAnsi="arial" w:cs="arial"/>
          <w:b w:val="0"/>
          <w:i w:val="0"/>
          <w:strike w:val="0"/>
          <w:noProof w:val="0"/>
          <w:color w:val="000000"/>
          <w:position w:val="0"/>
          <w:sz w:val="20"/>
          <w:u w:val="none"/>
          <w:vertAlign w:val="baseline"/>
        </w:rPr>
        <w:t xml:space="preserve">. </w:t>
      </w:r>
      <w:bookmarkStart w:id="226" w:name="Bookmark_I68KJNM12HM5PM0050000400_2"/>
      <w:bookmarkEnd w:id="226"/>
      <w:r>
        <w:rPr>
          <w:rFonts w:ascii="arial" w:eastAsia="arial" w:hAnsi="arial" w:cs="arial"/>
          <w:b w:val="0"/>
          <w:i w:val="0"/>
          <w:strike w:val="0"/>
          <w:noProof w:val="0"/>
          <w:color w:val="000000"/>
          <w:position w:val="0"/>
          <w:sz w:val="20"/>
          <w:u w:val="none"/>
          <w:vertAlign w:val="baseline"/>
        </w:rPr>
        <w:t xml:space="preserve">Accordingly, the Court does not certify that an appeal would not be taken in good faith. Should Plaintiff appeal this decision, the Court will assess the $505.00 appellate filing fee pursuant to </w:t>
      </w:r>
      <w:hyperlink r:id="rId11" w:history="1">
        <w:r>
          <w:rPr>
            <w:rFonts w:ascii="arial" w:eastAsia="arial" w:hAnsi="arial" w:cs="arial"/>
            <w:b w:val="0"/>
            <w:i/>
            <w:strike w:val="0"/>
            <w:noProof w:val="0"/>
            <w:color w:val="0077CC"/>
            <w:position w:val="0"/>
            <w:sz w:val="20"/>
            <w:u w:val="single"/>
            <w:vertAlign w:val="baseline"/>
          </w:rPr>
          <w:t>§ 1915(b)(1)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227" w:name="Bookmark_I68KJNM12HM5PM0040000400"/>
      <w:bookmarkEnd w:id="227"/>
      <w:hyperlink r:id="rId77" w:history="1">
        <w:r>
          <w:rPr>
            <w:rFonts w:ascii="arial" w:eastAsia="arial" w:hAnsi="arial" w:cs="arial"/>
            <w:b w:val="0"/>
            <w:i/>
            <w:strike w:val="0"/>
            <w:noProof w:val="0"/>
            <w:color w:val="0077CC"/>
            <w:position w:val="0"/>
            <w:sz w:val="20"/>
            <w:u w:val="single"/>
            <w:vertAlign w:val="baseline"/>
          </w:rPr>
          <w:t>McGore</w:t>
        </w:r>
      </w:hyperlink>
      <w:hyperlink r:id="rId77" w:history="1">
        <w:r>
          <w:rPr>
            <w:rFonts w:ascii="arial" w:eastAsia="arial" w:hAnsi="arial" w:cs="arial"/>
            <w:b w:val="0"/>
            <w:i/>
            <w:strike w:val="0"/>
            <w:noProof w:val="0"/>
            <w:color w:val="0077CC"/>
            <w:position w:val="0"/>
            <w:sz w:val="20"/>
            <w:u w:val="single"/>
            <w:vertAlign w:val="baseline"/>
          </w:rPr>
          <w:t>, 114 F.3d at 610-11</w:t>
        </w:r>
      </w:hyperlink>
      <w:r>
        <w:rPr>
          <w:rFonts w:ascii="arial" w:eastAsia="arial" w:hAnsi="arial" w:cs="arial"/>
          <w:b w:val="0"/>
          <w:i w:val="0"/>
          <w:strike w:val="0"/>
          <w:noProof w:val="0"/>
          <w:color w:val="000000"/>
          <w:position w:val="0"/>
          <w:sz w:val="20"/>
          <w:u w:val="none"/>
          <w:vertAlign w:val="baseline"/>
        </w:rPr>
        <w:t xml:space="preserve">, unless Plaintiff is barred from proceeding </w:t>
      </w:r>
      <w:r>
        <w:rPr>
          <w:rFonts w:ascii="arial" w:eastAsia="arial" w:hAnsi="arial" w:cs="arial"/>
          <w:b w:val="0"/>
          <w:i/>
          <w:strike w:val="0"/>
          <w:noProof w:val="0"/>
          <w:color w:val="000000"/>
          <w:position w:val="0"/>
          <w:sz w:val="20"/>
          <w:u w:val="none"/>
          <w:vertAlign w:val="baseline"/>
        </w:rPr>
        <w:t>in forma pauperis, e.g.</w:t>
      </w:r>
      <w:r>
        <w:rPr>
          <w:rFonts w:ascii="arial" w:eastAsia="arial" w:hAnsi="arial" w:cs="arial"/>
          <w:b w:val="0"/>
          <w:i w:val="0"/>
          <w:strike w:val="0"/>
          <w:noProof w:val="0"/>
          <w:color w:val="000000"/>
          <w:position w:val="0"/>
          <w:sz w:val="20"/>
          <w:u w:val="none"/>
          <w:vertAlign w:val="baseline"/>
        </w:rPr>
        <w:t xml:space="preserve">, by the "three-strikes" rule of </w:t>
      </w:r>
      <w:hyperlink r:id="rId11" w:history="1">
        <w:r>
          <w:rPr>
            <w:rFonts w:ascii="arial" w:eastAsia="arial" w:hAnsi="arial" w:cs="arial"/>
            <w:b w:val="0"/>
            <w:i/>
            <w:strike w:val="0"/>
            <w:noProof w:val="0"/>
            <w:color w:val="0077CC"/>
            <w:position w:val="0"/>
            <w:sz w:val="20"/>
            <w:u w:val="single"/>
            <w:vertAlign w:val="baseline"/>
          </w:rPr>
          <w:t>§ 1915(g)</w:t>
        </w:r>
      </w:hyperlink>
      <w:r>
        <w:rPr>
          <w:rFonts w:ascii="arial" w:eastAsia="arial" w:hAnsi="arial" w:cs="arial"/>
          <w:b w:val="0"/>
          <w:i w:val="0"/>
          <w:strike w:val="0"/>
          <w:noProof w:val="0"/>
          <w:color w:val="000000"/>
          <w:position w:val="0"/>
          <w:sz w:val="20"/>
          <w:u w:val="none"/>
          <w:vertAlign w:val="baseline"/>
        </w:rPr>
        <w:t>. If he is barred, he will be required to pay the $505.00 appellate filing fee in one lump sum.</w:t>
      </w:r>
    </w:p>
    <w:p>
      <w:pPr>
        <w:keepNext w:val="0"/>
        <w:spacing w:before="240" w:after="0" w:line="260" w:lineRule="atLeast"/>
        <w:ind w:left="0" w:right="0" w:firstLine="0"/>
        <w:jc w:val="both"/>
      </w:pPr>
      <w:bookmarkStart w:id="228" w:name="Bookmark_para_41"/>
      <w:bookmarkEnd w:id="228"/>
      <w:r>
        <w:rPr>
          <w:rFonts w:ascii="arial" w:eastAsia="arial" w:hAnsi="arial" w:cs="arial"/>
          <w:b w:val="0"/>
          <w:i w:val="0"/>
          <w:strike w:val="0"/>
          <w:noProof w:val="0"/>
          <w:color w:val="000000"/>
          <w:position w:val="0"/>
          <w:sz w:val="20"/>
          <w:u w:val="none"/>
          <w:vertAlign w:val="baseline"/>
        </w:rPr>
        <w:t xml:space="preserve">This is a dismissal as described by </w:t>
      </w:r>
      <w:hyperlink r:id="rId11" w:history="1">
        <w:r>
          <w:rPr>
            <w:rFonts w:ascii="arial" w:eastAsia="arial" w:hAnsi="arial" w:cs="arial"/>
            <w:b w:val="0"/>
            <w:i/>
            <w:strike w:val="0"/>
            <w:noProof w:val="0"/>
            <w:color w:val="0077CC"/>
            <w:position w:val="0"/>
            <w:sz w:val="20"/>
            <w:u w:val="single"/>
            <w:vertAlign w:val="baseline"/>
          </w:rPr>
          <w:t>28 U.S.C. § 1915(g)</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29" w:name="Bookmark_para_42"/>
      <w:bookmarkEnd w:id="229"/>
      <w:r>
        <w:rPr>
          <w:rFonts w:ascii="arial" w:eastAsia="arial" w:hAnsi="arial" w:cs="arial"/>
          <w:b w:val="0"/>
          <w:i w:val="0"/>
          <w:strike w:val="0"/>
          <w:noProof w:val="0"/>
          <w:color w:val="000000"/>
          <w:position w:val="0"/>
          <w:sz w:val="20"/>
          <w:u w:val="none"/>
          <w:vertAlign w:val="baseline"/>
        </w:rPr>
        <w:t>A judgment consistent with this opinion will be entered.</w:t>
      </w:r>
    </w:p>
    <w:p>
      <w:pPr>
        <w:keepNext w:val="0"/>
        <w:spacing w:before="200" w:after="0" w:line="260" w:lineRule="atLeast"/>
        <w:ind w:left="0" w:right="0" w:firstLine="0"/>
        <w:jc w:val="both"/>
      </w:pPr>
      <w:bookmarkStart w:id="230" w:name="Bookmark_para_43"/>
      <w:bookmarkEnd w:id="230"/>
      <w:r>
        <w:rPr>
          <w:rFonts w:ascii="arial" w:eastAsia="arial" w:hAnsi="arial" w:cs="arial"/>
          <w:b w:val="0"/>
          <w:i w:val="0"/>
          <w:strike w:val="0"/>
          <w:noProof w:val="0"/>
          <w:color w:val="000000"/>
          <w:position w:val="0"/>
          <w:sz w:val="20"/>
          <w:u w:val="none"/>
          <w:vertAlign w:val="baseline"/>
        </w:rPr>
        <w:t>Dated: June 27, 2023</w:t>
      </w:r>
    </w:p>
    <w:p>
      <w:pPr>
        <w:keepNext w:val="0"/>
        <w:spacing w:before="200" w:after="0" w:line="260" w:lineRule="atLeast"/>
        <w:ind w:left="0" w:right="0" w:firstLine="0"/>
        <w:jc w:val="both"/>
      </w:pPr>
      <w:bookmarkStart w:id="231" w:name="Bookmark_para_44"/>
      <w:bookmarkEnd w:id="231"/>
      <w:r>
        <w:rPr>
          <w:rFonts w:ascii="arial" w:eastAsia="arial" w:hAnsi="arial" w:cs="arial"/>
          <w:b w:val="0"/>
          <w:i w:val="0"/>
          <w:strike w:val="0"/>
          <w:noProof w:val="0"/>
          <w:color w:val="000000"/>
          <w:position w:val="0"/>
          <w:sz w:val="20"/>
          <w:u w:val="none"/>
          <w:vertAlign w:val="baseline"/>
        </w:rPr>
        <w:t>/s/ Robert J. Jonker</w:t>
      </w:r>
    </w:p>
    <w:p>
      <w:pPr>
        <w:keepNext w:val="0"/>
        <w:spacing w:before="200" w:after="0" w:line="260" w:lineRule="atLeast"/>
        <w:ind w:left="0" w:right="0" w:firstLine="0"/>
        <w:jc w:val="both"/>
      </w:pPr>
      <w:bookmarkStart w:id="232" w:name="Bookmark_para_45"/>
      <w:bookmarkEnd w:id="232"/>
      <w:r>
        <w:rPr>
          <w:rFonts w:ascii="arial" w:eastAsia="arial" w:hAnsi="arial" w:cs="arial"/>
          <w:b w:val="0"/>
          <w:i w:val="0"/>
          <w:strike w:val="0"/>
          <w:noProof w:val="0"/>
          <w:color w:val="000000"/>
          <w:position w:val="0"/>
          <w:sz w:val="20"/>
          <w:u w:val="none"/>
          <w:vertAlign w:val="baseline"/>
        </w:rPr>
        <w:t>Robert J. Jonker</w:t>
      </w:r>
    </w:p>
    <w:p>
      <w:pPr>
        <w:keepNext w:val="0"/>
        <w:spacing w:before="200" w:after="0" w:line="260" w:lineRule="atLeast"/>
        <w:ind w:left="0" w:right="0" w:firstLine="0"/>
        <w:jc w:val="both"/>
      </w:pPr>
      <w:bookmarkStart w:id="233" w:name="Bookmark_para_46"/>
      <w:bookmarkEnd w:id="233"/>
      <w:r>
        <w:rPr>
          <w:rFonts w:ascii="arial" w:eastAsia="arial" w:hAnsi="arial" w:cs="arial"/>
          <w:b w:val="0"/>
          <w:i w:val="0"/>
          <w:strike w:val="0"/>
          <w:noProof w:val="0"/>
          <w:color w:val="000000"/>
          <w:position w:val="0"/>
          <w:sz w:val="20"/>
          <w:u w:val="none"/>
          <w:vertAlign w:val="baseline"/>
        </w:rPr>
        <w:t>United States District Judge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JUDGMENT</w:t>
      </w:r>
    </w:p>
    <w:p>
      <w:pPr>
        <w:keepNext w:val="0"/>
        <w:spacing w:before="200" w:after="0" w:line="260" w:lineRule="atLeast"/>
        <w:ind w:left="0" w:right="0" w:firstLine="0"/>
        <w:jc w:val="both"/>
      </w:pPr>
      <w:bookmarkStart w:id="234" w:name="Bookmark_para_47"/>
      <w:bookmarkEnd w:id="234"/>
      <w:r>
        <w:rPr>
          <w:rFonts w:ascii="arial" w:eastAsia="arial" w:hAnsi="arial" w:cs="arial"/>
          <w:b w:val="0"/>
          <w:i w:val="0"/>
          <w:strike w:val="0"/>
          <w:noProof w:val="0"/>
          <w:color w:val="000000"/>
          <w:position w:val="0"/>
          <w:sz w:val="20"/>
          <w:u w:val="none"/>
          <w:vertAlign w:val="baseline"/>
        </w:rPr>
        <w:t>In accordance with the opinion issued this date:</w:t>
      </w:r>
    </w:p>
    <w:p>
      <w:pPr>
        <w:keepNext w:val="0"/>
        <w:spacing w:before="240" w:after="0" w:line="260" w:lineRule="atLeast"/>
        <w:ind w:left="0" w:right="0" w:firstLine="0"/>
        <w:jc w:val="both"/>
      </w:pPr>
      <w:bookmarkStart w:id="235" w:name="Bookmark_para_48"/>
      <w:bookmarkEnd w:id="235"/>
      <w:r>
        <w:rPr>
          <w:rFonts w:ascii="arial" w:eastAsia="arial" w:hAnsi="arial" w:cs="arial"/>
          <w:b/>
          <w:i w:val="0"/>
          <w:strike w:val="0"/>
          <w:noProof w:val="0"/>
          <w:color w:val="000000"/>
          <w:position w:val="0"/>
          <w:sz w:val="20"/>
          <w:u w:val="none"/>
          <w:vertAlign w:val="baseline"/>
        </w:rPr>
        <w:t>IT IS ORDERED</w:t>
      </w:r>
      <w:r>
        <w:rPr>
          <w:rFonts w:ascii="arial" w:eastAsia="arial" w:hAnsi="arial" w:cs="arial"/>
          <w:b w:val="0"/>
          <w:i w:val="0"/>
          <w:strike w:val="0"/>
          <w:noProof w:val="0"/>
          <w:color w:val="000000"/>
          <w:position w:val="0"/>
          <w:sz w:val="20"/>
          <w:u w:val="none"/>
          <w:vertAlign w:val="baseline"/>
        </w:rPr>
        <w:t xml:space="preserve"> that Plaintiff's federal claims are </w:t>
      </w:r>
      <w:r>
        <w:rPr>
          <w:rFonts w:ascii="arial" w:eastAsia="arial" w:hAnsi="arial" w:cs="arial"/>
          <w:b/>
          <w:i w:val="0"/>
          <w:strike w:val="0"/>
          <w:noProof w:val="0"/>
          <w:color w:val="000000"/>
          <w:position w:val="0"/>
          <w:sz w:val="20"/>
          <w:u w:val="none"/>
          <w:vertAlign w:val="baseline"/>
        </w:rPr>
        <w:t>DISMISSED WITH PREJUDICE</w:t>
      </w:r>
      <w:r>
        <w:rPr>
          <w:rFonts w:ascii="arial" w:eastAsia="arial" w:hAnsi="arial" w:cs="arial"/>
          <w:b w:val="0"/>
          <w:i w:val="0"/>
          <w:strike w:val="0"/>
          <w:noProof w:val="0"/>
          <w:color w:val="000000"/>
          <w:position w:val="0"/>
          <w:sz w:val="20"/>
          <w:u w:val="none"/>
          <w:vertAlign w:val="baseline"/>
        </w:rPr>
        <w:t xml:space="preserve"> for failure to state a claim pursuant to </w:t>
      </w:r>
      <w:hyperlink r:id="rId11" w:history="1">
        <w:r>
          <w:rPr>
            <w:rFonts w:ascii="arial" w:eastAsia="arial" w:hAnsi="arial" w:cs="arial"/>
            <w:b w:val="0"/>
            <w:i/>
            <w:strike w:val="0"/>
            <w:noProof w:val="0"/>
            <w:color w:val="0077CC"/>
            <w:position w:val="0"/>
            <w:sz w:val="20"/>
            <w:u w:val="single"/>
            <w:vertAlign w:val="baseline"/>
          </w:rPr>
          <w:t>28 U.S.C. §§ 1915(e)</w:t>
        </w:r>
      </w:hyperlink>
      <w:r>
        <w:rPr>
          <w:rFonts w:ascii="arial" w:eastAsia="arial" w:hAnsi="arial" w:cs="arial"/>
          <w:b w:val="0"/>
          <w:i w:val="0"/>
          <w:strike w:val="0"/>
          <w:noProof w:val="0"/>
          <w:color w:val="000000"/>
          <w:position w:val="0"/>
          <w:sz w:val="20"/>
          <w:u w:val="none"/>
          <w:vertAlign w:val="baseline"/>
        </w:rPr>
        <w:t xml:space="preserve"> and </w:t>
      </w:r>
      <w:hyperlink r:id="rId12" w:history="1">
        <w:r>
          <w:rPr>
            <w:rFonts w:ascii="arial" w:eastAsia="arial" w:hAnsi="arial" w:cs="arial"/>
            <w:b w:val="0"/>
            <w:i/>
            <w:strike w:val="0"/>
            <w:noProof w:val="0"/>
            <w:color w:val="0077CC"/>
            <w:position w:val="0"/>
            <w:sz w:val="20"/>
            <w:u w:val="single"/>
            <w:vertAlign w:val="baseline"/>
          </w:rPr>
          <w:t>1915A</w:t>
        </w:r>
      </w:hyperlink>
      <w:r>
        <w:rPr>
          <w:rFonts w:ascii="arial" w:eastAsia="arial" w:hAnsi="arial" w:cs="arial"/>
          <w:b w:val="0"/>
          <w:i w:val="0"/>
          <w:strike w:val="0"/>
          <w:noProof w:val="0"/>
          <w:color w:val="000000"/>
          <w:position w:val="0"/>
          <w:sz w:val="20"/>
          <w:u w:val="none"/>
          <w:vertAlign w:val="baseline"/>
        </w:rPr>
        <w:t xml:space="preserve">, and </w:t>
      </w:r>
      <w:hyperlink r:id="rId13" w:history="1">
        <w:r>
          <w:rPr>
            <w:rFonts w:ascii="arial" w:eastAsia="arial" w:hAnsi="arial" w:cs="arial"/>
            <w:b w:val="0"/>
            <w:i/>
            <w:strike w:val="0"/>
            <w:noProof w:val="0"/>
            <w:color w:val="0077CC"/>
            <w:position w:val="0"/>
            <w:sz w:val="20"/>
            <w:u w:val="single"/>
            <w:vertAlign w:val="baseline"/>
          </w:rPr>
          <w:t>42 U.S.C. § 1997e(c)</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36" w:name="Bookmark_para_49"/>
      <w:bookmarkEnd w:id="236"/>
      <w:r>
        <w:rPr>
          <w:rFonts w:ascii="arial" w:eastAsia="arial" w:hAnsi="arial" w:cs="arial"/>
          <w:b/>
          <w:i w:val="0"/>
          <w:strike w:val="0"/>
          <w:noProof w:val="0"/>
          <w:color w:val="000000"/>
          <w:position w:val="0"/>
          <w:sz w:val="20"/>
          <w:u w:val="none"/>
          <w:vertAlign w:val="baseline"/>
        </w:rPr>
        <w:t>IT IS FURTHER ORDERED</w:t>
      </w:r>
      <w:r>
        <w:rPr>
          <w:rFonts w:ascii="arial" w:eastAsia="arial" w:hAnsi="arial" w:cs="arial"/>
          <w:b w:val="0"/>
          <w:i w:val="0"/>
          <w:strike w:val="0"/>
          <w:noProof w:val="0"/>
          <w:color w:val="000000"/>
          <w:position w:val="0"/>
          <w:sz w:val="20"/>
          <w:u w:val="none"/>
          <w:vertAlign w:val="baseline"/>
        </w:rPr>
        <w:t xml:space="preserve"> that Plaintiff's state law claims regarding violations of MDOC Policy Directives are </w:t>
      </w:r>
      <w:r>
        <w:rPr>
          <w:rFonts w:ascii="arial" w:eastAsia="arial" w:hAnsi="arial" w:cs="arial"/>
          <w:b/>
          <w:i w:val="0"/>
          <w:strike w:val="0"/>
          <w:noProof w:val="0"/>
          <w:color w:val="000000"/>
          <w:position w:val="0"/>
          <w:sz w:val="20"/>
          <w:u w:val="none"/>
          <w:vertAlign w:val="baseline"/>
        </w:rPr>
        <w:t>DISMISSED WITHOUT PREJUDICE</w:t>
      </w:r>
      <w:r>
        <w:rPr>
          <w:rFonts w:ascii="arial" w:eastAsia="arial" w:hAnsi="arial" w:cs="arial"/>
          <w:b w:val="0"/>
          <w:i w:val="0"/>
          <w:strike w:val="0"/>
          <w:noProof w:val="0"/>
          <w:color w:val="000000"/>
          <w:position w:val="0"/>
          <w:sz w:val="20"/>
          <w:u w:val="none"/>
          <w:vertAlign w:val="baseline"/>
        </w:rPr>
        <w:t xml:space="preserve"> because</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the Court declines to exercise supplemental jurisdiction over such claims.</w:t>
      </w:r>
    </w:p>
    <w:p>
      <w:pPr>
        <w:keepNext w:val="0"/>
        <w:spacing w:before="200" w:after="0" w:line="260" w:lineRule="atLeast"/>
        <w:ind w:left="0" w:right="0" w:firstLine="0"/>
        <w:jc w:val="both"/>
      </w:pPr>
      <w:bookmarkStart w:id="237" w:name="Bookmark_para_50"/>
      <w:bookmarkEnd w:id="237"/>
      <w:r>
        <w:rPr>
          <w:rFonts w:ascii="arial" w:eastAsia="arial" w:hAnsi="arial" w:cs="arial"/>
          <w:b w:val="0"/>
          <w:i w:val="0"/>
          <w:strike w:val="0"/>
          <w:noProof w:val="0"/>
          <w:color w:val="000000"/>
          <w:position w:val="0"/>
          <w:sz w:val="20"/>
          <w:u w:val="none"/>
          <w:vertAlign w:val="baseline"/>
        </w:rPr>
        <w:t>Dated: June 27, 2023</w:t>
      </w:r>
    </w:p>
    <w:p>
      <w:pPr>
        <w:keepNext w:val="0"/>
        <w:spacing w:before="200" w:after="0" w:line="260" w:lineRule="atLeast"/>
        <w:ind w:left="0" w:right="0" w:firstLine="0"/>
        <w:jc w:val="both"/>
      </w:pPr>
      <w:bookmarkStart w:id="238" w:name="Bookmark_para_51"/>
      <w:bookmarkEnd w:id="238"/>
      <w:r>
        <w:rPr>
          <w:rFonts w:ascii="arial" w:eastAsia="arial" w:hAnsi="arial" w:cs="arial"/>
          <w:b w:val="0"/>
          <w:i w:val="0"/>
          <w:strike w:val="0"/>
          <w:noProof w:val="0"/>
          <w:color w:val="000000"/>
          <w:position w:val="0"/>
          <w:sz w:val="20"/>
          <w:u w:val="none"/>
          <w:vertAlign w:val="baseline"/>
        </w:rPr>
        <w:t>/s/ Robert J. Jonker</w:t>
      </w:r>
    </w:p>
    <w:p>
      <w:pPr>
        <w:keepNext w:val="0"/>
        <w:spacing w:before="200" w:after="0" w:line="260" w:lineRule="atLeast"/>
        <w:ind w:left="0" w:right="0" w:firstLine="0"/>
        <w:jc w:val="both"/>
      </w:pPr>
      <w:bookmarkStart w:id="239" w:name="Bookmark_para_52"/>
      <w:bookmarkEnd w:id="239"/>
      <w:r>
        <w:rPr>
          <w:rFonts w:ascii="arial" w:eastAsia="arial" w:hAnsi="arial" w:cs="arial"/>
          <w:b w:val="0"/>
          <w:i w:val="0"/>
          <w:strike w:val="0"/>
          <w:noProof w:val="0"/>
          <w:color w:val="000000"/>
          <w:position w:val="0"/>
          <w:sz w:val="20"/>
          <w:u w:val="none"/>
          <w:vertAlign w:val="baseline"/>
        </w:rPr>
        <w:t>Robert J. Jonker</w:t>
      </w:r>
    </w:p>
    <w:p>
      <w:pPr>
        <w:keepNext w:val="0"/>
        <w:spacing w:before="200" w:after="0" w:line="260" w:lineRule="atLeast"/>
        <w:ind w:left="0" w:right="0" w:firstLine="0"/>
        <w:jc w:val="both"/>
      </w:pPr>
      <w:bookmarkStart w:id="240" w:name="Bookmark_para_53"/>
      <w:bookmarkEnd w:id="240"/>
      <w:r>
        <w:rPr>
          <w:rFonts w:ascii="arial" w:eastAsia="arial" w:hAnsi="arial" w:cs="arial"/>
          <w:b w:val="0"/>
          <w:i w:val="0"/>
          <w:strike w:val="0"/>
          <w:noProof w:val="0"/>
          <w:color w:val="000000"/>
          <w:position w:val="0"/>
          <w:sz w:val="20"/>
          <w:u w:val="none"/>
          <w:vertAlign w:val="baseline"/>
        </w:rPr>
        <w:t>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48" w:name="Bookmark_fnpara_1"/>
      <w:bookmarkEnd w:id="148"/>
      <w:bookmarkStart w:id="149" w:name="Bookmark_I68KJNKV2D6NYX0010000400"/>
      <w:bookmarkEnd w:id="149"/>
      <w:bookmarkStart w:id="150" w:name="Bookmark_I68KJNKV2D6NYX0050000400"/>
      <w:bookmarkEnd w:id="150"/>
      <w:r>
        <w:rPr>
          <w:rFonts w:ascii="arial" w:eastAsia="arial" w:hAnsi="arial" w:cs="arial"/>
          <w:b w:val="0"/>
          <w:i w:val="0"/>
          <w:strike w:val="0"/>
          <w:noProof w:val="0"/>
          <w:color w:val="000000"/>
          <w:position w:val="0"/>
          <w:sz w:val="18"/>
          <w:u w:val="none"/>
          <w:vertAlign w:val="baseline"/>
        </w:rPr>
        <w:t xml:space="preserve">Constitutional challenges are categorized as either "facial" or "as-applied" challenges. </w:t>
      </w:r>
      <w:bookmarkStart w:id="151" w:name="Bookmark_I68KJNKV2SF8BG0020000400"/>
      <w:bookmarkEnd w:id="151"/>
      <w:r>
        <w:rPr>
          <w:rFonts w:ascii="arial" w:eastAsia="arial" w:hAnsi="arial" w:cs="arial"/>
          <w:b w:val="0"/>
          <w:i w:val="0"/>
          <w:strike w:val="0"/>
          <w:noProof w:val="0"/>
          <w:color w:val="000000"/>
          <w:position w:val="0"/>
          <w:sz w:val="18"/>
          <w:u w:val="none"/>
          <w:vertAlign w:val="baseline"/>
        </w:rPr>
        <w:t xml:space="preserve">A facial challenge is described as "an effort to invalidate the law in each of its applications, to take the law off the books completely." </w:t>
      </w:r>
      <w:bookmarkStart w:id="152" w:name="Bookmark_I68KJNKV2HM6Y00050000400"/>
      <w:bookmarkEnd w:id="152"/>
      <w:hyperlink r:id="rId1" w:history="1">
        <w:r>
          <w:rPr>
            <w:rFonts w:ascii="arial" w:eastAsia="arial" w:hAnsi="arial" w:cs="arial"/>
            <w:b w:val="0"/>
            <w:i/>
            <w:strike w:val="0"/>
            <w:noProof w:val="0"/>
            <w:color w:val="0077CC"/>
            <w:position w:val="0"/>
            <w:sz w:val="18"/>
            <w:u w:val="single"/>
            <w:vertAlign w:val="baseline"/>
          </w:rPr>
          <w:t>Green Party of Tenn. v. Hargett</w:t>
        </w:r>
      </w:hyperlink>
      <w:hyperlink r:id="rId1" w:history="1">
        <w:r>
          <w:rPr>
            <w:rFonts w:ascii="arial" w:eastAsia="arial" w:hAnsi="arial" w:cs="arial"/>
            <w:b w:val="0"/>
            <w:i/>
            <w:strike w:val="0"/>
            <w:noProof w:val="0"/>
            <w:color w:val="0077CC"/>
            <w:position w:val="0"/>
            <w:sz w:val="18"/>
            <w:u w:val="single"/>
            <w:vertAlign w:val="baseline"/>
          </w:rPr>
          <w:t>, 791 F.3d 684, 691 (6th Cir. 2015)</w:t>
        </w:r>
      </w:hyperlink>
      <w:r>
        <w:rPr>
          <w:rFonts w:ascii="arial" w:eastAsia="arial" w:hAnsi="arial" w:cs="arial"/>
          <w:b w:val="0"/>
          <w:i w:val="0"/>
          <w:strike w:val="0"/>
          <w:noProof w:val="0"/>
          <w:color w:val="000000"/>
          <w:position w:val="0"/>
          <w:sz w:val="18"/>
          <w:u w:val="none"/>
          <w:vertAlign w:val="baseline"/>
        </w:rPr>
        <w:t xml:space="preserve"> (quoting </w:t>
      </w:r>
      <w:bookmarkStart w:id="153" w:name="Bookmark_I68KJNKV2D6NYX0020000400"/>
      <w:bookmarkEnd w:id="153"/>
      <w:hyperlink r:id="rId2" w:history="1">
        <w:r>
          <w:rPr>
            <w:rFonts w:ascii="arial" w:eastAsia="arial" w:hAnsi="arial" w:cs="arial"/>
            <w:b w:val="0"/>
            <w:i/>
            <w:strike w:val="0"/>
            <w:noProof w:val="0"/>
            <w:color w:val="0077CC"/>
            <w:position w:val="0"/>
            <w:sz w:val="18"/>
            <w:u w:val="single"/>
            <w:vertAlign w:val="baseline"/>
          </w:rPr>
          <w:t>Speet v. Schuette</w:t>
        </w:r>
      </w:hyperlink>
      <w:hyperlink r:id="rId2" w:history="1">
        <w:r>
          <w:rPr>
            <w:rFonts w:ascii="arial" w:eastAsia="arial" w:hAnsi="arial" w:cs="arial"/>
            <w:b w:val="0"/>
            <w:i/>
            <w:strike w:val="0"/>
            <w:noProof w:val="0"/>
            <w:color w:val="0077CC"/>
            <w:position w:val="0"/>
            <w:sz w:val="18"/>
            <w:u w:val="single"/>
            <w:vertAlign w:val="baseline"/>
          </w:rPr>
          <w:t>, 726 F.3d 867, 871 (6th Cir. 2013)</w:t>
        </w:r>
      </w:hyperlink>
      <w:r>
        <w:rPr>
          <w:rFonts w:ascii="arial" w:eastAsia="arial" w:hAnsi="arial" w:cs="arial"/>
          <w:b w:val="0"/>
          <w:i w:val="0"/>
          <w:strike w:val="0"/>
          <w:noProof w:val="0"/>
          <w:color w:val="000000"/>
          <w:position w:val="0"/>
          <w:sz w:val="18"/>
          <w:u w:val="none"/>
          <w:vertAlign w:val="baseline"/>
        </w:rPr>
        <w:t xml:space="preserve">). To prevail under a facial challenge, a plaintiff must establish that "no set of circumstances exist under which the statute would be valid."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(quoting </w:t>
      </w:r>
      <w:bookmarkStart w:id="154" w:name="Bookmark_I68KJNKV2D6NYX0040000400"/>
      <w:bookmarkEnd w:id="154"/>
      <w:hyperlink r:id="rId2" w:history="1">
        <w:r>
          <w:rPr>
            <w:rFonts w:ascii="arial" w:eastAsia="arial" w:hAnsi="arial" w:cs="arial"/>
            <w:b w:val="0"/>
            <w:i/>
            <w:strike w:val="0"/>
            <w:noProof w:val="0"/>
            <w:color w:val="0077CC"/>
            <w:position w:val="0"/>
            <w:sz w:val="18"/>
            <w:u w:val="single"/>
            <w:vertAlign w:val="baseline"/>
          </w:rPr>
          <w:t>Speet</w:t>
        </w:r>
      </w:hyperlink>
      <w:hyperlink r:id="rId2" w:history="1">
        <w:r>
          <w:rPr>
            <w:rFonts w:ascii="arial" w:eastAsia="arial" w:hAnsi="arial" w:cs="arial"/>
            <w:b w:val="0"/>
            <w:i/>
            <w:strike w:val="0"/>
            <w:noProof w:val="0"/>
            <w:color w:val="0077CC"/>
            <w:position w:val="0"/>
            <w:sz w:val="18"/>
            <w:u w:val="single"/>
            <w:vertAlign w:val="baseline"/>
          </w:rPr>
          <w:t>, 726 F.3d at 872</w:t>
        </w:r>
      </w:hyperlink>
      <w:r>
        <w:rPr>
          <w:rFonts w:ascii="arial" w:eastAsia="arial" w:hAnsi="arial" w:cs="arial"/>
          <w:b w:val="0"/>
          <w:i w:val="0"/>
          <w:strike w:val="0"/>
          <w:noProof w:val="0"/>
          <w:color w:val="000000"/>
          <w:position w:val="0"/>
          <w:sz w:val="18"/>
          <w:u w:val="none"/>
          <w:vertAlign w:val="baseline"/>
        </w:rPr>
        <w:t xml:space="preserve">). </w:t>
      </w:r>
      <w:bookmarkStart w:id="155" w:name="Bookmark_I68KJNKV2SF8BG0020000400_2"/>
      <w:bookmarkEnd w:id="155"/>
      <w:r>
        <w:rPr>
          <w:rFonts w:ascii="arial" w:eastAsia="arial" w:hAnsi="arial" w:cs="arial"/>
          <w:b w:val="0"/>
          <w:i w:val="0"/>
          <w:strike w:val="0"/>
          <w:noProof w:val="0"/>
          <w:color w:val="000000"/>
          <w:position w:val="0"/>
          <w:sz w:val="18"/>
          <w:u w:val="none"/>
          <w:vertAlign w:val="baseline"/>
        </w:rPr>
        <w:t xml:space="preserve">Conversely, an as-applied challenge "argues that a law is unconstitutional as enforced against the plaintiffs before the court."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(quoting </w:t>
      </w:r>
      <w:bookmarkStart w:id="156" w:name="Bookmark_I68KJNKV2SF8BG0010000400"/>
      <w:bookmarkEnd w:id="156"/>
      <w:hyperlink r:id="rId2" w:history="1">
        <w:r>
          <w:rPr>
            <w:rFonts w:ascii="arial" w:eastAsia="arial" w:hAnsi="arial" w:cs="arial"/>
            <w:b w:val="0"/>
            <w:i/>
            <w:strike w:val="0"/>
            <w:noProof w:val="0"/>
            <w:color w:val="0077CC"/>
            <w:position w:val="0"/>
            <w:sz w:val="18"/>
            <w:u w:val="single"/>
            <w:vertAlign w:val="baseline"/>
          </w:rPr>
          <w:t>Speet</w:t>
        </w:r>
      </w:hyperlink>
      <w:hyperlink r:id="rId2" w:history="1">
        <w:r>
          <w:rPr>
            <w:rFonts w:ascii="arial" w:eastAsia="arial" w:hAnsi="arial" w:cs="arial"/>
            <w:b w:val="0"/>
            <w:i/>
            <w:strike w:val="0"/>
            <w:noProof w:val="0"/>
            <w:color w:val="0077CC"/>
            <w:position w:val="0"/>
            <w:sz w:val="18"/>
            <w:u w:val="single"/>
            <w:vertAlign w:val="baseline"/>
          </w:rPr>
          <w:t>, 726 F.3d at 872</w:t>
        </w:r>
      </w:hyperlink>
      <w:r>
        <w:rPr>
          <w:rFonts w:ascii="arial" w:eastAsia="arial" w:hAnsi="arial" w:cs="arial"/>
          <w:b w:val="0"/>
          <w:i w:val="0"/>
          <w:strike w:val="0"/>
          <w:noProof w:val="0"/>
          <w:color w:val="000000"/>
          <w:position w:val="0"/>
          <w:sz w:val="18"/>
          <w:u w:val="none"/>
          <w:vertAlign w:val="baseline"/>
        </w:rPr>
        <w:t xml:space="preserve">). Here, given that Plaintiff seeks a declaratory ruling regarding the constitutionality of DOM 2022-23, the Court has construed his claim to be a facial challenge to that regulation. To the extent Plaintiff asserts an as-applied challenge, he fails to state such a claim for the reason set forth </w:t>
      </w:r>
      <w:r>
        <w:rPr>
          <w:rFonts w:ascii="arial" w:eastAsia="arial" w:hAnsi="arial" w:cs="arial"/>
          <w:b w:val="0"/>
          <w:i/>
          <w:strike w:val="0"/>
          <w:noProof w:val="0"/>
          <w:color w:val="000000"/>
          <w:position w:val="0"/>
          <w:sz w:val="18"/>
          <w:u w:val="none"/>
          <w:vertAlign w:val="baseline"/>
        </w:rPr>
        <w:t>supra</w:t>
      </w:r>
      <w:r>
        <w:rPr>
          <w:rFonts w:ascii="arial" w:eastAsia="arial" w:hAnsi="arial" w:cs="arial"/>
          <w:b w:val="0"/>
          <w:i w:val="0"/>
          <w:strike w:val="0"/>
          <w:noProof w:val="0"/>
          <w:color w:val="000000"/>
          <w:position w:val="0"/>
          <w:sz w:val="18"/>
          <w:u w:val="none"/>
          <w:vertAlign w:val="baseline"/>
        </w:rPr>
        <w:t xml:space="preserve"> in Part III.A.2.</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Harris v. Cota, 2023 U.S. Dist. LEXIS 110757</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statutes-legislation&amp;id=urn:contentItem:8SHT-0712-D6RV-H526-00000-00&amp;context=1519360" TargetMode="External" /><Relationship Id="rId11" Type="http://schemas.openxmlformats.org/officeDocument/2006/relationships/hyperlink" Target="https://advance.lexis.com/api/document?collection=statutes-legislation&amp;id=urn:contentItem:8SG9-5HW2-D6RV-H0RK-00000-00&amp;context=1519360" TargetMode="External" /><Relationship Id="rId12" Type="http://schemas.openxmlformats.org/officeDocument/2006/relationships/hyperlink" Target="https://advance.lexis.com/api/document?collection=statutes-legislation&amp;id=urn:contentItem:8SG9-5HW2-D6RV-H0RM-00000-00&amp;context=1519360" TargetMode="External" /><Relationship Id="rId13" Type="http://schemas.openxmlformats.org/officeDocument/2006/relationships/hyperlink" Target="https://advance.lexis.com/api/document?collection=statutes-legislation&amp;id=urn:contentItem:8SHT-0712-D6RV-H531-00000-00&amp;context=1519360" TargetMode="External" /><Relationship Id="rId14" Type="http://schemas.openxmlformats.org/officeDocument/2006/relationships/hyperlink" Target="https://advance.lexis.com/api/document?collection=cases&amp;id=urn:contentItem:3S4X-DB70-003B-S53V-00000-00&amp;context=1519360" TargetMode="External" /><Relationship Id="rId15" Type="http://schemas.openxmlformats.org/officeDocument/2006/relationships/hyperlink" Target="https://advance.lexis.com/api/document?collection=cases&amp;id=urn:contentItem:3S4W-XDX0-003B-R3RC-00000-00&amp;context=1519360" TargetMode="External" /><Relationship Id="rId16" Type="http://schemas.openxmlformats.org/officeDocument/2006/relationships/hyperlink" Target="https://advance.lexis.com/api/document?collection=cases&amp;id=urn:contentItem:5Y1S-VXC1-F956-S24R-00000-00&amp;context=1519360" TargetMode="External" /><Relationship Id="rId17" Type="http://schemas.openxmlformats.org/officeDocument/2006/relationships/hyperlink" Target="https://advance.lexis.com/api/document?collection=statutes-legislation&amp;id=urn:contentItem:8SG9-5HW2-D6RV-H0VH-00000-00&amp;context=1519360" TargetMode="External" /><Relationship Id="rId18" Type="http://schemas.openxmlformats.org/officeDocument/2006/relationships/hyperlink" Target="https://advance.lexis.com/api/document?collection=statutes-legislation&amp;id=urn:contentItem:8T9R-T2X2-D6RV-H374-00000-00&amp;context=1519360" TargetMode="External" /><Relationship Id="rId19" Type="http://schemas.openxmlformats.org/officeDocument/2006/relationships/hyperlink" Target="https://advance.lexis.com/api/document?collection=cases&amp;id=urn:contentItem:4NSN-8840-004C-002M-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3S4X-J5D0-003B-S1MW-00000-00&amp;context=1519360" TargetMode="External" /><Relationship Id="rId21" Type="http://schemas.openxmlformats.org/officeDocument/2006/relationships/hyperlink" Target="https://advance.lexis.com/api/document?collection=cases&amp;id=urn:contentItem:4W9Y-4KS0-TXFX-1325-00000-00&amp;context=1519360" TargetMode="External" /><Relationship Id="rId22" Type="http://schemas.openxmlformats.org/officeDocument/2006/relationships/hyperlink" Target="https://advance.lexis.com/api/document?collection=statutes-legislation&amp;id=urn:contentItem:5GYC-1WP1-6N19-F0YK-00000-00&amp;context=1519360" TargetMode="External" /><Relationship Id="rId23" Type="http://schemas.openxmlformats.org/officeDocument/2006/relationships/hyperlink" Target="https://advance.lexis.com/api/document?collection=cases&amp;id=urn:contentItem:51TH-F6M1-652R-4001-00000-00&amp;context=1519360" TargetMode="External" /><Relationship Id="rId24" Type="http://schemas.openxmlformats.org/officeDocument/2006/relationships/hyperlink" Target="https://advance.lexis.com/api/document?collection=cases&amp;id=urn:contentItem:3S4X-F000-003B-4384-00000-00&amp;context=1519360" TargetMode="External" /><Relationship Id="rId25" Type="http://schemas.openxmlformats.org/officeDocument/2006/relationships/hyperlink" Target="https://advance.lexis.com/api/document?collection=cases&amp;id=urn:contentItem:3S4W-Y8M0-006F-M0W3-00000-00&amp;context=1519360" TargetMode="External" /><Relationship Id="rId26" Type="http://schemas.openxmlformats.org/officeDocument/2006/relationships/hyperlink" Target="https://advance.lexis.com/api/document?collection=cases&amp;id=urn:contentItem:3S41-BSG0-003B-R3MS-00000-00&amp;context=1519360" TargetMode="External" /><Relationship Id="rId27" Type="http://schemas.openxmlformats.org/officeDocument/2006/relationships/hyperlink" Target="https://advance.lexis.com/api/document?collection=cases&amp;id=urn:contentItem:3S4X-9GT0-003B-S2KP-00000-00&amp;context=1519360" TargetMode="External" /><Relationship Id="rId28" Type="http://schemas.openxmlformats.org/officeDocument/2006/relationships/hyperlink" Target="https://advance.lexis.com/api/document?collection=cases&amp;id=urn:contentItem:3S4X-0JB0-008H-V4K0-00000-00&amp;context=1519360" TargetMode="External" /><Relationship Id="rId29" Type="http://schemas.openxmlformats.org/officeDocument/2006/relationships/hyperlink" Target="https://advance.lexis.com/api/document?collection=cases&amp;id=urn:contentItem:3S04-RP80-003B-R23X-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3VPB-KJS0-0038-X364-00000-00&amp;context=1519360" TargetMode="External" /><Relationship Id="rId31" Type="http://schemas.openxmlformats.org/officeDocument/2006/relationships/hyperlink" Target="https://advance.lexis.com/api/document?collection=cases&amp;id=urn:contentItem:3S4X-1DM0-006F-M0Y9-00000-00&amp;context=1519360" TargetMode="External" /><Relationship Id="rId32" Type="http://schemas.openxmlformats.org/officeDocument/2006/relationships/hyperlink" Target="https://advance.lexis.com/api/document?collection=cases&amp;id=urn:contentItem:3VYT-J460-0038-X3J3-00000-00&amp;context=1519360" TargetMode="External" /><Relationship Id="rId33" Type="http://schemas.openxmlformats.org/officeDocument/2006/relationships/hyperlink" Target="https://advance.lexis.com/api/document?collection=cases&amp;id=urn:contentItem:3W4X-XXX0-0038-X2P0-00000-00&amp;context=1519360" TargetMode="External" /><Relationship Id="rId34" Type="http://schemas.openxmlformats.org/officeDocument/2006/relationships/hyperlink" Target="https://advance.lexis.com/api/document?collection=cases&amp;id=urn:contentItem:463N-H410-004C-2006-00000-00&amp;context=1519360" TargetMode="External" /><Relationship Id="rId35" Type="http://schemas.openxmlformats.org/officeDocument/2006/relationships/hyperlink" Target="https://advance.lexis.com/api/document?collection=cases&amp;id=urn:contentItem:3S4X-CBR0-003B-S206-00000-00&amp;context=1519360" TargetMode="External" /><Relationship Id="rId36" Type="http://schemas.openxmlformats.org/officeDocument/2006/relationships/hyperlink" Target="https://advance.lexis.com/api/document?collection=cases&amp;id=urn:contentItem:4RJ0-80D0-TXFX-G2C4-00000-00&amp;context=1519360" TargetMode="External" /><Relationship Id="rId37" Type="http://schemas.openxmlformats.org/officeDocument/2006/relationships/hyperlink" Target="https://advance.lexis.com/api/document?collection=cases&amp;id=urn:contentItem:3S70-NFG0-003B-R514-00000-00&amp;context=1519360" TargetMode="External" /><Relationship Id="rId38" Type="http://schemas.openxmlformats.org/officeDocument/2006/relationships/hyperlink" Target="https://advance.lexis.com/api/document?collection=cases&amp;id=urn:contentItem:3S4X-0460-0039-P4SY-00000-00&amp;context=1519360" TargetMode="External" /><Relationship Id="rId39" Type="http://schemas.openxmlformats.org/officeDocument/2006/relationships/hyperlink" Target="https://advance.lexis.com/api/document?collection=cases&amp;id=urn:contentItem:3S4X-H880-003B-4556-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3S4X-BCS0-003B-4253-00000-00&amp;context=1519360" TargetMode="External" /><Relationship Id="rId41" Type="http://schemas.openxmlformats.org/officeDocument/2006/relationships/hyperlink" Target="https://advance.lexis.com/api/document?collection=cases&amp;id=urn:contentItem:62N9-B6H1-JGHR-M3H1-00000-00&amp;context=1519360" TargetMode="External" /><Relationship Id="rId42" Type="http://schemas.openxmlformats.org/officeDocument/2006/relationships/hyperlink" Target="https://advance.lexis.com/api/document?collection=cases&amp;id=urn:contentItem:3S4X-54Y0-003B-S0S8-00000-00&amp;context=1519360" TargetMode="External" /><Relationship Id="rId43" Type="http://schemas.openxmlformats.org/officeDocument/2006/relationships/hyperlink" Target="https://advance.lexis.com/api/document?collection=cases&amp;id=urn:contentItem:4FW5-THN0-TVRV-B2BM-00000-00&amp;context=1519360" TargetMode="External" /><Relationship Id="rId44" Type="http://schemas.openxmlformats.org/officeDocument/2006/relationships/hyperlink" Target="https://advance.lexis.com/api/document?collection=cases&amp;id=urn:contentItem:49XR-3RW0-0038-X125-00000-00&amp;context=1519360" TargetMode="External" /><Relationship Id="rId45" Type="http://schemas.openxmlformats.org/officeDocument/2006/relationships/hyperlink" Target="https://advance.lexis.com/api/document?collection=cases&amp;id=urn:contentItem:45C2-C400-0038-X18W-00000-00&amp;context=1519360" TargetMode="External" /><Relationship Id="rId46" Type="http://schemas.openxmlformats.org/officeDocument/2006/relationships/hyperlink" Target="https://advance.lexis.com/api/document?collection=cases&amp;id=urn:contentItem:3YJR-M3R0-0038-X0TW-00000-00&amp;context=1519360" TargetMode="External" /><Relationship Id="rId47" Type="http://schemas.openxmlformats.org/officeDocument/2006/relationships/hyperlink" Target="https://advance.lexis.com/api/document?collection=cases&amp;id=urn:contentItem:3S4X-2KH0-006F-M528-00000-00&amp;context=1519360" TargetMode="External" /><Relationship Id="rId48" Type="http://schemas.openxmlformats.org/officeDocument/2006/relationships/hyperlink" Target="https://advance.lexis.com/api/document?collection=cases&amp;id=urn:contentItem:3S4X-12T0-003B-P0PR-00000-00&amp;context=1519360" TargetMode="External" /><Relationship Id="rId49" Type="http://schemas.openxmlformats.org/officeDocument/2006/relationships/hyperlink" Target="https://advance.lexis.com/api/document?collection=cases&amp;id=urn:contentItem:3S4X-50J0-003B-S4WD-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44DB-9X60-0038-X16N-00000-00&amp;context=1519360" TargetMode="External" /><Relationship Id="rId51" Type="http://schemas.openxmlformats.org/officeDocument/2006/relationships/hyperlink" Target="https://advance.lexis.com/api/document?collection=cases&amp;id=urn:contentItem:3S4X-77K0-003B-P099-00000-00&amp;context=1519360" TargetMode="External" /><Relationship Id="rId52" Type="http://schemas.openxmlformats.org/officeDocument/2006/relationships/hyperlink" Target="https://advance.lexis.com/api/document?collection=cases&amp;id=urn:contentItem:3WWT-5JR0-0038-X4GS-00000-00&amp;context=1519360" TargetMode="External" /><Relationship Id="rId53" Type="http://schemas.openxmlformats.org/officeDocument/2006/relationships/hyperlink" Target="https://advance.lexis.com/api/document?collection=cases&amp;id=urn:contentItem:3S4X-3NC0-003B-S002-00000-00&amp;context=1519360" TargetMode="External" /><Relationship Id="rId54" Type="http://schemas.openxmlformats.org/officeDocument/2006/relationships/hyperlink" Target="https://advance.lexis.com/api/document?collection=cases&amp;id=urn:contentItem:3S4X-D9F0-003B-S41J-00000-00&amp;context=1519360" TargetMode="External" /><Relationship Id="rId55" Type="http://schemas.openxmlformats.org/officeDocument/2006/relationships/hyperlink" Target="https://advance.lexis.com/api/document?collection=cases&amp;id=urn:contentItem:5C1J-5GR1-F04K-P02R-00000-00&amp;context=1519360" TargetMode="External" /><Relationship Id="rId56" Type="http://schemas.openxmlformats.org/officeDocument/2006/relationships/hyperlink" Target="https://advance.lexis.com/api/document?collection=cases&amp;id=urn:contentItem:3S4X-9CW0-003B-S1JS-00000-00&amp;context=1519360" TargetMode="External" /><Relationship Id="rId57" Type="http://schemas.openxmlformats.org/officeDocument/2006/relationships/hyperlink" Target="https://advance.lexis.com/api/document?collection=cases&amp;id=urn:contentItem:3S4N-8SY0-0039-S24G-00000-00&amp;context=1519360" TargetMode="External" /><Relationship Id="rId58" Type="http://schemas.openxmlformats.org/officeDocument/2006/relationships/hyperlink" Target="https://advance.lexis.com/api/document?collection=cases&amp;id=urn:contentItem:5JY7-CRP1-F04K-F0WV-00000-00&amp;context=1519360" TargetMode="External" /><Relationship Id="rId59" Type="http://schemas.openxmlformats.org/officeDocument/2006/relationships/hyperlink" Target="https://advance.lexis.com/api/document?collection=cases&amp;id=urn:contentItem:4448-4Y90-0038-X2X2-00000-00&amp;context=1519360" TargetMode="External" /><Relationship Id="rId6" Type="http://schemas.openxmlformats.org/officeDocument/2006/relationships/footer" Target="footer1.xml" /><Relationship Id="rId60" Type="http://schemas.openxmlformats.org/officeDocument/2006/relationships/hyperlink" Target="https://advance.lexis.com/api/document?collection=cases&amp;id=urn:contentItem:48VN-0PC0-004C-100R-00000-00&amp;context=1519360" TargetMode="External" /><Relationship Id="rId61" Type="http://schemas.openxmlformats.org/officeDocument/2006/relationships/hyperlink" Target="https://advance.lexis.com/api/document?collection=cases&amp;id=urn:contentItem:5TC1-HW21-FC1F-M06G-00000-00&amp;context=1519360" TargetMode="External" /><Relationship Id="rId62" Type="http://schemas.openxmlformats.org/officeDocument/2006/relationships/hyperlink" Target="https://advance.lexis.com/api/document?collection=cases&amp;id=urn:contentItem:5W3M-WRN1-JKB3-X2KB-00000-00&amp;context=1519360" TargetMode="External" /><Relationship Id="rId63" Type="http://schemas.openxmlformats.org/officeDocument/2006/relationships/hyperlink" Target="https://advance.lexis.com/api/document?collection=cases&amp;id=urn:contentItem:3S4X-CSM0-001T-D4B4-00000-00&amp;context=1519360" TargetMode="External" /><Relationship Id="rId64" Type="http://schemas.openxmlformats.org/officeDocument/2006/relationships/hyperlink" Target="https://advance.lexis.com/api/document?collection=cases&amp;id=urn:contentItem:3S4X-4RP0-003B-P2WJ-00000-00&amp;context=1519360" TargetMode="External" /><Relationship Id="rId65" Type="http://schemas.openxmlformats.org/officeDocument/2006/relationships/hyperlink" Target="https://advance.lexis.com/api/document?collection=statutes-legislation&amp;id=urn:contentItem:8T9R-T5M2-D6RV-H38C-00000-00&amp;context=1519360" TargetMode="External" /><Relationship Id="rId66" Type="http://schemas.openxmlformats.org/officeDocument/2006/relationships/hyperlink" Target="https://advance.lexis.com/api/document?collection=cases&amp;id=urn:contentItem:4J91-HX10-0038-X4D0-00000-00&amp;context=1519360" TargetMode="External" /><Relationship Id="rId67" Type="http://schemas.openxmlformats.org/officeDocument/2006/relationships/hyperlink" Target="https://advance.lexis.com/api/document?collection=cases&amp;id=urn:contentItem:4PRT-2YM0-TXFX-824H-00000-00&amp;context=1519360" TargetMode="External" /><Relationship Id="rId68" Type="http://schemas.openxmlformats.org/officeDocument/2006/relationships/hyperlink" Target="https://advance.lexis.com/api/document?collection=cases&amp;id=urn:contentItem:3S4X-D560-003B-S27N-00000-00&amp;context=1519360" TargetMode="External" /><Relationship Id="rId69" Type="http://schemas.openxmlformats.org/officeDocument/2006/relationships/hyperlink" Target="https://advance.lexis.com/api/document?collection=cases&amp;id=urn:contentItem:4PHY-3DX0-TXFX-832K-00000-00&amp;context=1519360" TargetMode="External" /><Relationship Id="rId7" Type="http://schemas.openxmlformats.org/officeDocument/2006/relationships/footer" Target="footer2.xml" /><Relationship Id="rId70" Type="http://schemas.openxmlformats.org/officeDocument/2006/relationships/hyperlink" Target="https://advance.lexis.com/api/document?collection=cases&amp;id=urn:contentItem:432M-63G0-0038-X3HR-00000-00&amp;context=1519360" TargetMode="External" /><Relationship Id="rId71" Type="http://schemas.openxmlformats.org/officeDocument/2006/relationships/hyperlink" Target="https://advance.lexis.com/api/document?collection=cases&amp;id=urn:contentItem:3S4X-G5P0-003B-S3PK-00000-00&amp;context=1519360" TargetMode="External" /><Relationship Id="rId72" Type="http://schemas.openxmlformats.org/officeDocument/2006/relationships/hyperlink" Target="https://advance.lexis.com/api/document?collection=cases&amp;id=urn:contentItem:3S4X-G8B0-003B-P1XJ-00000-00&amp;context=1519360" TargetMode="External" /><Relationship Id="rId73" Type="http://schemas.openxmlformats.org/officeDocument/2006/relationships/hyperlink" Target="https://advance.lexis.com/api/document?collection=cases&amp;id=urn:contentItem:4M0M-1V70-0038-X11N-00000-00&amp;context=1519360" TargetMode="External" /><Relationship Id="rId74" Type="http://schemas.openxmlformats.org/officeDocument/2006/relationships/hyperlink" Target="https://advance.lexis.com/api/document?collection=cases&amp;id=urn:contentItem:4W6Y-29P0-TXFX-135B-00000-00&amp;context=1519360" TargetMode="External" /><Relationship Id="rId75" Type="http://schemas.openxmlformats.org/officeDocument/2006/relationships/hyperlink" Target="https://advance.lexis.com/api/document?collection=statutes-legislation&amp;id=urn:contentItem:8SG9-5HW2-D6RV-H0HC-00000-00&amp;context=1519360" TargetMode="External" /><Relationship Id="rId76" Type="http://schemas.openxmlformats.org/officeDocument/2006/relationships/hyperlink" Target="https://advance.lexis.com/api/document?collection=cases&amp;id=urn:contentItem:5513-8R01-F04K-P0HH-00000-00&amp;context=1519360" TargetMode="External" /><Relationship Id="rId77" Type="http://schemas.openxmlformats.org/officeDocument/2006/relationships/hyperlink" Target="https://advance.lexis.com/api/document?collection=cases&amp;id=urn:contentItem:3S4X-G430-00B1-D4G6-00000-00&amp;context=1519360" TargetMode="External" /><Relationship Id="rId78" Type="http://schemas.openxmlformats.org/officeDocument/2006/relationships/hyperlink" Target="https://advance.lexis.com/api/document?collection=cases&amp;id=urn:contentItem:3S4X-H9B0-003B-S0G0-00000-00&amp;context=1519360" TargetMode="External" /><Relationship Id="rId79" Type="http://schemas.openxmlformats.org/officeDocument/2006/relationships/theme" Target="theme/theme1.xml" /><Relationship Id="rId8" Type="http://schemas.openxmlformats.org/officeDocument/2006/relationships/image" Target="media/image1.png" /><Relationship Id="rId80" Type="http://schemas.openxmlformats.org/officeDocument/2006/relationships/styles" Target="styles.xml" /><Relationship Id="rId9" Type="http://schemas.openxmlformats.org/officeDocument/2006/relationships/hyperlink" Target="https://advance.lexis.com/api/document?collection=cases&amp;id=urn:contentItem:68JY-9FK1-F1P7-B12M-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5GBR-MJN1-F04K-P026-00000-00&amp;context=1519360" TargetMode="External" /><Relationship Id="rId2" Type="http://schemas.openxmlformats.org/officeDocument/2006/relationships/hyperlink" Target="https://advance.lexis.com/api/document?collection=cases&amp;id=urn:contentItem:5947-GPR1-F04K-P03C-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Harris v. Cota, 2023 U.S. Dist. LEXIS 110757</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81</vt:lpwstr>
  </property>
  <property fmtid="{D5CDD505-2E9C-101B-9397-08002B2CF9AE}" pid="3" name="LADocCount">
    <vt:lpwstr>1</vt:lpwstr>
  </property>
  <property fmtid="{D5CDD505-2E9C-101B-9397-08002B2CF9AE}" pid="4" name="LADocumentID:81">
    <vt:lpwstr>Doc::urn:hlct:5|contextualFeaturePermID::1519360</vt:lpwstr>
  </property>
  <property fmtid="{D5CDD505-2E9C-101B-9397-08002B2CF9AE}" pid="5" name="UserPermID">
    <vt:lpwstr>urn:user:PA186186283</vt:lpwstr>
  </property>
</Properties>
</file>