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4.6.0 -->
  <w:body>
    <w:p>
      <w:pPr>
        <w:sectPr>
          <w:headerReference w:type="default" r:id="rId5"/>
          <w:footerReference w:type="default" r:id="rId6"/>
          <w:footerReference w:type="first" r:id="rId7"/>
          <w:pgSz w:w="12240" w:h="15840"/>
          <w:pgMar w:top="840" w:right="1000" w:bottom="840" w:left="1000" w:header="400" w:footer="400"/>
          <w:pgNumType w:fmt="decimal"/>
          <w:cols w:space="720"/>
          <w:titlePg w:val="0"/>
        </w:sectPr>
      </w:pPr>
    </w:p>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8" o:title=""/>
          </v:shape>
        </w:pict>
      </w:r>
      <w:r>
        <w:cr/>
      </w:r>
    </w:p>
    <w:p>
      <w:pPr>
        <w:pStyle w:val="Heading1"/>
        <w:keepNext w:val="0"/>
        <w:spacing w:after="200" w:line="340" w:lineRule="atLeast"/>
        <w:ind w:left="0" w:right="0" w:firstLine="0"/>
        <w:jc w:val="center"/>
      </w:pPr>
      <w:hyperlink r:id="rId9" w:history="1">
        <w:r>
          <w:rPr>
            <w:rFonts w:ascii="arial" w:eastAsia="arial" w:hAnsi="arial" w:cs="arial"/>
            <w:b/>
            <w:i/>
            <w:strike w:val="0"/>
            <w:color w:val="0077CC"/>
            <w:sz w:val="28"/>
            <w:u w:val="single"/>
            <w:vertAlign w:val="baseline"/>
          </w:rPr>
          <w:t>Jarrott v. United States</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United States District Court for the District of New Mexico</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24, 2023, Filed</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2:22-cv-00430-KWR-JHR</w:t>
      </w:r>
    </w:p>
    <w:p>
      <w:pPr>
        <w:keepNext w:val="0"/>
        <w:spacing w:after="0" w:line="240" w:lineRule="atLeast"/>
        <w:ind w:right="0"/>
        <w:jc w:val="both"/>
      </w:pPr>
      <w:bookmarkStart w:id="0" w:name="Bookmark_59"/>
      <w:bookmarkEnd w:id="0"/>
    </w:p>
    <w:p>
      <w:pPr>
        <w:keepNext w:val="0"/>
        <w:spacing w:before="200" w:after="0" w:line="240" w:lineRule="atLeast"/>
        <w:ind w:left="0" w:right="0" w:firstLine="0"/>
        <w:jc w:val="left"/>
      </w:pPr>
      <w:bookmarkStart w:id="1" w:name="Reporter"/>
      <w:bookmarkEnd w:id="1"/>
      <w:r>
        <w:rPr>
          <w:rFonts w:ascii="arial" w:eastAsia="arial" w:hAnsi="arial" w:cs="arial"/>
          <w:b/>
          <w:i w:val="0"/>
          <w:strike w:val="0"/>
          <w:noProof w:val="0"/>
          <w:color w:val="000000"/>
          <w:position w:val="0"/>
          <w:sz w:val="18"/>
          <w:u w:val="none"/>
          <w:vertAlign w:val="baseline"/>
        </w:rPr>
        <w:t>Reporter</w:t>
      </w:r>
    </w:p>
    <w:p>
      <w:pPr>
        <w:keepNext w:val="0"/>
        <w:spacing w:after="0" w:line="240" w:lineRule="atLeast"/>
        <w:ind w:left="0" w:right="0" w:firstLine="0"/>
        <w:jc w:val="left"/>
      </w:pPr>
      <w:r>
        <w:rPr>
          <w:rFonts w:ascii="arial" w:eastAsia="arial" w:hAnsi="arial" w:cs="arial"/>
          <w:b w:val="0"/>
          <w:i w:val="0"/>
          <w:strike w:val="0"/>
          <w:noProof w:val="0"/>
          <w:color w:val="000000"/>
          <w:position w:val="0"/>
          <w:sz w:val="18"/>
          <w:u w:val="none"/>
          <w:vertAlign w:val="baseline"/>
        </w:rPr>
        <w:t>2023 U.S. Dist. LEXIS 128020 *</w:t>
      </w:r>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val="0"/>
          <w:strike w:val="0"/>
          <w:noProof w:val="0"/>
          <w:color w:val="000000"/>
          <w:position w:val="0"/>
          <w:sz w:val="18"/>
          <w:u w:val="none"/>
          <w:vertAlign w:val="baseline"/>
        </w:rPr>
        <w:t>2023 WL 4711335</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GABRIELLA JARROTT, As parent of her minor children, D.J. and N.J., and as personal representative of the wrongful death estate of Darian Jarrott, Plaintiff, vs. UNITED STATES OF AMERICA, Defendant.</w:t>
      </w:r>
    </w:p>
    <w:p>
      <w:pPr>
        <w:keepNext/>
        <w:spacing w:before="240" w:after="0" w:line="340" w:lineRule="atLeast"/>
        <w:ind w:left="0" w:right="0" w:firstLine="0"/>
        <w:jc w:val="left"/>
      </w:pPr>
      <w:bookmarkStart w:id="2" w:name="Core Terms"/>
      <w:bookmarkEnd w:id="2"/>
      <w:r>
        <w:rPr>
          <w:rFonts w:ascii="arial" w:eastAsia="arial" w:hAnsi="arial" w:cs="arial"/>
          <w:b/>
          <w:i w:val="0"/>
          <w:strike w:val="0"/>
          <w:noProof w:val="0"/>
          <w:color w:val="000000"/>
          <w:position w:val="0"/>
          <w:sz w:val="28"/>
          <w:u w:val="none"/>
          <w:vertAlign w:val="baseline"/>
        </w:rPr>
        <w:t>Core Terms</w:t>
      </w:r>
    </w:p>
    <w:p>
      <w:pPr>
        <w:spacing w:line="60" w:lineRule="exact"/>
      </w:pPr>
      <w:r>
        <w:pict>
          <v:line id="_x0000_s1026" style="position:absolute;z-index:251658240" from="0,2pt" to="512pt,2pt" strokecolor="#009ddb" strokeweight="2pt">
            <v:stroke linestyle="single"/>
            <w10:wrap type="topAndBottom"/>
          </v:line>
        </w:pic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discretionary function, sovereign immunity, law enforcement, proviso, loss of consortium claim, damages, arrest, asserts, waived, discretionary, investigate, waiver of sovereign immunity, traffic stop, lack of subject matter jurisdiction, administrative claim, decisions, quotation, grounded, notice, confidential informant, intentional torts, wrongful death, consortium, killed, box</w:t>
      </w:r>
    </w:p>
    <w:p>
      <w:pPr>
        <w:keepNext w:val="0"/>
        <w:spacing w:before="240" w:after="0" w:line="260" w:lineRule="atLeast"/>
        <w:ind w:left="0" w:right="0" w:firstLine="0"/>
        <w:jc w:val="left"/>
      </w:pPr>
      <w:bookmarkStart w:id="3" w:name="Counsel"/>
      <w:bookmarkEnd w:id="3"/>
      <w:r>
        <w:rPr>
          <w:rFonts w:ascii="arial" w:eastAsia="arial" w:hAnsi="arial" w:cs="arial"/>
          <w:b/>
          <w:i w:val="0"/>
          <w:strike w:val="0"/>
          <w:noProof w:val="0"/>
          <w:color w:val="000000"/>
          <w:position w:val="0"/>
          <w:sz w:val="20"/>
          <w:u w:val="none"/>
          <w:vertAlign w:val="baseline"/>
        </w:rPr>
        <w:t>Counsel:</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val="0"/>
          <w:strike w:val="0"/>
          <w:noProof w:val="0"/>
          <w:color w:val="000000"/>
          <w:position w:val="0"/>
          <w:sz w:val="20"/>
          <w:u w:val="none"/>
          <w:vertAlign w:val="baseline"/>
        </w:rPr>
        <w:t> [*1] </w:t>
      </w:r>
      <w:r>
        <w:rPr>
          <w:rFonts w:ascii="arial" w:eastAsia="arial" w:hAnsi="arial" w:cs="arial"/>
          <w:b w:val="0"/>
          <w:i w:val="0"/>
          <w:strike w:val="0"/>
          <w:noProof w:val="0"/>
          <w:color w:val="000000"/>
          <w:position w:val="0"/>
          <w:sz w:val="20"/>
          <w:u w:val="none"/>
          <w:vertAlign w:val="baseline"/>
        </w:rPr>
        <w:t>For Gabriella Jarrott, as parent of her minor children, D.J &amp; N.J, and as personal representative of the wrongful death estate of Darian Jarrott, on behalf of, D.J &amp; N.J, estate of, Darian Jarrott, Plaintiff: Sam Bregman, The Bregman Law Firm, P.C., NEW MEXICO, Albuquerque, NM.</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For United States of America, Defendant: Roberto D Ortega, LEAD ATTORNEY, US Attorney's Office - ABQ, District of New Mexico, Albuquerque, NM.</w:t>
      </w:r>
    </w:p>
    <w:p>
      <w:pPr>
        <w:keepNext w:val="0"/>
        <w:spacing w:before="240" w:after="0" w:line="260" w:lineRule="atLeast"/>
        <w:ind w:left="0" w:right="0" w:firstLine="0"/>
        <w:jc w:val="left"/>
      </w:pPr>
      <w:bookmarkStart w:id="4" w:name="Judges"/>
      <w:bookmarkEnd w:id="4"/>
      <w:r>
        <w:rPr>
          <w:rFonts w:ascii="arial" w:eastAsia="arial" w:hAnsi="arial" w:cs="arial"/>
          <w:b/>
          <w:i w:val="0"/>
          <w:strike w:val="0"/>
          <w:noProof w:val="0"/>
          <w:color w:val="000000"/>
          <w:position w:val="0"/>
          <w:sz w:val="20"/>
          <w:u w:val="none"/>
          <w:vertAlign w:val="baseline"/>
        </w:rPr>
        <w:t>Judges:</w:t>
      </w:r>
      <w:r>
        <w:rPr>
          <w:rFonts w:ascii="arial" w:eastAsia="arial" w:hAnsi="arial" w:cs="arial"/>
          <w:b w:val="0"/>
          <w:i w:val="0"/>
          <w:strike w:val="0"/>
          <w:noProof w:val="0"/>
          <w:color w:val="000000"/>
          <w:position w:val="0"/>
          <w:sz w:val="20"/>
          <w:u w:val="none"/>
          <w:vertAlign w:val="baseline"/>
        </w:rPr>
        <w:t> KEA RIGGS, UNITED STATES DISTRICT JUDGE.</w:t>
      </w:r>
    </w:p>
    <w:p>
      <w:pPr>
        <w:keepNext w:val="0"/>
        <w:spacing w:before="240" w:after="0" w:line="260" w:lineRule="atLeast"/>
        <w:ind w:left="0" w:right="0" w:firstLine="0"/>
        <w:jc w:val="left"/>
      </w:pPr>
      <w:bookmarkStart w:id="5" w:name="Opinion by"/>
      <w:bookmarkEnd w:id="5"/>
      <w:r>
        <w:rPr>
          <w:rFonts w:ascii="arial" w:eastAsia="arial" w:hAnsi="arial" w:cs="arial"/>
          <w:b/>
          <w:i w:val="0"/>
          <w:strike w:val="0"/>
          <w:noProof w:val="0"/>
          <w:color w:val="000000"/>
          <w:position w:val="0"/>
          <w:sz w:val="20"/>
          <w:u w:val="none"/>
          <w:vertAlign w:val="baseline"/>
        </w:rPr>
        <w:t>Opinion by:</w:t>
      </w:r>
      <w:r>
        <w:rPr>
          <w:rFonts w:ascii="arial" w:eastAsia="arial" w:hAnsi="arial" w:cs="arial"/>
          <w:b w:val="0"/>
          <w:i w:val="0"/>
          <w:strike w:val="0"/>
          <w:noProof w:val="0"/>
          <w:color w:val="000000"/>
          <w:position w:val="0"/>
          <w:sz w:val="20"/>
          <w:u w:val="none"/>
          <w:vertAlign w:val="baseline"/>
        </w:rPr>
        <w:t> KEA RIGGS</w:t>
      </w:r>
    </w:p>
    <w:p>
      <w:pPr>
        <w:keepNext/>
        <w:spacing w:before="240" w:after="0" w:line="340" w:lineRule="atLeast"/>
        <w:ind w:left="0" w:right="0" w:firstLine="0"/>
        <w:jc w:val="left"/>
      </w:pPr>
      <w:bookmarkStart w:id="6" w:name="Opinion"/>
      <w:bookmarkEnd w:id="6"/>
      <w:r>
        <w:rPr>
          <w:rFonts w:ascii="arial" w:eastAsia="arial" w:hAnsi="arial" w:cs="arial"/>
          <w:b/>
          <w:i w:val="0"/>
          <w:strike w:val="0"/>
          <w:noProof w:val="0"/>
          <w:color w:val="000000"/>
          <w:position w:val="0"/>
          <w:sz w:val="28"/>
          <w:u w:val="none"/>
          <w:vertAlign w:val="baseline"/>
        </w:rPr>
        <w:t>Opinion</w:t>
      </w:r>
    </w:p>
    <w:p>
      <w:pPr>
        <w:spacing w:line="60" w:lineRule="exact"/>
      </w:pPr>
      <w:r>
        <w:pict>
          <v:line id="_x0000_s1027" style="position:absolute;z-index:251659264" from="0,2pt" to="512pt,2pt" strokecolor="#009ddb" strokeweight="2pt">
            <v:stroke linestyle="single"/>
            <w10:wrap type="topAndBottom"/>
          </v:line>
        </w:pict>
      </w:r>
    </w:p>
    <w:p>
      <w:pPr>
        <w:spacing w:line="120" w:lineRule="exact"/>
      </w:pP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single"/>
          <w:vertAlign w:val="baseline"/>
        </w:rPr>
        <w:t>MEMORANDUM OPINION AND ORDER</w:t>
      </w:r>
    </w:p>
    <w:p>
      <w:pPr>
        <w:keepNext w:val="0"/>
        <w:spacing w:before="200" w:after="0" w:line="260" w:lineRule="atLeast"/>
        <w:ind w:left="0" w:right="0" w:firstLine="0"/>
        <w:jc w:val="both"/>
      </w:pPr>
      <w:bookmarkStart w:id="7" w:name="Bookmark_para_1"/>
      <w:bookmarkEnd w:id="7"/>
      <w:r>
        <w:rPr>
          <w:rFonts w:ascii="arial" w:eastAsia="arial" w:hAnsi="arial" w:cs="arial"/>
          <w:b/>
          <w:i w:val="0"/>
          <w:strike w:val="0"/>
          <w:noProof w:val="0"/>
          <w:color w:val="000000"/>
          <w:position w:val="0"/>
          <w:sz w:val="20"/>
          <w:u w:val="none"/>
          <w:vertAlign w:val="baseline"/>
        </w:rPr>
        <w:t>THIS MATTER</w:t>
      </w:r>
      <w:r>
        <w:rPr>
          <w:rFonts w:ascii="arial" w:eastAsia="arial" w:hAnsi="arial" w:cs="arial"/>
          <w:b w:val="0"/>
          <w:i w:val="0"/>
          <w:strike w:val="0"/>
          <w:noProof w:val="0"/>
          <w:color w:val="000000"/>
          <w:position w:val="0"/>
          <w:sz w:val="20"/>
          <w:u w:val="none"/>
          <w:vertAlign w:val="baseline"/>
        </w:rPr>
        <w:t xml:space="preserve"> is before the Court upon Defendant's Motion to Dismiss for Lack of Subject Matter Jurisdiction </w:t>
      </w:r>
      <w:r>
        <w:rPr>
          <w:rFonts w:ascii="arial" w:eastAsia="arial" w:hAnsi="arial" w:cs="arial"/>
          <w:b/>
          <w:i w:val="0"/>
          <w:strike w:val="0"/>
          <w:noProof w:val="0"/>
          <w:color w:val="000000"/>
          <w:position w:val="0"/>
          <w:sz w:val="20"/>
          <w:u w:val="none"/>
          <w:vertAlign w:val="baseline"/>
        </w:rPr>
        <w:t>(Doc. 24)</w:t>
      </w:r>
      <w:r>
        <w:rPr>
          <w:rFonts w:ascii="arial" w:eastAsia="arial" w:hAnsi="arial" w:cs="arial"/>
          <w:b w:val="0"/>
          <w:i w:val="0"/>
          <w:strike w:val="0"/>
          <w:noProof w:val="0"/>
          <w:color w:val="000000"/>
          <w:position w:val="0"/>
          <w:sz w:val="20"/>
          <w:u w:val="none"/>
          <w:vertAlign w:val="baseline"/>
        </w:rPr>
        <w:t xml:space="preserve">. Having reviewed the parties' pleadings and applicable law, the Court finds that Defendant's motion is well-taken and therefore, is </w:t>
      </w:r>
      <w:r>
        <w:rPr>
          <w:rFonts w:ascii="arial" w:eastAsia="arial" w:hAnsi="arial" w:cs="arial"/>
          <w:b/>
          <w:i w:val="0"/>
          <w:strike w:val="0"/>
          <w:noProof w:val="0"/>
          <w:color w:val="000000"/>
          <w:position w:val="0"/>
          <w:sz w:val="20"/>
          <w:u w:val="none"/>
          <w:vertAlign w:val="baseline"/>
        </w:rPr>
        <w:t>GRANTED</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8" w:name="Bookmark_para_2"/>
      <w:bookmarkEnd w:id="8"/>
      <w:r>
        <w:rPr>
          <w:rFonts w:ascii="arial" w:eastAsia="arial" w:hAnsi="arial" w:cs="arial"/>
          <w:b w:val="0"/>
          <w:i w:val="0"/>
          <w:strike w:val="0"/>
          <w:noProof w:val="0"/>
          <w:color w:val="000000"/>
          <w:position w:val="0"/>
          <w:sz w:val="20"/>
          <w:u w:val="none"/>
          <w:vertAlign w:val="baseline"/>
        </w:rPr>
        <w:t>Officer Darian Jarrott was shot and killed by Omar Cueva during a traffic stop. Plaintiff asserts that Defendant was negligent, resulting in Omar Cueva killing Officer Jarrott. Doc. 3 at ¶ 32.</w:t>
      </w:r>
    </w:p>
    <w:p>
      <w:pPr>
        <w:keepNext w:val="0"/>
        <w:spacing w:before="240" w:after="0" w:line="260" w:lineRule="atLeast"/>
        <w:ind w:left="0" w:right="0" w:firstLine="0"/>
        <w:jc w:val="both"/>
      </w:pPr>
      <w:bookmarkStart w:id="9" w:name="Bookmark_para_3"/>
      <w:bookmarkEnd w:id="9"/>
      <w:r>
        <w:rPr>
          <w:rFonts w:ascii="arial" w:eastAsia="arial" w:hAnsi="arial" w:cs="arial"/>
          <w:b w:val="0"/>
          <w:i w:val="0"/>
          <w:strike w:val="0"/>
          <w:noProof w:val="0"/>
          <w:color w:val="000000"/>
          <w:position w:val="0"/>
          <w:sz w:val="20"/>
          <w:u w:val="none"/>
          <w:vertAlign w:val="baseline"/>
        </w:rPr>
        <w:t xml:space="preserve">The </w:t>
      </w:r>
      <w:hyperlink r:id="rId10" w:history="1">
        <w:r>
          <w:rPr>
            <w:rFonts w:ascii="arial" w:eastAsia="arial" w:hAnsi="arial" w:cs="arial"/>
            <w:b w:val="0"/>
            <w:i/>
            <w:strike w:val="0"/>
            <w:noProof w:val="0"/>
            <w:color w:val="0077CC"/>
            <w:position w:val="0"/>
            <w:sz w:val="20"/>
            <w:u w:val="single"/>
            <w:vertAlign w:val="baseline"/>
          </w:rPr>
          <w:t>Federal Tort Claims Act ("FTCA")</w:t>
        </w:r>
      </w:hyperlink>
      <w:r>
        <w:rPr>
          <w:rFonts w:ascii="arial" w:eastAsia="arial" w:hAnsi="arial" w:cs="arial"/>
          <w:b w:val="0"/>
          <w:i w:val="0"/>
          <w:strike w:val="0"/>
          <w:noProof w:val="0"/>
          <w:color w:val="000000"/>
          <w:position w:val="0"/>
          <w:sz w:val="20"/>
          <w:u w:val="none"/>
          <w:vertAlign w:val="baseline"/>
        </w:rPr>
        <w:t xml:space="preserve"> waives the United States' sovereign immunity for certain tort claims. However, Defendant asserts that sovereign immunity has not been waived here due to the "discretionary function" exception to the waiver of sovereign</w:t>
      </w:r>
      <w:r>
        <w:rPr>
          <w:rFonts w:ascii="arial" w:eastAsia="arial" w:hAnsi="arial" w:cs="arial"/>
          <w:b/>
          <w:i w:val="0"/>
          <w:strike w:val="0"/>
          <w:noProof w:val="0"/>
          <w:color w:val="000000"/>
          <w:position w:val="0"/>
          <w:sz w:val="20"/>
          <w:u w:val="none"/>
          <w:vertAlign w:val="baseline"/>
        </w:rPr>
        <w:t> [*2] </w:t>
      </w:r>
      <w:r>
        <w:rPr>
          <w:rFonts w:ascii="arial" w:eastAsia="arial" w:hAnsi="arial" w:cs="arial"/>
          <w:b w:val="0"/>
          <w:i w:val="0"/>
          <w:strike w:val="0"/>
          <w:noProof w:val="0"/>
          <w:color w:val="000000"/>
          <w:position w:val="0"/>
          <w:sz w:val="20"/>
          <w:u w:val="none"/>
          <w:vertAlign w:val="baseline"/>
        </w:rPr>
        <w:t xml:space="preserve"> immunity under </w:t>
      </w:r>
      <w:hyperlink r:id="rId11" w:history="1">
        <w:r>
          <w:rPr>
            <w:rFonts w:ascii="arial" w:eastAsia="arial" w:hAnsi="arial" w:cs="arial"/>
            <w:b w:val="0"/>
            <w:i/>
            <w:strike w:val="0"/>
            <w:noProof w:val="0"/>
            <w:color w:val="0077CC"/>
            <w:position w:val="0"/>
            <w:sz w:val="20"/>
            <w:u w:val="single"/>
            <w:vertAlign w:val="baseline"/>
          </w:rPr>
          <w:t>28 U.S.C. § 2680(a)</w:t>
        </w:r>
      </w:hyperlink>
      <w:r>
        <w:rPr>
          <w:rFonts w:ascii="arial" w:eastAsia="arial" w:hAnsi="arial" w:cs="arial"/>
          <w:b w:val="0"/>
          <w:i w:val="0"/>
          <w:strike w:val="0"/>
          <w:noProof w:val="0"/>
          <w:color w:val="000000"/>
          <w:position w:val="0"/>
          <w:sz w:val="20"/>
          <w:u w:val="none"/>
          <w:vertAlign w:val="baseline"/>
        </w:rPr>
        <w:t xml:space="preserve">. Plaintiff disagrees. Although Plaintiff does not contest whether the allegations in this case fall under the discretionary function exception, she asserts that exception is overridden by another statutory subsection, the law enforcement proviso under </w:t>
      </w:r>
      <w:hyperlink r:id="rId11" w:history="1">
        <w:r>
          <w:rPr>
            <w:rFonts w:ascii="arial" w:eastAsia="arial" w:hAnsi="arial" w:cs="arial"/>
            <w:b w:val="0"/>
            <w:i/>
            <w:strike w:val="0"/>
            <w:noProof w:val="0"/>
            <w:color w:val="0077CC"/>
            <w:position w:val="0"/>
            <w:sz w:val="20"/>
            <w:u w:val="single"/>
            <w:vertAlign w:val="baseline"/>
          </w:rPr>
          <w:t>28 U.S.C. § 2680(h)</w:t>
        </w:r>
      </w:hyperlink>
      <w:r>
        <w:rPr>
          <w:rFonts w:ascii="arial" w:eastAsia="arial" w:hAnsi="arial" w:cs="arial"/>
          <w:b w:val="0"/>
          <w:i w:val="0"/>
          <w:strike w:val="0"/>
          <w:noProof w:val="0"/>
          <w:color w:val="000000"/>
          <w:position w:val="0"/>
          <w:sz w:val="20"/>
          <w:u w:val="none"/>
          <w:vertAlign w:val="baseline"/>
        </w:rPr>
        <w:t xml:space="preserve">. Under the "law enforcement proviso", sovereign immunity is waived under </w:t>
      </w:r>
      <w:hyperlink r:id="rId11" w:history="1">
        <w:r>
          <w:rPr>
            <w:rFonts w:ascii="arial" w:eastAsia="arial" w:hAnsi="arial" w:cs="arial"/>
            <w:b w:val="0"/>
            <w:i/>
            <w:strike w:val="0"/>
            <w:noProof w:val="0"/>
            <w:color w:val="0077CC"/>
            <w:position w:val="0"/>
            <w:sz w:val="20"/>
            <w:u w:val="single"/>
            <w:vertAlign w:val="baseline"/>
          </w:rPr>
          <w:t>28 U.S.C. § 2680(h)</w:t>
        </w:r>
      </w:hyperlink>
      <w:r>
        <w:rPr>
          <w:rFonts w:ascii="arial" w:eastAsia="arial" w:hAnsi="arial" w:cs="arial"/>
          <w:b w:val="0"/>
          <w:i w:val="0"/>
          <w:strike w:val="0"/>
          <w:noProof w:val="0"/>
          <w:color w:val="000000"/>
          <w:position w:val="0"/>
          <w:sz w:val="20"/>
          <w:u w:val="none"/>
          <w:vertAlign w:val="baseline"/>
        </w:rPr>
        <w:t xml:space="preserve"> for law enforcement officers who commit an intentional tort. The Court agrees with Defendant and concludes that the discretionary function exception still applies even if the law enforcement proviso is also applicable, therefore sovereign immunity is not waived. The Court will dismiss this case without prejudice for lack of subject matter jurisdiction.</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BACKGROUND</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 Plaintiff's allegations</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10" w:name="Bookmark_para_4"/>
      <w:bookmarkEnd w:id="10"/>
      <w:r>
        <w:rPr>
          <w:rFonts w:ascii="arial" w:eastAsia="arial" w:hAnsi="arial" w:cs="arial"/>
          <w:b w:val="0"/>
          <w:i w:val="0"/>
          <w:strike w:val="0"/>
          <w:noProof w:val="0"/>
          <w:color w:val="000000"/>
          <w:position w:val="0"/>
          <w:sz w:val="20"/>
          <w:u w:val="none"/>
          <w:vertAlign w:val="baseline"/>
        </w:rPr>
        <w:t>On June 27, 2022, Plaintiff filed an Amended Complaint. Doc. 3. The allegations in the Amended Complaint are as follows.</w:t>
      </w:r>
    </w:p>
    <w:p>
      <w:pPr>
        <w:keepNext w:val="0"/>
        <w:spacing w:before="200" w:after="0" w:line="260" w:lineRule="atLeast"/>
        <w:ind w:left="0" w:right="0" w:firstLine="0"/>
        <w:jc w:val="both"/>
      </w:pPr>
      <w:bookmarkStart w:id="11" w:name="Bookmark_para_5"/>
      <w:bookmarkEnd w:id="11"/>
      <w:r>
        <w:rPr>
          <w:rFonts w:ascii="arial" w:eastAsia="arial" w:hAnsi="arial" w:cs="arial"/>
          <w:b w:val="0"/>
          <w:i w:val="0"/>
          <w:strike w:val="0"/>
          <w:noProof w:val="0"/>
          <w:color w:val="000000"/>
          <w:position w:val="0"/>
          <w:sz w:val="20"/>
          <w:u w:val="none"/>
          <w:vertAlign w:val="baseline"/>
        </w:rPr>
        <w:t xml:space="preserve">In January and February 2021, agents with Homeland Security Investigations ("HSI"), a division of the Department of Homeland Security, were investigating a suspected drug trafficker, Omar Cueva. Doc. 3 at 3, ¶ 8. On or about January 28, 2021, an undercover HSI agent purchased a language quantity of methamphetamine from Cueva.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 10. During</w:t>
      </w:r>
      <w:r>
        <w:rPr>
          <w:rFonts w:ascii="arial" w:eastAsia="arial" w:hAnsi="arial" w:cs="arial"/>
          <w:b/>
          <w:i w:val="0"/>
          <w:strike w:val="0"/>
          <w:noProof w:val="0"/>
          <w:color w:val="000000"/>
          <w:position w:val="0"/>
          <w:sz w:val="20"/>
          <w:u w:val="none"/>
          <w:vertAlign w:val="baseline"/>
        </w:rPr>
        <w:t> [*3] </w:t>
      </w:r>
      <w:r>
        <w:rPr>
          <w:rFonts w:ascii="arial" w:eastAsia="arial" w:hAnsi="arial" w:cs="arial"/>
          <w:b w:val="0"/>
          <w:i w:val="0"/>
          <w:strike w:val="0"/>
          <w:noProof w:val="0"/>
          <w:color w:val="000000"/>
          <w:position w:val="0"/>
          <w:sz w:val="20"/>
          <w:u w:val="none"/>
          <w:vertAlign w:val="baseline"/>
        </w:rPr>
        <w:t xml:space="preserve"> that purchase, Cueva was in possession of an "AK-47 style semi-automatic rifle."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 10. Although the agent tried to buy the weapon from Cueva, Cueva would not sell the rifle, and told him that he needed it for his protection.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Cueva stated that if he got caught, he would not go back to jail, implying that he would try to shoot his way out of an arrest.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Cueva had an extensive criminal record and was known to have a violent history.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 11.</w:t>
      </w:r>
    </w:p>
    <w:p>
      <w:pPr>
        <w:keepNext w:val="0"/>
        <w:spacing w:before="200" w:after="0" w:line="260" w:lineRule="atLeast"/>
        <w:ind w:left="0" w:right="0" w:firstLine="0"/>
        <w:jc w:val="both"/>
      </w:pPr>
      <w:bookmarkStart w:id="12" w:name="Bookmark_para_6"/>
      <w:bookmarkEnd w:id="12"/>
      <w:r>
        <w:rPr>
          <w:rFonts w:ascii="arial" w:eastAsia="arial" w:hAnsi="arial" w:cs="arial"/>
          <w:b w:val="0"/>
          <w:i w:val="0"/>
          <w:strike w:val="0"/>
          <w:noProof w:val="0"/>
          <w:color w:val="000000"/>
          <w:position w:val="0"/>
          <w:sz w:val="20"/>
          <w:u w:val="none"/>
          <w:vertAlign w:val="baseline"/>
        </w:rPr>
        <w:t xml:space="preserve">Using undercover agents and a confidential informant, HSI agents set up another transaction with Cueva on February 4, 2021.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 12. The agents chose not to arrest Cueva at the purchase to protect the identity of the confidential informant. Instead, agents wanted the New Mexico State Police to pull over Cueva on a pretextual traffic stop as he travelled from Deming to Las Cruces.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 13. Agents held a briefing on the morning of February 4, 2021 to prepare for the operation. Officer Jarrott was not invited to that briefing.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14.</w:t>
      </w:r>
    </w:p>
    <w:p>
      <w:pPr>
        <w:keepNext w:val="0"/>
        <w:spacing w:before="200" w:after="0" w:line="260" w:lineRule="atLeast"/>
        <w:ind w:left="0" w:right="0" w:firstLine="0"/>
        <w:jc w:val="both"/>
      </w:pPr>
      <w:bookmarkStart w:id="13" w:name="Bookmark_para_7"/>
      <w:bookmarkEnd w:id="13"/>
      <w:r>
        <w:rPr>
          <w:rFonts w:ascii="arial" w:eastAsia="arial" w:hAnsi="arial" w:cs="arial"/>
          <w:b w:val="0"/>
          <w:i w:val="0"/>
          <w:strike w:val="0"/>
          <w:noProof w:val="0"/>
          <w:color w:val="000000"/>
          <w:position w:val="0"/>
          <w:sz w:val="20"/>
          <w:u w:val="none"/>
          <w:vertAlign w:val="baseline"/>
        </w:rPr>
        <w:t>On February 4, 2021, Officer Jarrott's supervisor, NMSP Sgt. Mark Madrid, was at a training. Sgt. Madrid communicated with the HSI agents that day regarding Cueva. Sgt. Madrid testified that he</w:t>
      </w:r>
      <w:r>
        <w:rPr>
          <w:rFonts w:ascii="arial" w:eastAsia="arial" w:hAnsi="arial" w:cs="arial"/>
          <w:b/>
          <w:i w:val="0"/>
          <w:strike w:val="0"/>
          <w:noProof w:val="0"/>
          <w:color w:val="000000"/>
          <w:position w:val="0"/>
          <w:sz w:val="20"/>
          <w:u w:val="none"/>
          <w:vertAlign w:val="baseline"/>
        </w:rPr>
        <w:t> [*4] </w:t>
      </w:r>
      <w:r>
        <w:rPr>
          <w:rFonts w:ascii="arial" w:eastAsia="arial" w:hAnsi="arial" w:cs="arial"/>
          <w:b w:val="0"/>
          <w:i w:val="0"/>
          <w:strike w:val="0"/>
          <w:noProof w:val="0"/>
          <w:color w:val="000000"/>
          <w:position w:val="0"/>
          <w:sz w:val="20"/>
          <w:u w:val="none"/>
          <w:vertAlign w:val="baseline"/>
        </w:rPr>
        <w:t xml:space="preserve"> was not told by the agents about Cueva's history or the extreme danger he posed to a law enforcement officer who might try to apprehend him.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¶16.</w:t>
      </w:r>
    </w:p>
    <w:p>
      <w:pPr>
        <w:keepNext w:val="0"/>
        <w:spacing w:before="200" w:after="0" w:line="260" w:lineRule="atLeast"/>
        <w:ind w:left="0" w:right="0" w:firstLine="0"/>
        <w:jc w:val="both"/>
      </w:pPr>
      <w:bookmarkStart w:id="14" w:name="Bookmark_para_8"/>
      <w:bookmarkEnd w:id="14"/>
      <w:r>
        <w:rPr>
          <w:rFonts w:ascii="arial" w:eastAsia="arial" w:hAnsi="arial" w:cs="arial"/>
          <w:b w:val="0"/>
          <w:i w:val="0"/>
          <w:strike w:val="0"/>
          <w:noProof w:val="0"/>
          <w:color w:val="000000"/>
          <w:position w:val="0"/>
          <w:sz w:val="20"/>
          <w:u w:val="none"/>
          <w:vertAlign w:val="baseline"/>
        </w:rPr>
        <w:t xml:space="preserve">HSI agents Matt Rodriguez and Hector Huerta served as team leader and supervisor.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 17. Sgt. Madrid stated that he asked them about Cueva, but he was only told that Cueva might be </w:t>
      </w:r>
      <w:r>
        <w:rPr>
          <w:rFonts w:ascii="arial" w:eastAsia="arial" w:hAnsi="arial" w:cs="arial"/>
          <w:b/>
          <w:i/>
          <w:strike w:val="0"/>
          <w:noProof w:val="0"/>
          <w:color w:val="000000"/>
          <w:position w:val="0"/>
          <w:sz w:val="20"/>
          <w:u w:val="single"/>
          <w:vertAlign w:val="baseline"/>
        </w:rPr>
        <w:t>smuggling</w:t>
      </w:r>
      <w:r>
        <w:rPr>
          <w:rFonts w:ascii="arial" w:eastAsia="arial" w:hAnsi="arial" w:cs="arial"/>
          <w:b w:val="0"/>
          <w:i w:val="0"/>
          <w:strike w:val="0"/>
          <w:noProof w:val="0"/>
          <w:color w:val="000000"/>
          <w:position w:val="0"/>
          <w:sz w:val="20"/>
          <w:u w:val="none"/>
          <w:vertAlign w:val="baseline"/>
        </w:rPr>
        <w:t xml:space="preserve"> drugs.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 18. HSI withheld the information known about Cueva, including his dangerousness, and his stated refusal to be apprehended and intent to shoot his way out of any attempted arrest.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 19. HSI failed to advise Officer Jarrott or Sgt. Madrid of Cueva's criminal history, that he was considered high risk, that he was described as "paranoid" by a confidential informant, or that Cueva stated he intended to shoot his way out of an encounter with law enforcement rather than be apprehended.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 20.</w:t>
      </w:r>
    </w:p>
    <w:p>
      <w:pPr>
        <w:keepNext w:val="0"/>
        <w:spacing w:before="200" w:after="0" w:line="260" w:lineRule="atLeast"/>
        <w:ind w:left="0" w:right="0" w:firstLine="0"/>
        <w:jc w:val="both"/>
      </w:pPr>
      <w:bookmarkStart w:id="15" w:name="Bookmark_para_9"/>
      <w:bookmarkEnd w:id="15"/>
      <w:r>
        <w:rPr>
          <w:rFonts w:ascii="arial" w:eastAsia="arial" w:hAnsi="arial" w:cs="arial"/>
          <w:b w:val="0"/>
          <w:i w:val="0"/>
          <w:strike w:val="0"/>
          <w:noProof w:val="0"/>
          <w:color w:val="000000"/>
          <w:position w:val="0"/>
          <w:sz w:val="20"/>
          <w:u w:val="none"/>
          <w:vertAlign w:val="baseline"/>
        </w:rPr>
        <w:t xml:space="preserve">HSI assembled a special response team which was on Interstate 10 near Deming on February 4, 2021.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 21. The special response team was driving an armored vehicle, wearing tactical and bulletproof equipment, and was accompanied by a medic. Officer Jarrott was not told the special response team was trailing Cueva. </w:t>
      </w:r>
      <w:r>
        <w:rPr>
          <w:rFonts w:ascii="arial" w:eastAsia="arial" w:hAnsi="arial" w:cs="arial"/>
          <w:b w:val="0"/>
          <w:i/>
          <w:strike w:val="0"/>
          <w:noProof w:val="0"/>
          <w:color w:val="000000"/>
          <w:position w:val="0"/>
          <w:sz w:val="20"/>
          <w:u w:val="none"/>
          <w:vertAlign w:val="baseline"/>
        </w:rPr>
        <w:t>Id.</w:t>
      </w:r>
    </w:p>
    <w:p>
      <w:pPr>
        <w:keepNext w:val="0"/>
        <w:spacing w:before="200" w:after="0" w:line="260" w:lineRule="atLeast"/>
        <w:ind w:left="0" w:right="0" w:firstLine="0"/>
        <w:jc w:val="both"/>
      </w:pPr>
      <w:bookmarkStart w:id="16" w:name="Bookmark_para_10"/>
      <w:bookmarkEnd w:id="16"/>
      <w:r>
        <w:rPr>
          <w:rFonts w:ascii="arial" w:eastAsia="arial" w:hAnsi="arial" w:cs="arial"/>
          <w:b w:val="0"/>
          <w:i w:val="0"/>
          <w:strike w:val="0"/>
          <w:noProof w:val="0"/>
          <w:color w:val="000000"/>
          <w:position w:val="0"/>
          <w:sz w:val="20"/>
          <w:u w:val="none"/>
          <w:vertAlign w:val="baseline"/>
        </w:rPr>
        <w:t>At approximately</w:t>
      </w:r>
      <w:r>
        <w:rPr>
          <w:rFonts w:ascii="arial" w:eastAsia="arial" w:hAnsi="arial" w:cs="arial"/>
          <w:b/>
          <w:i w:val="0"/>
          <w:strike w:val="0"/>
          <w:noProof w:val="0"/>
          <w:color w:val="000000"/>
          <w:position w:val="0"/>
          <w:sz w:val="20"/>
          <w:u w:val="none"/>
          <w:vertAlign w:val="baseline"/>
        </w:rPr>
        <w:t> [*5] </w:t>
      </w:r>
      <w:r>
        <w:rPr>
          <w:rFonts w:ascii="arial" w:eastAsia="arial" w:hAnsi="arial" w:cs="arial"/>
          <w:b w:val="0"/>
          <w:i w:val="0"/>
          <w:strike w:val="0"/>
          <w:noProof w:val="0"/>
          <w:color w:val="000000"/>
          <w:position w:val="0"/>
          <w:sz w:val="20"/>
          <w:u w:val="none"/>
          <w:vertAlign w:val="baseline"/>
        </w:rPr>
        <w:t xml:space="preserve"> noon on February 4, 2021, Officer Jarrott saw a white pickup truck matching the description Sgt. Madrid had given him. Officer Jarrott pulled over the truck, which was driven by Cueva.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 22. Officer Jarrott was alone when he pulled over Mr. Cueva. Unaware of the danger he was in, Officer Jarrott approached Cueva as he would a routine traffic stop. He did not have his weapon drawn, and he did not shout commands at Cueva.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 23, 24. Officer Jarrott approached the vehicle from the passenger side and was conversing with Cueva for a couple minutes through the passenger window of the truck. He then asked Cueva to step out of the vehicle and meet him behind the truck bed.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 25. Cueva emerged from the vehicle with a "semi-automatic rifle," and shot and killed Officer Jarrott.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 26.</w:t>
      </w:r>
    </w:p>
    <w:p>
      <w:pPr>
        <w:keepNext w:val="0"/>
        <w:spacing w:before="200" w:after="0" w:line="260" w:lineRule="atLeast"/>
        <w:ind w:left="0" w:right="0" w:firstLine="0"/>
        <w:jc w:val="both"/>
      </w:pPr>
      <w:bookmarkStart w:id="17" w:name="Bookmark_para_11"/>
      <w:bookmarkEnd w:id="17"/>
      <w:r>
        <w:rPr>
          <w:rFonts w:ascii="arial" w:eastAsia="arial" w:hAnsi="arial" w:cs="arial"/>
          <w:b w:val="0"/>
          <w:i w:val="0"/>
          <w:strike w:val="0"/>
          <w:noProof w:val="0"/>
          <w:color w:val="000000"/>
          <w:position w:val="0"/>
          <w:sz w:val="20"/>
          <w:u w:val="none"/>
          <w:vertAlign w:val="baseline"/>
        </w:rPr>
        <w:t xml:space="preserve">In her amended complaint, Plaintiff asserts a (1) wrongful death claim, and (2) a loss of consortium claim. She asserted that Defendant's "negligence and/or recklessness resulted in Omar Cueva killing Officer Jarrott."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 32.</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II. Plaintiff's SF-95 administrative claims</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18" w:name="Bookmark_para_12"/>
      <w:bookmarkEnd w:id="18"/>
      <w:r>
        <w:rPr>
          <w:rFonts w:ascii="arial" w:eastAsia="arial" w:hAnsi="arial" w:cs="arial"/>
          <w:b w:val="0"/>
          <w:i w:val="0"/>
          <w:strike w:val="0"/>
          <w:noProof w:val="0"/>
          <w:color w:val="000000"/>
          <w:position w:val="0"/>
          <w:sz w:val="20"/>
          <w:u w:val="none"/>
          <w:vertAlign w:val="baseline"/>
        </w:rPr>
        <w:t xml:space="preserve">Plaintiff filed two SF-95 administrative claims with the Department of Homeland Security.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Doc. 24-1, Ex. A; Doc.</w:t>
      </w:r>
      <w:r>
        <w:rPr>
          <w:rFonts w:ascii="arial" w:eastAsia="arial" w:hAnsi="arial" w:cs="arial"/>
          <w:b/>
          <w:i w:val="0"/>
          <w:strike w:val="0"/>
          <w:noProof w:val="0"/>
          <w:color w:val="000000"/>
          <w:position w:val="0"/>
          <w:sz w:val="20"/>
          <w:u w:val="none"/>
          <w:vertAlign w:val="baseline"/>
        </w:rPr>
        <w:t> [*6] </w:t>
      </w:r>
      <w:r>
        <w:rPr>
          <w:rFonts w:ascii="arial" w:eastAsia="arial" w:hAnsi="arial" w:cs="arial"/>
          <w:b w:val="0"/>
          <w:i w:val="0"/>
          <w:strike w:val="0"/>
          <w:noProof w:val="0"/>
          <w:color w:val="000000"/>
          <w:position w:val="0"/>
          <w:sz w:val="20"/>
          <w:u w:val="none"/>
          <w:vertAlign w:val="baseline"/>
        </w:rPr>
        <w:t xml:space="preserve"> 24-2, Ex. B. On or about April 20, 2021, the U.S. Department of Homeland Security ("DHS") received an SF-95 administrative claim from "New Mexico State Police Officer Darian Jarrott, Deceased, c/o Gabriella Jarrott, Personal Representative." Doc. 24-1, Ex. A, Box. 2. On or about May 4, 2021, DHS received a second identical SF-95 claim. Doc. 24-2, Ex. B.</w:t>
      </w:r>
    </w:p>
    <w:p>
      <w:pPr>
        <w:keepNext w:val="0"/>
        <w:spacing w:before="200" w:after="0" w:line="260" w:lineRule="atLeast"/>
        <w:ind w:left="0" w:right="0" w:firstLine="0"/>
        <w:jc w:val="both"/>
      </w:pPr>
      <w:bookmarkStart w:id="19" w:name="Bookmark_para_13"/>
      <w:bookmarkEnd w:id="19"/>
      <w:r>
        <w:rPr>
          <w:rFonts w:ascii="arial" w:eastAsia="arial" w:hAnsi="arial" w:cs="arial"/>
          <w:b w:val="0"/>
          <w:i w:val="0"/>
          <w:strike w:val="0"/>
          <w:noProof w:val="0"/>
          <w:color w:val="000000"/>
          <w:position w:val="0"/>
          <w:sz w:val="20"/>
          <w:u w:val="none"/>
          <w:vertAlign w:val="baseline"/>
        </w:rPr>
        <w:t>In the SF-95 claims, Plaintiff stated:</w:t>
      </w:r>
    </w:p>
    <w:p>
      <w:pPr>
        <w:keepNext w:val="0"/>
        <w:spacing w:before="200" w:after="0" w:line="260" w:lineRule="atLeast"/>
        <w:ind w:left="400" w:right="0" w:firstLine="0"/>
        <w:jc w:val="both"/>
      </w:pPr>
      <w:bookmarkStart w:id="20" w:name="Bookmark_para_14"/>
      <w:bookmarkEnd w:id="20"/>
      <w:r>
        <w:rPr>
          <w:rFonts w:ascii="arial" w:eastAsia="arial" w:hAnsi="arial" w:cs="arial"/>
          <w:b w:val="0"/>
          <w:i w:val="0"/>
          <w:strike w:val="0"/>
          <w:noProof w:val="0"/>
          <w:color w:val="000000"/>
          <w:position w:val="0"/>
          <w:sz w:val="20"/>
          <w:u w:val="none"/>
          <w:vertAlign w:val="baseline"/>
        </w:rPr>
        <w:t>On or about February 4, 2021, while on duty in his role as an officer for the New Mexico State Police ("NMSP"), and upon direction of his superiors, Darian Jarrott was assisting the U.S. Department of Homeland Security ("HSI") with an investigation. The details of the investigation were not disclosed to Officer Jarrott. As part of that investigation, Darian Jarrott was instructed by HSI and NMSP to create a pretext and initiate a traffic stop of Omar Felix Cueva, which he did on the basis of Cueva's window tint. Officer Jarrott was not told Cueva was known to be an armed and violent felon, that Cueva was in the process of transporting a large quantity of illegal drugs, nor that Cueva was desperate not to be arrested. During the traffic stop, Cueva shot Officer Jarrott multiple times and killed him.</w:t>
      </w:r>
      <w:r>
        <w:rPr>
          <w:rFonts w:ascii="arial" w:eastAsia="arial" w:hAnsi="arial" w:cs="arial"/>
          <w:b/>
          <w:i w:val="0"/>
          <w:strike w:val="0"/>
          <w:noProof w:val="0"/>
          <w:color w:val="000000"/>
          <w:position w:val="0"/>
          <w:sz w:val="20"/>
          <w:u w:val="none"/>
          <w:vertAlign w:val="baseline"/>
        </w:rPr>
        <w:t> [*7] </w:t>
      </w:r>
    </w:p>
    <w:p>
      <w:pPr>
        <w:keepNext w:val="0"/>
        <w:spacing w:after="0" w:line="260" w:lineRule="atLeast"/>
        <w:ind w:left="400" w:right="0" w:firstLine="0"/>
        <w:jc w:val="both"/>
      </w:pPr>
      <w:bookmarkStart w:id="21" w:name="Bookmark_para_15"/>
      <w:bookmarkEnd w:id="21"/>
      <w:r>
        <w:rPr>
          <w:rFonts w:ascii="arial" w:eastAsia="arial" w:hAnsi="arial" w:cs="arial"/>
          <w:b w:val="0"/>
          <w:i w:val="0"/>
          <w:strike w:val="0"/>
          <w:noProof w:val="0"/>
          <w:color w:val="000000"/>
          <w:position w:val="0"/>
          <w:sz w:val="20"/>
          <w:u w:val="none"/>
          <w:vertAlign w:val="baseline"/>
        </w:rPr>
        <w:t>HSI and NMSP knowingly sent Officer Jarrott into danger without suitable backup, and completely failed to apprise Officer Jarrott of any details of the investigation or suspect, including but not limited to Cueva's violent criminal history. HSI and NMSP's omission of the extreme danger this investigation and interaction with Cueva brought was a direct cause of Mr. Jarrott's death. Mr. Jarrott's constitutional rights were violated, and various torts were committed by HSI and NMSP.</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Doc. 24-1, Ex. A at 4; Doc. 24-2, Ex. B at 4. In box 12 of the SF-95 forms, claimants are instructed to list the amount of their claim. There are separate boxes for property damage, personal injury, and wrongful death. Plaintiff left the "personal injury" box blank, and in the wrongful death box, claimed $50,000,000. Doc. 24 at 5. DHS denied both claims. Doc. 24 at 5.</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LEGAL STANDARD</w:t>
      </w:r>
    </w:p>
    <w:p>
      <w:pPr>
        <w:keepNext w:val="0"/>
        <w:spacing w:before="240" w:after="0" w:line="260" w:lineRule="atLeast"/>
        <w:ind w:left="0" w:right="0" w:firstLine="0"/>
        <w:jc w:val="both"/>
      </w:pPr>
      <w:bookmarkStart w:id="22" w:name="Bookmark_para_16"/>
      <w:bookmarkEnd w:id="22"/>
      <w:bookmarkStart w:id="23" w:name="Bookmark_I68T3XJ428T4060020000400"/>
      <w:bookmarkEnd w:id="23"/>
      <w:r>
        <w:rPr>
          <w:rFonts w:ascii="arial" w:eastAsia="arial" w:hAnsi="arial" w:cs="arial"/>
          <w:b w:val="0"/>
          <w:i w:val="0"/>
          <w:strike w:val="0"/>
          <w:noProof w:val="0"/>
          <w:color w:val="000000"/>
          <w:position w:val="0"/>
          <w:sz w:val="20"/>
          <w:u w:val="none"/>
          <w:vertAlign w:val="baseline"/>
        </w:rPr>
        <w:t xml:space="preserve">Defendant asserts sovereign immunity and moves to dismiss for lack of subject matter jurisdiction under </w:t>
      </w:r>
      <w:r>
        <w:rPr>
          <w:rFonts w:ascii="arial" w:eastAsia="arial" w:hAnsi="arial" w:cs="arial"/>
          <w:b w:val="0"/>
          <w:i/>
          <w:strike w:val="0"/>
          <w:noProof w:val="0"/>
          <w:color w:val="000000"/>
          <w:position w:val="0"/>
          <w:sz w:val="20"/>
          <w:u w:val="none"/>
          <w:vertAlign w:val="baseline"/>
        </w:rPr>
        <w:t>Fed. R. Civ. P. 12(b)(1)</w:t>
      </w:r>
      <w:r>
        <w:rPr>
          <w:rFonts w:ascii="arial" w:eastAsia="arial" w:hAnsi="arial" w:cs="arial"/>
          <w:b w:val="0"/>
          <w:i w:val="0"/>
          <w:strike w:val="0"/>
          <w:noProof w:val="0"/>
          <w:color w:val="000000"/>
          <w:position w:val="0"/>
          <w:sz w:val="20"/>
          <w:u w:val="none"/>
          <w:vertAlign w:val="baseline"/>
        </w:rPr>
        <w:t xml:space="preserve">. Where a defendant makes a facial attack on the complaint, the Court accepts the allegations of the complaint as true. </w:t>
      </w:r>
      <w:bookmarkStart w:id="24" w:name="Bookmark_I68T3XJ428T4060010000400"/>
      <w:bookmarkEnd w:id="24"/>
      <w:hyperlink r:id="rId12" w:history="1">
        <w:r>
          <w:rPr>
            <w:rFonts w:ascii="arial" w:eastAsia="arial" w:hAnsi="arial" w:cs="arial"/>
            <w:b w:val="0"/>
            <w:i/>
            <w:strike w:val="0"/>
            <w:noProof w:val="0"/>
            <w:color w:val="0077CC"/>
            <w:position w:val="0"/>
            <w:sz w:val="20"/>
            <w:u w:val="single"/>
            <w:vertAlign w:val="baseline"/>
          </w:rPr>
          <w:t>Holt v. United States</w:t>
        </w:r>
      </w:hyperlink>
      <w:hyperlink r:id="rId12" w:history="1">
        <w:r>
          <w:rPr>
            <w:rFonts w:ascii="arial" w:eastAsia="arial" w:hAnsi="arial" w:cs="arial"/>
            <w:b w:val="0"/>
            <w:i/>
            <w:strike w:val="0"/>
            <w:noProof w:val="0"/>
            <w:color w:val="0077CC"/>
            <w:position w:val="0"/>
            <w:sz w:val="20"/>
            <w:u w:val="single"/>
            <w:vertAlign w:val="baseline"/>
          </w:rPr>
          <w:t>, 46 F.3d 1000, 1002 (10th Cir. 1995)</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25" w:name="Bookmark_para_17"/>
      <w:bookmarkEnd w:id="25"/>
      <w:bookmarkStart w:id="26" w:name="Bookmark_I68T3XJ428T4060040000400"/>
      <w:bookmarkEnd w:id="26"/>
      <w:r>
        <w:rPr>
          <w:rFonts w:ascii="arial" w:eastAsia="arial" w:hAnsi="arial" w:cs="arial"/>
          <w:b w:val="0"/>
          <w:i w:val="0"/>
          <w:strike w:val="0"/>
          <w:noProof w:val="0"/>
          <w:color w:val="000000"/>
          <w:position w:val="0"/>
          <w:sz w:val="20"/>
          <w:u w:val="none"/>
          <w:vertAlign w:val="baseline"/>
        </w:rPr>
        <w:t>Where a defendant makes a factual attack, the plaintiff bears the burden of presenting evidence sufficient to</w:t>
      </w:r>
      <w:r>
        <w:rPr>
          <w:rFonts w:ascii="arial" w:eastAsia="arial" w:hAnsi="arial" w:cs="arial"/>
          <w:b/>
          <w:i w:val="0"/>
          <w:strike w:val="0"/>
          <w:noProof w:val="0"/>
          <w:color w:val="000000"/>
          <w:position w:val="0"/>
          <w:sz w:val="20"/>
          <w:u w:val="none"/>
          <w:vertAlign w:val="baseline"/>
        </w:rPr>
        <w:t> [*8] </w:t>
      </w:r>
      <w:r>
        <w:rPr>
          <w:rFonts w:ascii="arial" w:eastAsia="arial" w:hAnsi="arial" w:cs="arial"/>
          <w:b w:val="0"/>
          <w:i w:val="0"/>
          <w:strike w:val="0"/>
          <w:noProof w:val="0"/>
          <w:color w:val="000000"/>
          <w:position w:val="0"/>
          <w:sz w:val="20"/>
          <w:u w:val="none"/>
          <w:vertAlign w:val="baseline"/>
        </w:rPr>
        <w:t xml:space="preserve"> establish the Court's subject matter jurisdiction by a preponderance of the evidence. </w:t>
      </w:r>
      <w:bookmarkStart w:id="27" w:name="Bookmark_I68T3XJ428T40C0010000400"/>
      <w:bookmarkEnd w:id="27"/>
      <w:r>
        <w:rPr>
          <w:rFonts w:ascii="arial" w:eastAsia="arial" w:hAnsi="arial" w:cs="arial"/>
          <w:b w:val="0"/>
          <w:i/>
          <w:strike w:val="0"/>
          <w:noProof w:val="0"/>
          <w:color w:val="000000"/>
          <w:position w:val="0"/>
          <w:sz w:val="20"/>
          <w:u w:val="none"/>
          <w:vertAlign w:val="baseline"/>
        </w:rPr>
        <w:t xml:space="preserve">See </w:t>
      </w:r>
      <w:bookmarkStart w:id="28" w:name="Bookmark_I68T3XJ428T4060030000400"/>
      <w:bookmarkEnd w:id="28"/>
      <w:hyperlink r:id="rId13" w:history="1">
        <w:r>
          <w:rPr>
            <w:rFonts w:ascii="arial" w:eastAsia="arial" w:hAnsi="arial" w:cs="arial"/>
            <w:b w:val="0"/>
            <w:i/>
            <w:strike w:val="0"/>
            <w:noProof w:val="0"/>
            <w:color w:val="0077CC"/>
            <w:position w:val="0"/>
            <w:sz w:val="20"/>
            <w:u w:val="single"/>
            <w:vertAlign w:val="baseline"/>
          </w:rPr>
          <w:t>United States ex rel. Hafter D.O. v. Spectrum Emerg. Care, Inc.</w:t>
        </w:r>
      </w:hyperlink>
      <w:hyperlink r:id="rId13" w:history="1">
        <w:r>
          <w:rPr>
            <w:rFonts w:ascii="arial" w:eastAsia="arial" w:hAnsi="arial" w:cs="arial"/>
            <w:b w:val="0"/>
            <w:i/>
            <w:strike w:val="0"/>
            <w:noProof w:val="0"/>
            <w:color w:val="0077CC"/>
            <w:position w:val="0"/>
            <w:sz w:val="20"/>
            <w:u w:val="single"/>
            <w:vertAlign w:val="baseline"/>
          </w:rPr>
          <w:t>, 190 F.3d 1156, 1160 n.5 (10th Cir. 1999)</w:t>
        </w:r>
      </w:hyperlink>
      <w:r>
        <w:rPr>
          <w:rFonts w:ascii="arial" w:eastAsia="arial" w:hAnsi="arial" w:cs="arial"/>
          <w:b w:val="0"/>
          <w:i w:val="0"/>
          <w:strike w:val="0"/>
          <w:noProof w:val="0"/>
          <w:color w:val="000000"/>
          <w:position w:val="0"/>
          <w:sz w:val="20"/>
          <w:u w:val="none"/>
          <w:vertAlign w:val="baseline"/>
        </w:rPr>
        <w:t xml:space="preserve">. The Court may go beyond the complaint and consider evidence presented by the parties. </w:t>
      </w:r>
      <w:bookmarkStart w:id="29" w:name="Bookmark_I68T3XJ428T40C0010000400_2"/>
      <w:bookmarkEnd w:id="29"/>
      <w:bookmarkStart w:id="30" w:name="Bookmark_I68T3XJ428T4060050000400"/>
      <w:bookmarkEnd w:id="30"/>
      <w:hyperlink r:id="rId12" w:history="1">
        <w:r>
          <w:rPr>
            <w:rFonts w:ascii="arial" w:eastAsia="arial" w:hAnsi="arial" w:cs="arial"/>
            <w:b w:val="0"/>
            <w:i/>
            <w:strike w:val="0"/>
            <w:noProof w:val="0"/>
            <w:color w:val="0077CC"/>
            <w:position w:val="0"/>
            <w:sz w:val="20"/>
            <w:u w:val="single"/>
            <w:vertAlign w:val="baseline"/>
          </w:rPr>
          <w:t>Holt v. United States</w:t>
        </w:r>
      </w:hyperlink>
      <w:hyperlink r:id="rId12" w:history="1">
        <w:r>
          <w:rPr>
            <w:rFonts w:ascii="arial" w:eastAsia="arial" w:hAnsi="arial" w:cs="arial"/>
            <w:b w:val="0"/>
            <w:i/>
            <w:strike w:val="0"/>
            <w:noProof w:val="0"/>
            <w:color w:val="0077CC"/>
            <w:position w:val="0"/>
            <w:sz w:val="20"/>
            <w:u w:val="single"/>
            <w:vertAlign w:val="baseline"/>
          </w:rPr>
          <w:t>, 46 F.3d 1000, 1003 (10th Cir. 1995)</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31" w:name="Bookmark_para_18"/>
      <w:bookmarkEnd w:id="31"/>
      <w:r>
        <w:rPr>
          <w:rFonts w:ascii="arial" w:eastAsia="arial" w:hAnsi="arial" w:cs="arial"/>
          <w:b w:val="0"/>
          <w:i w:val="0"/>
          <w:strike w:val="0"/>
          <w:noProof w:val="0"/>
          <w:color w:val="000000"/>
          <w:position w:val="0"/>
          <w:sz w:val="20"/>
          <w:u w:val="none"/>
          <w:vertAlign w:val="baseline"/>
        </w:rPr>
        <w:t xml:space="preserve">Plaintiff did not object to the Court considering this motion under </w:t>
      </w:r>
      <w:r>
        <w:rPr>
          <w:rFonts w:ascii="arial" w:eastAsia="arial" w:hAnsi="arial" w:cs="arial"/>
          <w:b w:val="0"/>
          <w:i/>
          <w:strike w:val="0"/>
          <w:noProof w:val="0"/>
          <w:color w:val="000000"/>
          <w:position w:val="0"/>
          <w:sz w:val="20"/>
          <w:u w:val="none"/>
          <w:vertAlign w:val="baseline"/>
        </w:rPr>
        <w:t>Fed. R. Civ. P. 12(b)(1)</w:t>
      </w:r>
      <w:r>
        <w:rPr>
          <w:rFonts w:ascii="arial" w:eastAsia="arial" w:hAnsi="arial" w:cs="arial"/>
          <w:b w:val="0"/>
          <w:i w:val="0"/>
          <w:strike w:val="0"/>
          <w:noProof w:val="0"/>
          <w:color w:val="000000"/>
          <w:position w:val="0"/>
          <w:sz w:val="20"/>
          <w:u w:val="none"/>
          <w:vertAlign w:val="baseline"/>
        </w:rPr>
        <w:t xml:space="preserve"> or </w:t>
      </w:r>
      <w:r>
        <w:rPr>
          <w:rFonts w:ascii="arial" w:eastAsia="arial" w:hAnsi="arial" w:cs="arial"/>
          <w:b w:val="0"/>
          <w:i/>
          <w:strike w:val="0"/>
          <w:noProof w:val="0"/>
          <w:color w:val="000000"/>
          <w:position w:val="0"/>
          <w:sz w:val="20"/>
          <w:u w:val="none"/>
          <w:vertAlign w:val="baseline"/>
        </w:rPr>
        <w:t>12(b)(6)</w:t>
      </w:r>
      <w:r>
        <w:rPr>
          <w:rFonts w:ascii="arial" w:eastAsia="arial" w:hAnsi="arial" w:cs="arial"/>
          <w:b w:val="0"/>
          <w:i w:val="0"/>
          <w:strike w:val="0"/>
          <w:noProof w:val="0"/>
          <w:color w:val="000000"/>
          <w:position w:val="0"/>
          <w:sz w:val="20"/>
          <w:u w:val="none"/>
          <w:vertAlign w:val="baseline"/>
        </w:rPr>
        <w:t xml:space="preserve">. Neither party requested the Court convert this matter under </w:t>
      </w:r>
      <w:hyperlink r:id="rId14" w:history="1">
        <w:r>
          <w:rPr>
            <w:rFonts w:ascii="arial" w:eastAsia="arial" w:hAnsi="arial" w:cs="arial"/>
            <w:b w:val="0"/>
            <w:i/>
            <w:strike w:val="0"/>
            <w:noProof w:val="0"/>
            <w:color w:val="0077CC"/>
            <w:position w:val="0"/>
            <w:sz w:val="20"/>
            <w:u w:val="single"/>
            <w:vertAlign w:val="baseline"/>
          </w:rPr>
          <w:t>Rule 56</w:t>
        </w:r>
      </w:hyperlink>
      <w:r>
        <w:rPr>
          <w:rFonts w:ascii="arial" w:eastAsia="arial" w:hAnsi="arial" w:cs="arial"/>
          <w:b w:val="0"/>
          <w:i w:val="0"/>
          <w:strike w:val="0"/>
          <w:noProof w:val="0"/>
          <w:color w:val="000000"/>
          <w:position w:val="0"/>
          <w:sz w:val="20"/>
          <w:u w:val="none"/>
          <w:vertAlign w:val="baseline"/>
        </w:rPr>
        <w:t>. Rather, the relevant jurisdictional facts appear to be undisputed, and Plaintiff does not object to the Court considering the SF 95 administrative claims she filed with Defendant.</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DISCUSSION</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 xml:space="preserve">I. </w:t>
      </w:r>
      <w:r>
        <w:rPr>
          <w:rFonts w:ascii="arial" w:eastAsia="arial" w:hAnsi="arial" w:cs="arial"/>
          <w:b/>
          <w:i w:val="0"/>
          <w:strike w:val="0"/>
          <w:noProof w:val="0"/>
          <w:color w:val="000000"/>
          <w:position w:val="0"/>
          <w:sz w:val="20"/>
          <w:u w:val="single"/>
          <w:vertAlign w:val="baseline"/>
        </w:rPr>
        <w:t>Discretionary function exception to the waiver of sovereign immunity bars the claims in this case</w:t>
      </w:r>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 xml:space="preserve">A. The Discretionary function exception under </w:t>
      </w:r>
      <w:hyperlink r:id="rId11" w:history="1">
        <w:r>
          <w:rPr>
            <w:rFonts w:ascii="arial" w:eastAsia="arial" w:hAnsi="arial" w:cs="arial"/>
            <w:b/>
            <w:i/>
            <w:strike w:val="0"/>
            <w:noProof w:val="0"/>
            <w:color w:val="0077CC"/>
            <w:position w:val="0"/>
            <w:sz w:val="20"/>
            <w:u w:val="single"/>
            <w:vertAlign w:val="baseline"/>
          </w:rPr>
          <w:t>28 U.S.C. § 2680(a)</w:t>
        </w:r>
      </w:hyperlink>
      <w:r>
        <w:rPr>
          <w:rFonts w:ascii="arial" w:eastAsia="arial" w:hAnsi="arial" w:cs="arial"/>
          <w:b/>
          <w:i w:val="0"/>
          <w:strike w:val="0"/>
          <w:noProof w:val="0"/>
          <w:color w:val="000000"/>
          <w:position w:val="0"/>
          <w:sz w:val="20"/>
          <w:u w:val="none"/>
          <w:vertAlign w:val="baseline"/>
        </w:rPr>
        <w:t xml:space="preserve"> applies to this case</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32" w:name="Bookmark_para_19"/>
      <w:bookmarkEnd w:id="32"/>
      <w:r>
        <w:rPr>
          <w:rFonts w:ascii="arial" w:eastAsia="arial" w:hAnsi="arial" w:cs="arial"/>
          <w:b w:val="0"/>
          <w:i w:val="0"/>
          <w:strike w:val="0"/>
          <w:noProof w:val="0"/>
          <w:color w:val="000000"/>
          <w:position w:val="0"/>
          <w:sz w:val="20"/>
          <w:u w:val="none"/>
          <w:vertAlign w:val="baseline"/>
        </w:rPr>
        <w:t>Defendant argues that the discretionary function exception to the sovereign immunity waiver bars the claims in this case. The Court agrees.</w:t>
      </w:r>
    </w:p>
    <w:p>
      <w:pPr>
        <w:keepNext w:val="0"/>
        <w:spacing w:before="240" w:after="0" w:line="260" w:lineRule="atLeast"/>
        <w:ind w:left="0" w:right="0" w:firstLine="0"/>
        <w:jc w:val="both"/>
      </w:pPr>
      <w:bookmarkStart w:id="33" w:name="Bookmark_para_20"/>
      <w:bookmarkEnd w:id="33"/>
      <w:bookmarkStart w:id="34" w:name="Bookmark_I68T3XJ428T40C0030000400"/>
      <w:bookmarkEnd w:id="34"/>
      <w:bookmarkStart w:id="35" w:name="Bookmark_I68T3XJ428T40C0050000400"/>
      <w:bookmarkEnd w:id="35"/>
      <w:r>
        <w:rPr>
          <w:rFonts w:ascii="arial" w:eastAsia="arial" w:hAnsi="arial" w:cs="arial"/>
          <w:b w:val="0"/>
          <w:i w:val="0"/>
          <w:strike w:val="0"/>
          <w:noProof w:val="0"/>
          <w:color w:val="000000"/>
          <w:position w:val="0"/>
          <w:sz w:val="20"/>
          <w:u w:val="none"/>
          <w:vertAlign w:val="baseline"/>
        </w:rPr>
        <w:t xml:space="preserve">"The concept of sovereign immunity means that the United States cannot be sued without its consent." </w:t>
      </w:r>
      <w:bookmarkStart w:id="36" w:name="Bookmark_I68T3XJ428T40C0020000400"/>
      <w:bookmarkEnd w:id="36"/>
      <w:hyperlink r:id="rId15" w:history="1">
        <w:r>
          <w:rPr>
            <w:rFonts w:ascii="arial" w:eastAsia="arial" w:hAnsi="arial" w:cs="arial"/>
            <w:b w:val="0"/>
            <w:i/>
            <w:strike w:val="0"/>
            <w:noProof w:val="0"/>
            <w:color w:val="0077CC"/>
            <w:position w:val="0"/>
            <w:sz w:val="20"/>
            <w:u w:val="single"/>
            <w:vertAlign w:val="baseline"/>
          </w:rPr>
          <w:t>Iowa Tribe of Kan. &amp; Neb. v. Salazar</w:t>
        </w:r>
      </w:hyperlink>
      <w:hyperlink r:id="rId15" w:history="1">
        <w:r>
          <w:rPr>
            <w:rFonts w:ascii="arial" w:eastAsia="arial" w:hAnsi="arial" w:cs="arial"/>
            <w:b w:val="0"/>
            <w:i/>
            <w:strike w:val="0"/>
            <w:noProof w:val="0"/>
            <w:color w:val="0077CC"/>
            <w:position w:val="0"/>
            <w:sz w:val="20"/>
            <w:u w:val="single"/>
            <w:vertAlign w:val="baseline"/>
          </w:rPr>
          <w:t>, 607 F.3d 1225, 1232 (10th Cir. 2010)</w:t>
        </w:r>
      </w:hyperlink>
      <w:r>
        <w:rPr>
          <w:rFonts w:ascii="arial" w:eastAsia="arial" w:hAnsi="arial" w:cs="arial"/>
          <w:b w:val="0"/>
          <w:i w:val="0"/>
          <w:strike w:val="0"/>
          <w:noProof w:val="0"/>
          <w:color w:val="000000"/>
          <w:position w:val="0"/>
          <w:sz w:val="20"/>
          <w:u w:val="none"/>
          <w:vertAlign w:val="baseline"/>
        </w:rPr>
        <w:t xml:space="preserve"> (quotations omitted). The FTCA provides "a limited waiver of [the United States'] sovereign immunity ... for certain torts of federal employees acting within the scope of their employment." </w:t>
      </w:r>
      <w:bookmarkStart w:id="37" w:name="Bookmark_I68T3XJ428T40C0040000400"/>
      <w:bookmarkEnd w:id="37"/>
      <w:hyperlink r:id="rId16" w:history="1">
        <w:r>
          <w:rPr>
            <w:rFonts w:ascii="arial" w:eastAsia="arial" w:hAnsi="arial" w:cs="arial"/>
            <w:b w:val="0"/>
            <w:i/>
            <w:strike w:val="0"/>
            <w:noProof w:val="0"/>
            <w:color w:val="0077CC"/>
            <w:position w:val="0"/>
            <w:sz w:val="20"/>
            <w:u w:val="single"/>
            <w:vertAlign w:val="baseline"/>
          </w:rPr>
          <w:t>United States v. Orleans</w:t>
        </w:r>
      </w:hyperlink>
      <w:hyperlink r:id="rId16" w:history="1">
        <w:r>
          <w:rPr>
            <w:rFonts w:ascii="arial" w:eastAsia="arial" w:hAnsi="arial" w:cs="arial"/>
            <w:b w:val="0"/>
            <w:i/>
            <w:strike w:val="0"/>
            <w:noProof w:val="0"/>
            <w:color w:val="0077CC"/>
            <w:position w:val="0"/>
            <w:sz w:val="20"/>
            <w:u w:val="single"/>
            <w:vertAlign w:val="baseline"/>
          </w:rPr>
          <w:t>, 425 U.S. 807, 813, 96 S.Ct. 1971, 48 L.Ed.2d 390 (1976)</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w:t>
      </w:r>
      <w:hyperlink r:id="rId17" w:history="1">
        <w:r>
          <w:rPr>
            <w:rFonts w:ascii="arial" w:eastAsia="arial" w:hAnsi="arial" w:cs="arial"/>
            <w:b w:val="0"/>
            <w:i/>
            <w:strike w:val="0"/>
            <w:noProof w:val="0"/>
            <w:color w:val="0077CC"/>
            <w:position w:val="0"/>
            <w:sz w:val="20"/>
            <w:u w:val="single"/>
            <w:vertAlign w:val="baseline"/>
          </w:rPr>
          <w:t>28 U.S.C. § 1346(b)(1)</w:t>
        </w:r>
      </w:hyperlink>
      <w:r>
        <w:rPr>
          <w:rFonts w:ascii="arial" w:eastAsia="arial" w:hAnsi="arial" w:cs="arial"/>
          <w:b w:val="0"/>
          <w:i w:val="0"/>
          <w:strike w:val="0"/>
          <w:noProof w:val="0"/>
          <w:color w:val="000000"/>
          <w:position w:val="0"/>
          <w:sz w:val="20"/>
          <w:u w:val="none"/>
          <w:vertAlign w:val="baseline"/>
        </w:rPr>
        <w:t xml:space="preserve">. </w:t>
      </w:r>
      <w:bookmarkStart w:id="38" w:name="Bookmark_I68T3XJ52HM6F40020000400"/>
      <w:bookmarkEnd w:id="38"/>
      <w:r>
        <w:rPr>
          <w:rFonts w:ascii="arial" w:eastAsia="arial" w:hAnsi="arial" w:cs="arial"/>
          <w:b w:val="0"/>
          <w:i w:val="0"/>
          <w:strike w:val="0"/>
          <w:noProof w:val="0"/>
          <w:color w:val="000000"/>
          <w:position w:val="0"/>
          <w:sz w:val="20"/>
          <w:u w:val="none"/>
          <w:vertAlign w:val="baseline"/>
        </w:rPr>
        <w:t xml:space="preserve">It includes exceptions to this limited waiver. </w:t>
      </w:r>
      <w:bookmarkStart w:id="39" w:name="Bookmark_I68T3XJ52HM6F40020000400_2"/>
      <w:bookmarkEnd w:id="39"/>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w:t>
      </w:r>
      <w:hyperlink r:id="rId11" w:history="1">
        <w:r>
          <w:rPr>
            <w:rFonts w:ascii="arial" w:eastAsia="arial" w:hAnsi="arial" w:cs="arial"/>
            <w:b w:val="0"/>
            <w:i/>
            <w:strike w:val="0"/>
            <w:noProof w:val="0"/>
            <w:color w:val="0077CC"/>
            <w:position w:val="0"/>
            <w:sz w:val="20"/>
            <w:u w:val="single"/>
            <w:vertAlign w:val="baseline"/>
          </w:rPr>
          <w:t>28 U.S.C. § 2680</w:t>
        </w:r>
      </w:hyperlink>
      <w:r>
        <w:rPr>
          <w:rFonts w:ascii="arial" w:eastAsia="arial" w:hAnsi="arial" w:cs="arial"/>
          <w:b w:val="0"/>
          <w:i w:val="0"/>
          <w:strike w:val="0"/>
          <w:noProof w:val="0"/>
          <w:color w:val="000000"/>
          <w:position w:val="0"/>
          <w:sz w:val="20"/>
          <w:u w:val="none"/>
          <w:vertAlign w:val="baseline"/>
        </w:rPr>
        <w:t>. "When an exception applies, sovereign</w:t>
      </w:r>
      <w:r>
        <w:rPr>
          <w:rFonts w:ascii="arial" w:eastAsia="arial" w:hAnsi="arial" w:cs="arial"/>
          <w:b/>
          <w:i w:val="0"/>
          <w:strike w:val="0"/>
          <w:noProof w:val="0"/>
          <w:color w:val="000000"/>
          <w:position w:val="0"/>
          <w:sz w:val="20"/>
          <w:u w:val="none"/>
          <w:vertAlign w:val="baseline"/>
        </w:rPr>
        <w:t> [*9] </w:t>
      </w:r>
      <w:r>
        <w:rPr>
          <w:rFonts w:ascii="arial" w:eastAsia="arial" w:hAnsi="arial" w:cs="arial"/>
          <w:b w:val="0"/>
          <w:i w:val="0"/>
          <w:strike w:val="0"/>
          <w:noProof w:val="0"/>
          <w:color w:val="000000"/>
          <w:position w:val="0"/>
          <w:sz w:val="20"/>
          <w:u w:val="none"/>
          <w:vertAlign w:val="baseline"/>
        </w:rPr>
        <w:t xml:space="preserve"> immunity remains, and federal courts lack jurisdiction." </w:t>
      </w:r>
      <w:bookmarkStart w:id="40" w:name="Bookmark_I68T3XJ52HM6F40010000400"/>
      <w:bookmarkEnd w:id="40"/>
      <w:hyperlink r:id="rId18" w:history="1">
        <w:r>
          <w:rPr>
            <w:rFonts w:ascii="arial" w:eastAsia="arial" w:hAnsi="arial" w:cs="arial"/>
            <w:b w:val="0"/>
            <w:i/>
            <w:strike w:val="0"/>
            <w:noProof w:val="0"/>
            <w:color w:val="0077CC"/>
            <w:position w:val="0"/>
            <w:sz w:val="20"/>
            <w:u w:val="single"/>
            <w:vertAlign w:val="baseline"/>
          </w:rPr>
          <w:t>Garling v. U.S. EPA</w:t>
        </w:r>
      </w:hyperlink>
      <w:hyperlink r:id="rId18" w:history="1">
        <w:r>
          <w:rPr>
            <w:rFonts w:ascii="arial" w:eastAsia="arial" w:hAnsi="arial" w:cs="arial"/>
            <w:b w:val="0"/>
            <w:i/>
            <w:strike w:val="0"/>
            <w:noProof w:val="0"/>
            <w:color w:val="0077CC"/>
            <w:position w:val="0"/>
            <w:sz w:val="20"/>
            <w:u w:val="single"/>
            <w:vertAlign w:val="baseline"/>
          </w:rPr>
          <w:t>, 849 F.3d 1289, 1294 (10th Cir. 2017)</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41" w:name="Bookmark_para_21"/>
      <w:bookmarkEnd w:id="41"/>
      <w:bookmarkStart w:id="42" w:name="Bookmark_I68T3XJ52HM6F40040000400"/>
      <w:bookmarkEnd w:id="42"/>
      <w:bookmarkStart w:id="43" w:name="Bookmark_I68T3XJ52N1R970010000400"/>
      <w:bookmarkEnd w:id="43"/>
      <w:r>
        <w:rPr>
          <w:rFonts w:ascii="arial" w:eastAsia="arial" w:hAnsi="arial" w:cs="arial"/>
          <w:b w:val="0"/>
          <w:i w:val="0"/>
          <w:strike w:val="0"/>
          <w:noProof w:val="0"/>
          <w:color w:val="000000"/>
          <w:position w:val="0"/>
          <w:sz w:val="20"/>
          <w:u w:val="none"/>
          <w:vertAlign w:val="baseline"/>
        </w:rPr>
        <w:t xml:space="preserve">Under the FTCA's discretionary function exception, the United States does not waive its immunity for claims "based upon the exercise or performance or the failure to exercise or perform a discretionary function or duty on the part of a federal agency or an employee of the Government, whether or not the discretion involved be abused." </w:t>
      </w:r>
      <w:hyperlink r:id="rId11" w:history="1">
        <w:r>
          <w:rPr>
            <w:rFonts w:ascii="arial" w:eastAsia="arial" w:hAnsi="arial" w:cs="arial"/>
            <w:b w:val="0"/>
            <w:i/>
            <w:strike w:val="0"/>
            <w:noProof w:val="0"/>
            <w:color w:val="0077CC"/>
            <w:position w:val="0"/>
            <w:sz w:val="20"/>
            <w:u w:val="single"/>
            <w:vertAlign w:val="baseline"/>
          </w:rPr>
          <w:t>28 U.S.C. § 2680(a)</w:t>
        </w:r>
      </w:hyperlink>
      <w:r>
        <w:rPr>
          <w:rFonts w:ascii="arial" w:eastAsia="arial" w:hAnsi="arial" w:cs="arial"/>
          <w:b w:val="0"/>
          <w:i w:val="0"/>
          <w:strike w:val="0"/>
          <w:noProof w:val="0"/>
          <w:color w:val="000000"/>
          <w:position w:val="0"/>
          <w:sz w:val="20"/>
          <w:u w:val="none"/>
          <w:vertAlign w:val="baseline"/>
        </w:rPr>
        <w:t xml:space="preserve">. "[T]he purpose of the exception is to prevent judicial second-guessing of legislative and administrative decisions grounded in social, economic, and political policy through the medium of an action in tort." </w:t>
      </w:r>
      <w:bookmarkStart w:id="44" w:name="Bookmark_I68T3XJ52HM6F40030000400"/>
      <w:bookmarkEnd w:id="44"/>
      <w:hyperlink r:id="rId19" w:history="1">
        <w:r>
          <w:rPr>
            <w:rFonts w:ascii="arial" w:eastAsia="arial" w:hAnsi="arial" w:cs="arial"/>
            <w:b w:val="0"/>
            <w:i/>
            <w:strike w:val="0"/>
            <w:noProof w:val="0"/>
            <w:color w:val="0077CC"/>
            <w:position w:val="0"/>
            <w:sz w:val="20"/>
            <w:u w:val="single"/>
            <w:vertAlign w:val="baseline"/>
          </w:rPr>
          <w:t>United States v. Gaubert</w:t>
        </w:r>
      </w:hyperlink>
      <w:hyperlink r:id="rId19" w:history="1">
        <w:r>
          <w:rPr>
            <w:rFonts w:ascii="arial" w:eastAsia="arial" w:hAnsi="arial" w:cs="arial"/>
            <w:b w:val="0"/>
            <w:i/>
            <w:strike w:val="0"/>
            <w:noProof w:val="0"/>
            <w:color w:val="0077CC"/>
            <w:position w:val="0"/>
            <w:sz w:val="20"/>
            <w:u w:val="single"/>
            <w:vertAlign w:val="baseline"/>
          </w:rPr>
          <w:t>, 499 U.S. 315, 323, 111 S.Ct. 1267, 113 L.Ed.2d 335 (1991)</w:t>
        </w:r>
      </w:hyperlink>
      <w:r>
        <w:rPr>
          <w:rFonts w:ascii="arial" w:eastAsia="arial" w:hAnsi="arial" w:cs="arial"/>
          <w:b w:val="0"/>
          <w:i w:val="0"/>
          <w:strike w:val="0"/>
          <w:noProof w:val="0"/>
          <w:color w:val="000000"/>
          <w:position w:val="0"/>
          <w:sz w:val="20"/>
          <w:u w:val="none"/>
          <w:vertAlign w:val="baseline"/>
        </w:rPr>
        <w:t xml:space="preserve"> (quotations omitted). "When determining whether government conduct falls within the discretionary function exception, courts apply the two-part test set forth in </w:t>
      </w:r>
      <w:bookmarkStart w:id="45" w:name="Bookmark_I68T3XJ52HM6F40050000400"/>
      <w:bookmarkEnd w:id="45"/>
      <w:hyperlink r:id="rId20" w:history="1">
        <w:r>
          <w:rPr>
            <w:rFonts w:ascii="arial" w:eastAsia="arial" w:hAnsi="arial" w:cs="arial"/>
            <w:b w:val="0"/>
            <w:i/>
            <w:strike w:val="0"/>
            <w:noProof w:val="0"/>
            <w:color w:val="0077CC"/>
            <w:position w:val="0"/>
            <w:sz w:val="20"/>
            <w:u w:val="single"/>
            <w:vertAlign w:val="baseline"/>
          </w:rPr>
          <w:t>Berkovitz v. United States</w:t>
        </w:r>
      </w:hyperlink>
      <w:hyperlink r:id="rId20" w:history="1">
        <w:r>
          <w:rPr>
            <w:rFonts w:ascii="arial" w:eastAsia="arial" w:hAnsi="arial" w:cs="arial"/>
            <w:b w:val="0"/>
            <w:i/>
            <w:strike w:val="0"/>
            <w:noProof w:val="0"/>
            <w:color w:val="0077CC"/>
            <w:position w:val="0"/>
            <w:sz w:val="20"/>
            <w:u w:val="single"/>
            <w:vertAlign w:val="baseline"/>
          </w:rPr>
          <w:t>, 486 U.S. 531, 536-37, 108 S.Ct. 1954, 100 L.Ed.2d 531 (1988)</w:t>
        </w:r>
      </w:hyperlink>
      <w:r>
        <w:rPr>
          <w:rFonts w:ascii="arial" w:eastAsia="arial" w:hAnsi="arial" w:cs="arial"/>
          <w:b w:val="0"/>
          <w:i w:val="0"/>
          <w:strike w:val="0"/>
          <w:noProof w:val="0"/>
          <w:color w:val="000000"/>
          <w:position w:val="0"/>
          <w:sz w:val="20"/>
          <w:u w:val="none"/>
          <w:vertAlign w:val="baseline"/>
        </w:rPr>
        <w:t xml:space="preserve">." </w:t>
      </w:r>
      <w:bookmarkStart w:id="46" w:name="Bookmark_I68T3XJ52N1R970020000400"/>
      <w:bookmarkEnd w:id="46"/>
      <w:hyperlink r:id="rId21" w:history="1">
        <w:r>
          <w:rPr>
            <w:rFonts w:ascii="arial" w:eastAsia="arial" w:hAnsi="arial" w:cs="arial"/>
            <w:b w:val="0"/>
            <w:i/>
            <w:strike w:val="0"/>
            <w:noProof w:val="0"/>
            <w:color w:val="0077CC"/>
            <w:position w:val="0"/>
            <w:sz w:val="20"/>
            <w:u w:val="single"/>
            <w:vertAlign w:val="baseline"/>
          </w:rPr>
          <w:t>Martinez v. United States</w:t>
        </w:r>
      </w:hyperlink>
      <w:hyperlink r:id="rId21" w:history="1">
        <w:r>
          <w:rPr>
            <w:rFonts w:ascii="arial" w:eastAsia="arial" w:hAnsi="arial" w:cs="arial"/>
            <w:b w:val="0"/>
            <w:i/>
            <w:strike w:val="0"/>
            <w:noProof w:val="0"/>
            <w:color w:val="0077CC"/>
            <w:position w:val="0"/>
            <w:sz w:val="20"/>
            <w:u w:val="single"/>
            <w:vertAlign w:val="baseline"/>
          </w:rPr>
          <w:t>, 822 F. App'x 671, 676 (10th Cir. 2020)</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 xml:space="preserve">citing </w:t>
      </w:r>
      <w:bookmarkStart w:id="47" w:name="Bookmark_I68T3XJ52N1R970040000400"/>
      <w:bookmarkEnd w:id="47"/>
      <w:hyperlink r:id="rId18" w:history="1">
        <w:r>
          <w:rPr>
            <w:rFonts w:ascii="arial" w:eastAsia="arial" w:hAnsi="arial" w:cs="arial"/>
            <w:b w:val="0"/>
            <w:i/>
            <w:strike w:val="0"/>
            <w:noProof w:val="0"/>
            <w:color w:val="0077CC"/>
            <w:position w:val="0"/>
            <w:sz w:val="20"/>
            <w:u w:val="single"/>
            <w:vertAlign w:val="baseline"/>
          </w:rPr>
          <w:t>Garling</w:t>
        </w:r>
      </w:hyperlink>
      <w:hyperlink r:id="rId18" w:history="1">
        <w:r>
          <w:rPr>
            <w:rFonts w:ascii="arial" w:eastAsia="arial" w:hAnsi="arial" w:cs="arial"/>
            <w:b w:val="0"/>
            <w:i/>
            <w:strike w:val="0"/>
            <w:noProof w:val="0"/>
            <w:color w:val="0077CC"/>
            <w:position w:val="0"/>
            <w:sz w:val="20"/>
            <w:u w:val="single"/>
            <w:vertAlign w:val="baseline"/>
          </w:rPr>
          <w:t>, 849 F.3d at 1295</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48" w:name="Bookmark_para_22"/>
      <w:bookmarkEnd w:id="48"/>
      <w:bookmarkStart w:id="49" w:name="Bookmark_I68T3XJ528T40R0020000400"/>
      <w:bookmarkEnd w:id="49"/>
      <w:bookmarkStart w:id="50" w:name="Bookmark_I68T3XJ72D6NGG0010000400"/>
      <w:bookmarkEnd w:id="50"/>
      <w:bookmarkStart w:id="51" w:name="Bookmark_I68T3XJ72D6NGG0050000400"/>
      <w:bookmarkEnd w:id="51"/>
      <w:r>
        <w:rPr>
          <w:rFonts w:ascii="arial" w:eastAsia="arial" w:hAnsi="arial" w:cs="arial"/>
          <w:b w:val="0"/>
          <w:i w:val="0"/>
          <w:strike w:val="0"/>
          <w:noProof w:val="0"/>
          <w:color w:val="000000"/>
          <w:position w:val="0"/>
          <w:sz w:val="20"/>
          <w:u w:val="none"/>
          <w:vertAlign w:val="baseline"/>
        </w:rPr>
        <w:t xml:space="preserve">"Because the discretionary function exception is jurisdictional, the burden is on [the plaintiff] to prove that it does not apply." </w:t>
      </w:r>
      <w:bookmarkStart w:id="52" w:name="Bookmark_I68T3XJ528T40R0010000400"/>
      <w:bookmarkEnd w:id="52"/>
      <w:hyperlink r:id="rId22" w:history="1">
        <w:r>
          <w:rPr>
            <w:rFonts w:ascii="arial" w:eastAsia="arial" w:hAnsi="arial" w:cs="arial"/>
            <w:b w:val="0"/>
            <w:i/>
            <w:strike w:val="0"/>
            <w:noProof w:val="0"/>
            <w:color w:val="0077CC"/>
            <w:position w:val="0"/>
            <w:sz w:val="20"/>
            <w:u w:val="single"/>
            <w:vertAlign w:val="baseline"/>
          </w:rPr>
          <w:t>Hardscrabble Ranch, L.L.C. v. United States</w:t>
        </w:r>
      </w:hyperlink>
      <w:hyperlink r:id="rId22" w:history="1">
        <w:r>
          <w:rPr>
            <w:rFonts w:ascii="arial" w:eastAsia="arial" w:hAnsi="arial" w:cs="arial"/>
            <w:b w:val="0"/>
            <w:i/>
            <w:strike w:val="0"/>
            <w:noProof w:val="0"/>
            <w:color w:val="0077CC"/>
            <w:position w:val="0"/>
            <w:sz w:val="20"/>
            <w:u w:val="single"/>
            <w:vertAlign w:val="baseline"/>
          </w:rPr>
          <w:t>, 840 F.3d 1216, 1220 (10th Cir. 2016)</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 xml:space="preserve">accord </w:t>
      </w:r>
      <w:bookmarkStart w:id="53" w:name="Bookmark_I68T3XJ528T40R0030000400"/>
      <w:bookmarkEnd w:id="53"/>
      <w:hyperlink r:id="rId23" w:history="1">
        <w:r>
          <w:rPr>
            <w:rFonts w:ascii="arial" w:eastAsia="arial" w:hAnsi="arial" w:cs="arial"/>
            <w:b w:val="0"/>
            <w:i/>
            <w:strike w:val="0"/>
            <w:noProof w:val="0"/>
            <w:color w:val="0077CC"/>
            <w:position w:val="0"/>
            <w:sz w:val="20"/>
            <w:u w:val="single"/>
            <w:vertAlign w:val="baseline"/>
          </w:rPr>
          <w:t>Aragon v. United States</w:t>
        </w:r>
      </w:hyperlink>
      <w:hyperlink r:id="rId23" w:history="1">
        <w:r>
          <w:rPr>
            <w:rFonts w:ascii="arial" w:eastAsia="arial" w:hAnsi="arial" w:cs="arial"/>
            <w:b w:val="0"/>
            <w:i/>
            <w:strike w:val="0"/>
            <w:noProof w:val="0"/>
            <w:color w:val="0077CC"/>
            <w:position w:val="0"/>
            <w:sz w:val="20"/>
            <w:u w:val="single"/>
            <w:vertAlign w:val="baseline"/>
          </w:rPr>
          <w:t>, 146 F.3d 819, 823 (10th Cir. 1998)</w:t>
        </w:r>
      </w:hyperlink>
      <w:r>
        <w:rPr>
          <w:rFonts w:ascii="arial" w:eastAsia="arial" w:hAnsi="arial" w:cs="arial"/>
          <w:b w:val="0"/>
          <w:i w:val="0"/>
          <w:strike w:val="0"/>
          <w:noProof w:val="0"/>
          <w:color w:val="000000"/>
          <w:position w:val="0"/>
          <w:sz w:val="20"/>
          <w:u w:val="none"/>
          <w:vertAlign w:val="baseline"/>
        </w:rPr>
        <w:t xml:space="preserve"> ("The discretionary function exception poses a jurisdictional prerequisite to suit, which the plaintiff must ultimately meet as part of his overall burden to establish subject matter jurisdiction." (quotations omitted) ). If the plaintiff fails to make the necessary showing under</w:t>
      </w:r>
      <w:r>
        <w:rPr>
          <w:rFonts w:ascii="arial" w:eastAsia="arial" w:hAnsi="arial" w:cs="arial"/>
          <w:b/>
          <w:i w:val="0"/>
          <w:strike w:val="0"/>
          <w:noProof w:val="0"/>
          <w:color w:val="000000"/>
          <w:position w:val="0"/>
          <w:sz w:val="20"/>
          <w:u w:val="none"/>
          <w:vertAlign w:val="baseline"/>
        </w:rPr>
        <w:t> [*10] </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Berkovitz</w:t>
      </w:r>
      <w:r>
        <w:rPr>
          <w:rFonts w:ascii="arial" w:eastAsia="arial" w:hAnsi="arial" w:cs="arial"/>
          <w:b w:val="0"/>
          <w:i w:val="0"/>
          <w:strike w:val="0"/>
          <w:noProof w:val="0"/>
          <w:color w:val="000000"/>
          <w:position w:val="0"/>
          <w:sz w:val="20"/>
          <w:u w:val="none"/>
          <w:vertAlign w:val="baseline"/>
        </w:rPr>
        <w:t xml:space="preserve">, "[t]he [discretionary function] exception applies even if the governmental employees were negligent." </w:t>
      </w:r>
      <w:bookmarkStart w:id="54" w:name="Bookmark_I68T3XJ528T40R0050000400"/>
      <w:bookmarkEnd w:id="54"/>
      <w:hyperlink r:id="rId23" w:history="1">
        <w:r>
          <w:rPr>
            <w:rFonts w:ascii="arial" w:eastAsia="arial" w:hAnsi="arial" w:cs="arial"/>
            <w:b w:val="0"/>
            <w:i/>
            <w:strike w:val="0"/>
            <w:noProof w:val="0"/>
            <w:color w:val="0077CC"/>
            <w:position w:val="0"/>
            <w:sz w:val="20"/>
            <w:u w:val="single"/>
            <w:vertAlign w:val="baseline"/>
          </w:rPr>
          <w:t>Aragon</w:t>
        </w:r>
      </w:hyperlink>
      <w:hyperlink r:id="rId23" w:history="1">
        <w:r>
          <w:rPr>
            <w:rFonts w:ascii="arial" w:eastAsia="arial" w:hAnsi="arial" w:cs="arial"/>
            <w:b w:val="0"/>
            <w:i/>
            <w:strike w:val="0"/>
            <w:noProof w:val="0"/>
            <w:color w:val="0077CC"/>
            <w:position w:val="0"/>
            <w:sz w:val="20"/>
            <w:u w:val="single"/>
            <w:vertAlign w:val="baseline"/>
          </w:rPr>
          <w:t>, 146 F.3d at 822</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 xml:space="preserve">quoted in </w:t>
      </w:r>
      <w:bookmarkStart w:id="55" w:name="Bookmark_I68T3XJ72D6NGG0020000400"/>
      <w:bookmarkEnd w:id="55"/>
      <w:hyperlink r:id="rId21" w:history="1">
        <w:r>
          <w:rPr>
            <w:rFonts w:ascii="arial" w:eastAsia="arial" w:hAnsi="arial" w:cs="arial"/>
            <w:b w:val="0"/>
            <w:i/>
            <w:strike w:val="0"/>
            <w:noProof w:val="0"/>
            <w:color w:val="0077CC"/>
            <w:position w:val="0"/>
            <w:sz w:val="20"/>
            <w:u w:val="single"/>
            <w:vertAlign w:val="baseline"/>
          </w:rPr>
          <w:t>Martinez v. United States</w:t>
        </w:r>
      </w:hyperlink>
      <w:hyperlink r:id="rId21" w:history="1">
        <w:r>
          <w:rPr>
            <w:rFonts w:ascii="arial" w:eastAsia="arial" w:hAnsi="arial" w:cs="arial"/>
            <w:b w:val="0"/>
            <w:i/>
            <w:strike w:val="0"/>
            <w:noProof w:val="0"/>
            <w:color w:val="0077CC"/>
            <w:position w:val="0"/>
            <w:sz w:val="20"/>
            <w:u w:val="single"/>
            <w:vertAlign w:val="baseline"/>
          </w:rPr>
          <w:t>, 822 F. App'x 671, 676-77 (10th Cir. 2020)</w:t>
        </w:r>
      </w:hyperlink>
      <w:r>
        <w:rPr>
          <w:rFonts w:ascii="arial" w:eastAsia="arial" w:hAnsi="arial" w:cs="arial"/>
          <w:b w:val="0"/>
          <w:i w:val="0"/>
          <w:strike w:val="0"/>
          <w:noProof w:val="0"/>
          <w:color w:val="000000"/>
          <w:position w:val="0"/>
          <w:sz w:val="20"/>
          <w:u w:val="none"/>
          <w:vertAlign w:val="baseline"/>
        </w:rPr>
        <w:t xml:space="preserve">. "Because the exception applies whether or not the discretion involved was abused, it is irrelevant whether the government employees were negligent." </w:t>
      </w:r>
      <w:bookmarkStart w:id="56" w:name="Bookmark_I68T3XJ72D6NGG0040000400"/>
      <w:bookmarkEnd w:id="56"/>
      <w:hyperlink r:id="rId24" w:history="1">
        <w:r>
          <w:rPr>
            <w:rFonts w:ascii="arial" w:eastAsia="arial" w:hAnsi="arial" w:cs="arial"/>
            <w:b w:val="0"/>
            <w:i/>
            <w:strike w:val="0"/>
            <w:noProof w:val="0"/>
            <w:color w:val="0077CC"/>
            <w:position w:val="0"/>
            <w:sz w:val="20"/>
            <w:u w:val="single"/>
            <w:vertAlign w:val="baseline"/>
          </w:rPr>
          <w:t>Elder v. United States</w:t>
        </w:r>
      </w:hyperlink>
      <w:hyperlink r:id="rId24" w:history="1">
        <w:r>
          <w:rPr>
            <w:rFonts w:ascii="arial" w:eastAsia="arial" w:hAnsi="arial" w:cs="arial"/>
            <w:b w:val="0"/>
            <w:i/>
            <w:strike w:val="0"/>
            <w:noProof w:val="0"/>
            <w:color w:val="0077CC"/>
            <w:position w:val="0"/>
            <w:sz w:val="20"/>
            <w:u w:val="single"/>
            <w:vertAlign w:val="baseline"/>
          </w:rPr>
          <w:t>, 312 F.3d 1172, 1176 (10th Cir. 2002)</w:t>
        </w:r>
      </w:hyperlink>
      <w:r>
        <w:rPr>
          <w:rFonts w:ascii="arial" w:eastAsia="arial" w:hAnsi="arial" w:cs="arial"/>
          <w:b w:val="0"/>
          <w:i w:val="0"/>
          <w:strike w:val="0"/>
          <w:noProof w:val="0"/>
          <w:color w:val="000000"/>
          <w:position w:val="0"/>
          <w:sz w:val="20"/>
          <w:u w:val="none"/>
          <w:vertAlign w:val="baseline"/>
        </w:rPr>
        <w:t xml:space="preserve"> (internal quotation marks omitted). (brackets and internal question marks omitted).</w:t>
      </w:r>
    </w:p>
    <w:p>
      <w:pPr>
        <w:keepNext w:val="0"/>
        <w:spacing w:before="200" w:after="0" w:line="260" w:lineRule="atLeast"/>
        <w:ind w:left="0" w:right="0" w:firstLine="0"/>
        <w:jc w:val="both"/>
      </w:pPr>
      <w:bookmarkStart w:id="57" w:name="Bookmark_para_23"/>
      <w:bookmarkEnd w:id="57"/>
      <w:bookmarkStart w:id="58" w:name="Bookmark_I2DTJWP1JJ300003D5D00001"/>
      <w:bookmarkEnd w:id="58"/>
      <w:bookmarkStart w:id="59" w:name="Bookmark_I2DTJWP1PT900003D5D00002"/>
      <w:bookmarkEnd w:id="59"/>
      <w:bookmarkStart w:id="60" w:name="Bookmark_I68T3XJ72D6NGK0020000400"/>
      <w:bookmarkEnd w:id="60"/>
      <w:r>
        <w:rPr>
          <w:rFonts w:ascii="arial" w:eastAsia="arial" w:hAnsi="arial" w:cs="arial"/>
          <w:b w:val="0"/>
          <w:i w:val="0"/>
          <w:strike w:val="0"/>
          <w:noProof w:val="0"/>
          <w:color w:val="000000"/>
          <w:position w:val="0"/>
          <w:sz w:val="20"/>
          <w:u w:val="none"/>
          <w:vertAlign w:val="baseline"/>
        </w:rPr>
        <w:t xml:space="preserve">To determine whether the discretionary function exception applies, the Court applies the </w:t>
      </w:r>
      <w:r>
        <w:rPr>
          <w:rFonts w:ascii="arial" w:eastAsia="arial" w:hAnsi="arial" w:cs="arial"/>
          <w:b w:val="0"/>
          <w:i/>
          <w:strike w:val="0"/>
          <w:noProof w:val="0"/>
          <w:color w:val="000000"/>
          <w:position w:val="0"/>
          <w:sz w:val="20"/>
          <w:u w:val="none"/>
          <w:vertAlign w:val="baseline"/>
        </w:rPr>
        <w:t>Berkovitz</w:t>
      </w:r>
      <w:r>
        <w:rPr>
          <w:rFonts w:ascii="arial" w:eastAsia="arial" w:hAnsi="arial" w:cs="arial"/>
          <w:b w:val="0"/>
          <w:i w:val="0"/>
          <w:strike w:val="0"/>
          <w:noProof w:val="0"/>
          <w:color w:val="000000"/>
          <w:position w:val="0"/>
          <w:sz w:val="20"/>
          <w:u w:val="none"/>
          <w:vertAlign w:val="baseline"/>
        </w:rPr>
        <w:t xml:space="preserve"> test: (1) whether the conduct is discretionary, </w:t>
      </w:r>
      <w:r>
        <w:rPr>
          <w:rFonts w:ascii="arial" w:eastAsia="arial" w:hAnsi="arial" w:cs="arial"/>
          <w:b w:val="0"/>
          <w:i/>
          <w:strike w:val="0"/>
          <w:noProof w:val="0"/>
          <w:color w:val="000000"/>
          <w:position w:val="0"/>
          <w:sz w:val="20"/>
          <w:u w:val="none"/>
          <w:vertAlign w:val="baseline"/>
        </w:rPr>
        <w:t>i.e.</w:t>
      </w:r>
      <w:r>
        <w:rPr>
          <w:rFonts w:ascii="arial" w:eastAsia="arial" w:hAnsi="arial" w:cs="arial"/>
          <w:b w:val="0"/>
          <w:i w:val="0"/>
          <w:strike w:val="0"/>
          <w:noProof w:val="0"/>
          <w:color w:val="000000"/>
          <w:position w:val="0"/>
          <w:sz w:val="20"/>
          <w:u w:val="none"/>
          <w:vertAlign w:val="baseline"/>
        </w:rPr>
        <w:t xml:space="preserve">, it involves an element of judgment or choice, and (2) whether it requires the exercise of judgment based on considerations of policy. </w:t>
      </w:r>
      <w:bookmarkStart w:id="61" w:name="Bookmark_I68T3XJ72D6NGK0010000400"/>
      <w:bookmarkEnd w:id="61"/>
      <w:hyperlink r:id="rId25" w:history="1">
        <w:r>
          <w:rPr>
            <w:rFonts w:ascii="arial" w:eastAsia="arial" w:hAnsi="arial" w:cs="arial"/>
            <w:b w:val="0"/>
            <w:i/>
            <w:strike w:val="0"/>
            <w:noProof w:val="0"/>
            <w:color w:val="0077CC"/>
            <w:position w:val="0"/>
            <w:sz w:val="20"/>
            <w:u w:val="single"/>
            <w:vertAlign w:val="baseline"/>
          </w:rPr>
          <w:t>Awad v. United States</w:t>
        </w:r>
      </w:hyperlink>
      <w:hyperlink r:id="rId25" w:history="1">
        <w:r>
          <w:rPr>
            <w:rFonts w:ascii="arial" w:eastAsia="arial" w:hAnsi="arial" w:cs="arial"/>
            <w:b w:val="0"/>
            <w:i/>
            <w:strike w:val="0"/>
            <w:noProof w:val="0"/>
            <w:color w:val="0077CC"/>
            <w:position w:val="0"/>
            <w:sz w:val="20"/>
            <w:u w:val="single"/>
            <w:vertAlign w:val="baseline"/>
          </w:rPr>
          <w:t>, 807 F. App'x 876, 878-79 (10th Cir. 2020)</w:t>
        </w:r>
      </w:hyperlink>
      <w:r>
        <w:rPr>
          <w:rFonts w:ascii="arial" w:eastAsia="arial" w:hAnsi="arial" w:cs="arial"/>
          <w:b w:val="0"/>
          <w:i w:val="0"/>
          <w:strike w:val="0"/>
          <w:noProof w:val="0"/>
          <w:color w:val="000000"/>
          <w:position w:val="0"/>
          <w:sz w:val="20"/>
          <w:u w:val="none"/>
          <w:vertAlign w:val="baseline"/>
        </w:rPr>
        <w:t xml:space="preserve">, </w:t>
      </w:r>
      <w:bookmarkStart w:id="62" w:name="Bookmark_I68T3XJ72D6NGK0030000400"/>
      <w:bookmarkEnd w:id="62"/>
      <w:hyperlink r:id="rId20" w:history="1">
        <w:r>
          <w:rPr>
            <w:rFonts w:ascii="arial" w:eastAsia="arial" w:hAnsi="arial" w:cs="arial"/>
            <w:b w:val="0"/>
            <w:i/>
            <w:strike w:val="0"/>
            <w:noProof w:val="0"/>
            <w:color w:val="0077CC"/>
            <w:position w:val="0"/>
            <w:sz w:val="20"/>
            <w:u w:val="single"/>
            <w:vertAlign w:val="baseline"/>
          </w:rPr>
          <w:t>Berkovitz v. United States</w:t>
        </w:r>
      </w:hyperlink>
      <w:hyperlink r:id="rId20" w:history="1">
        <w:r>
          <w:rPr>
            <w:rFonts w:ascii="arial" w:eastAsia="arial" w:hAnsi="arial" w:cs="arial"/>
            <w:b w:val="0"/>
            <w:i/>
            <w:strike w:val="0"/>
            <w:noProof w:val="0"/>
            <w:color w:val="0077CC"/>
            <w:position w:val="0"/>
            <w:sz w:val="20"/>
            <w:u w:val="single"/>
            <w:vertAlign w:val="baseline"/>
          </w:rPr>
          <w:t>, 486 U.S. 531, 536, 108 S.Ct. 1954, 100 L.Ed.2d 531 (1988)</w:t>
        </w:r>
      </w:hyperlink>
      <w:r>
        <w:rPr>
          <w:rFonts w:ascii="arial" w:eastAsia="arial" w:hAnsi="arial" w:cs="arial"/>
          <w:b w:val="0"/>
          <w:i w:val="0"/>
          <w:strike w:val="0"/>
          <w:noProof w:val="0"/>
          <w:color w:val="000000"/>
          <w:position w:val="0"/>
          <w:sz w:val="20"/>
          <w:u w:val="none"/>
          <w:vertAlign w:val="baseline"/>
        </w:rPr>
        <w:t xml:space="preserve">. "If both prongs of the </w:t>
      </w:r>
      <w:r>
        <w:rPr>
          <w:rFonts w:ascii="arial" w:eastAsia="arial" w:hAnsi="arial" w:cs="arial"/>
          <w:b w:val="0"/>
          <w:i/>
          <w:strike w:val="0"/>
          <w:noProof w:val="0"/>
          <w:color w:val="000000"/>
          <w:position w:val="0"/>
          <w:sz w:val="20"/>
          <w:u w:val="none"/>
          <w:vertAlign w:val="baseline"/>
        </w:rPr>
        <w:t>Berkovitz</w:t>
      </w:r>
      <w:r>
        <w:rPr>
          <w:rFonts w:ascii="arial" w:eastAsia="arial" w:hAnsi="arial" w:cs="arial"/>
          <w:b w:val="0"/>
          <w:i w:val="0"/>
          <w:strike w:val="0"/>
          <w:noProof w:val="0"/>
          <w:color w:val="000000"/>
          <w:position w:val="0"/>
          <w:sz w:val="20"/>
          <w:u w:val="none"/>
          <w:vertAlign w:val="baseline"/>
        </w:rPr>
        <w:t xml:space="preserve"> test are satisfied, the discretionary function exception applies, the court lacks jurisdiction, and the claim is barred." </w:t>
      </w:r>
      <w:r>
        <w:rPr>
          <w:rFonts w:ascii="arial" w:eastAsia="arial" w:hAnsi="arial" w:cs="arial"/>
          <w:b w:val="0"/>
          <w:i/>
          <w:strike w:val="0"/>
          <w:noProof w:val="0"/>
          <w:color w:val="000000"/>
          <w:position w:val="0"/>
          <w:sz w:val="20"/>
          <w:u w:val="none"/>
          <w:vertAlign w:val="baseline"/>
        </w:rPr>
        <w:t>Id.</w:t>
      </w:r>
    </w:p>
    <w:p>
      <w:pPr>
        <w:keepNext w:val="0"/>
        <w:spacing w:before="240" w:after="0" w:line="260" w:lineRule="atLeast"/>
        <w:ind w:left="0" w:right="0" w:firstLine="0"/>
        <w:jc w:val="both"/>
      </w:pPr>
      <w:bookmarkStart w:id="63" w:name="Bookmark_para_24"/>
      <w:bookmarkEnd w:id="63"/>
      <w:r>
        <w:rPr>
          <w:rFonts w:ascii="arial" w:eastAsia="arial" w:hAnsi="arial" w:cs="arial"/>
          <w:b w:val="0"/>
          <w:i w:val="0"/>
          <w:strike w:val="0"/>
          <w:noProof w:val="0"/>
          <w:color w:val="000000"/>
          <w:position w:val="0"/>
          <w:sz w:val="20"/>
          <w:u w:val="none"/>
          <w:vertAlign w:val="baseline"/>
        </w:rPr>
        <w:t xml:space="preserve">Here, Defendant asserts that the discretionary function applies under this test, and Plaintiff does not contest Defendant's application of the </w:t>
      </w:r>
      <w:r>
        <w:rPr>
          <w:rFonts w:ascii="arial" w:eastAsia="arial" w:hAnsi="arial" w:cs="arial"/>
          <w:b w:val="0"/>
          <w:i/>
          <w:strike w:val="0"/>
          <w:noProof w:val="0"/>
          <w:color w:val="000000"/>
          <w:position w:val="0"/>
          <w:sz w:val="20"/>
          <w:u w:val="none"/>
          <w:vertAlign w:val="baseline"/>
        </w:rPr>
        <w:t>Berkovitz</w:t>
      </w:r>
      <w:r>
        <w:rPr>
          <w:rFonts w:ascii="arial" w:eastAsia="arial" w:hAnsi="arial" w:cs="arial"/>
          <w:b w:val="0"/>
          <w:i w:val="0"/>
          <w:strike w:val="0"/>
          <w:noProof w:val="0"/>
          <w:color w:val="000000"/>
          <w:position w:val="0"/>
          <w:sz w:val="20"/>
          <w:u w:val="none"/>
          <w:vertAlign w:val="baseline"/>
        </w:rPr>
        <w:t xml:space="preserve"> test. Rather, Plaintiff asserts that the discretionary function exception to the sovereign immunity waiver is overridden by another subsection of </w:t>
      </w:r>
      <w:hyperlink r:id="rId11" w:history="1">
        <w:r>
          <w:rPr>
            <w:rFonts w:ascii="arial" w:eastAsia="arial" w:hAnsi="arial" w:cs="arial"/>
            <w:b w:val="0"/>
            <w:i/>
            <w:strike w:val="0"/>
            <w:noProof w:val="0"/>
            <w:color w:val="0077CC"/>
            <w:position w:val="0"/>
            <w:sz w:val="20"/>
            <w:u w:val="single"/>
            <w:vertAlign w:val="baseline"/>
          </w:rPr>
          <w:t>§ 2680</w:t>
        </w:r>
      </w:hyperlink>
      <w:r>
        <w:rPr>
          <w:rFonts w:ascii="arial" w:eastAsia="arial" w:hAnsi="arial" w:cs="arial"/>
          <w:b w:val="0"/>
          <w:i w:val="0"/>
          <w:strike w:val="0"/>
          <w:noProof w:val="0"/>
          <w:color w:val="000000"/>
          <w:position w:val="0"/>
          <w:sz w:val="20"/>
          <w:u w:val="none"/>
          <w:vertAlign w:val="baseline"/>
        </w:rPr>
        <w:t xml:space="preserve">. </w:t>
      </w:r>
      <w:bookmarkStart w:id="64" w:name="Bookmark_I68T3XJ72D6NGN0010000400"/>
      <w:bookmarkEnd w:id="64"/>
      <w:r>
        <w:rPr>
          <w:rFonts w:ascii="arial" w:eastAsia="arial" w:hAnsi="arial" w:cs="arial"/>
          <w:b w:val="0"/>
          <w:i w:val="0"/>
          <w:strike w:val="0"/>
          <w:noProof w:val="0"/>
          <w:color w:val="000000"/>
          <w:position w:val="0"/>
          <w:sz w:val="20"/>
          <w:u w:val="none"/>
          <w:vertAlign w:val="baseline"/>
        </w:rPr>
        <w:t>As explained below, the Court disagrees with Plaintiff's argument. As explained below, Plaintiff</w:t>
      </w:r>
      <w:r>
        <w:rPr>
          <w:rFonts w:ascii="arial" w:eastAsia="arial" w:hAnsi="arial" w:cs="arial"/>
          <w:b/>
          <w:i w:val="0"/>
          <w:strike w:val="0"/>
          <w:noProof w:val="0"/>
          <w:color w:val="000000"/>
          <w:position w:val="0"/>
          <w:sz w:val="20"/>
          <w:u w:val="none"/>
          <w:vertAlign w:val="baseline"/>
        </w:rPr>
        <w:t> [*11] </w:t>
      </w:r>
      <w:r>
        <w:rPr>
          <w:rFonts w:ascii="arial" w:eastAsia="arial" w:hAnsi="arial" w:cs="arial"/>
          <w:b w:val="0"/>
          <w:i w:val="0"/>
          <w:strike w:val="0"/>
          <w:noProof w:val="0"/>
          <w:color w:val="000000"/>
          <w:position w:val="0"/>
          <w:sz w:val="20"/>
          <w:u w:val="none"/>
          <w:vertAlign w:val="baseline"/>
        </w:rPr>
        <w:t xml:space="preserve"> does not contest the application of the </w:t>
      </w:r>
      <w:r>
        <w:rPr>
          <w:rFonts w:ascii="arial" w:eastAsia="arial" w:hAnsi="arial" w:cs="arial"/>
          <w:b w:val="0"/>
          <w:i/>
          <w:strike w:val="0"/>
          <w:noProof w:val="0"/>
          <w:color w:val="000000"/>
          <w:position w:val="0"/>
          <w:sz w:val="20"/>
          <w:u w:val="none"/>
          <w:vertAlign w:val="baseline"/>
        </w:rPr>
        <w:t>Berkovitz</w:t>
      </w:r>
      <w:r>
        <w:rPr>
          <w:rFonts w:ascii="arial" w:eastAsia="arial" w:hAnsi="arial" w:cs="arial"/>
          <w:b w:val="0"/>
          <w:i w:val="0"/>
          <w:strike w:val="0"/>
          <w:noProof w:val="0"/>
          <w:color w:val="000000"/>
          <w:position w:val="0"/>
          <w:sz w:val="20"/>
          <w:u w:val="none"/>
          <w:vertAlign w:val="baseline"/>
        </w:rPr>
        <w:t xml:space="preserve"> test here, and the Court concludes that the discretionary function exception to the sovereign immunity waiver applies. </w:t>
      </w:r>
      <w:bookmarkStart w:id="65" w:name="Bookmark_I68T3XJ72D6NGK0050000400"/>
      <w:bookmarkEnd w:id="65"/>
      <w:hyperlink r:id="rId22" w:history="1">
        <w:r>
          <w:rPr>
            <w:rFonts w:ascii="arial" w:eastAsia="arial" w:hAnsi="arial" w:cs="arial"/>
            <w:b w:val="0"/>
            <w:i/>
            <w:strike w:val="0"/>
            <w:noProof w:val="0"/>
            <w:color w:val="0077CC"/>
            <w:position w:val="0"/>
            <w:sz w:val="20"/>
            <w:u w:val="single"/>
            <w:vertAlign w:val="baseline"/>
          </w:rPr>
          <w:t>Hardscrabble Ranch, L.L.C. v. United States</w:t>
        </w:r>
      </w:hyperlink>
      <w:hyperlink r:id="rId22" w:history="1">
        <w:r>
          <w:rPr>
            <w:rFonts w:ascii="arial" w:eastAsia="arial" w:hAnsi="arial" w:cs="arial"/>
            <w:b w:val="0"/>
            <w:i/>
            <w:strike w:val="0"/>
            <w:noProof w:val="0"/>
            <w:color w:val="0077CC"/>
            <w:position w:val="0"/>
            <w:sz w:val="20"/>
            <w:u w:val="single"/>
            <w:vertAlign w:val="baseline"/>
          </w:rPr>
          <w:t>, 840 F.3d 1216, 1220 (10th Cir. 2016)</w:t>
        </w:r>
      </w:hyperlink>
      <w:r>
        <w:rPr>
          <w:rFonts w:ascii="arial" w:eastAsia="arial" w:hAnsi="arial" w:cs="arial"/>
          <w:b w:val="0"/>
          <w:i w:val="0"/>
          <w:strike w:val="0"/>
          <w:noProof w:val="0"/>
          <w:color w:val="000000"/>
          <w:position w:val="0"/>
          <w:sz w:val="20"/>
          <w:u w:val="none"/>
          <w:vertAlign w:val="baseline"/>
        </w:rPr>
        <w:t xml:space="preserve"> ("Because the discretionary function exception is jurisdictional, the burden is on [the plaintiff] to prove that it does not apply.").</w:t>
      </w:r>
    </w:p>
    <w:p>
      <w:pPr>
        <w:keepNext w:val="0"/>
        <w:spacing w:before="240" w:after="0" w:line="260" w:lineRule="atLeast"/>
        <w:ind w:left="0" w:right="0" w:firstLine="0"/>
        <w:jc w:val="both"/>
      </w:pPr>
      <w:bookmarkStart w:id="66" w:name="Bookmark_para_25"/>
      <w:bookmarkEnd w:id="66"/>
      <w:bookmarkStart w:id="67" w:name="Bookmark_I68T3XJ72D6NGN0030000400"/>
      <w:bookmarkEnd w:id="67"/>
      <w:r>
        <w:rPr>
          <w:rFonts w:ascii="arial" w:eastAsia="arial" w:hAnsi="arial" w:cs="arial"/>
          <w:b w:val="0"/>
          <w:i w:val="0"/>
          <w:strike w:val="0"/>
          <w:noProof w:val="0"/>
          <w:color w:val="000000"/>
          <w:position w:val="0"/>
          <w:sz w:val="20"/>
          <w:u w:val="none"/>
          <w:vertAlign w:val="baseline"/>
        </w:rPr>
        <w:t xml:space="preserve">As to the first prong of the </w:t>
      </w:r>
      <w:r>
        <w:rPr>
          <w:rFonts w:ascii="arial" w:eastAsia="arial" w:hAnsi="arial" w:cs="arial"/>
          <w:b w:val="0"/>
          <w:i/>
          <w:strike w:val="0"/>
          <w:noProof w:val="0"/>
          <w:color w:val="000000"/>
          <w:position w:val="0"/>
          <w:sz w:val="20"/>
          <w:u w:val="none"/>
          <w:vertAlign w:val="baseline"/>
        </w:rPr>
        <w:t>Berkovitz</w:t>
      </w:r>
      <w:r>
        <w:rPr>
          <w:rFonts w:ascii="arial" w:eastAsia="arial" w:hAnsi="arial" w:cs="arial"/>
          <w:b w:val="0"/>
          <w:i w:val="0"/>
          <w:strike w:val="0"/>
          <w:noProof w:val="0"/>
          <w:color w:val="000000"/>
          <w:position w:val="0"/>
          <w:sz w:val="20"/>
          <w:u w:val="none"/>
          <w:vertAlign w:val="baseline"/>
        </w:rPr>
        <w:t xml:space="preserve"> test, it is undisputed that the conduct was discretionary, </w:t>
      </w:r>
      <w:r>
        <w:rPr>
          <w:rFonts w:ascii="arial" w:eastAsia="arial" w:hAnsi="arial" w:cs="arial"/>
          <w:b w:val="0"/>
          <w:i/>
          <w:strike w:val="0"/>
          <w:noProof w:val="0"/>
          <w:color w:val="000000"/>
          <w:position w:val="0"/>
          <w:sz w:val="20"/>
          <w:u w:val="none"/>
          <w:vertAlign w:val="baseline"/>
        </w:rPr>
        <w:t>i.e.</w:t>
      </w:r>
      <w:r>
        <w:rPr>
          <w:rFonts w:ascii="arial" w:eastAsia="arial" w:hAnsi="arial" w:cs="arial"/>
          <w:b w:val="0"/>
          <w:i w:val="0"/>
          <w:strike w:val="0"/>
          <w:noProof w:val="0"/>
          <w:color w:val="000000"/>
          <w:position w:val="0"/>
          <w:sz w:val="20"/>
          <w:u w:val="none"/>
          <w:vertAlign w:val="baseline"/>
        </w:rPr>
        <w:t xml:space="preserve">, it involved an element of judgment or choice. Plaintiff has not pointed to any statute, rule, or policy which mandated that the HSI agents act in a certain way. </w:t>
      </w:r>
      <w:bookmarkStart w:id="68" w:name="Bookmark_I68T3XJ72D6NGN0020000400"/>
      <w:bookmarkEnd w:id="68"/>
      <w:hyperlink r:id="rId20" w:history="1">
        <w:r>
          <w:rPr>
            <w:rFonts w:ascii="arial" w:eastAsia="arial" w:hAnsi="arial" w:cs="arial"/>
            <w:b w:val="0"/>
            <w:i/>
            <w:strike w:val="0"/>
            <w:noProof w:val="0"/>
            <w:color w:val="0077CC"/>
            <w:position w:val="0"/>
            <w:sz w:val="20"/>
            <w:u w:val="single"/>
            <w:vertAlign w:val="baseline"/>
          </w:rPr>
          <w:t>Berkovitz</w:t>
        </w:r>
      </w:hyperlink>
      <w:hyperlink r:id="rId20" w:history="1">
        <w:r>
          <w:rPr>
            <w:rFonts w:ascii="arial" w:eastAsia="arial" w:hAnsi="arial" w:cs="arial"/>
            <w:b w:val="0"/>
            <w:i/>
            <w:strike w:val="0"/>
            <w:noProof w:val="0"/>
            <w:color w:val="0077CC"/>
            <w:position w:val="0"/>
            <w:sz w:val="20"/>
            <w:u w:val="single"/>
            <w:vertAlign w:val="baseline"/>
          </w:rPr>
          <w:t>, 486 U.S. at 536</w:t>
        </w:r>
      </w:hyperlink>
      <w:r>
        <w:rPr>
          <w:rFonts w:ascii="arial" w:eastAsia="arial" w:hAnsi="arial" w:cs="arial"/>
          <w:b w:val="0"/>
          <w:i w:val="0"/>
          <w:strike w:val="0"/>
          <w:noProof w:val="0"/>
          <w:color w:val="000000"/>
          <w:position w:val="0"/>
          <w:sz w:val="20"/>
          <w:u w:val="none"/>
          <w:vertAlign w:val="baseline"/>
        </w:rPr>
        <w:t xml:space="preserve">; </w:t>
      </w:r>
      <w:bookmarkStart w:id="69" w:name="Bookmark_I68T3XJ72D6NGN0040000400"/>
      <w:bookmarkEnd w:id="69"/>
      <w:hyperlink r:id="rId26" w:history="1">
        <w:r>
          <w:rPr>
            <w:rFonts w:ascii="arial" w:eastAsia="arial" w:hAnsi="arial" w:cs="arial"/>
            <w:b w:val="0"/>
            <w:i/>
            <w:strike w:val="0"/>
            <w:noProof w:val="0"/>
            <w:color w:val="0077CC"/>
            <w:position w:val="0"/>
            <w:sz w:val="20"/>
            <w:u w:val="single"/>
            <w:vertAlign w:val="baseline"/>
          </w:rPr>
          <w:t>Sydnes v. United States</w:t>
        </w:r>
      </w:hyperlink>
      <w:hyperlink r:id="rId26" w:history="1">
        <w:r>
          <w:rPr>
            <w:rFonts w:ascii="arial" w:eastAsia="arial" w:hAnsi="arial" w:cs="arial"/>
            <w:b w:val="0"/>
            <w:i/>
            <w:strike w:val="0"/>
            <w:noProof w:val="0"/>
            <w:color w:val="0077CC"/>
            <w:position w:val="0"/>
            <w:sz w:val="20"/>
            <w:u w:val="single"/>
            <w:vertAlign w:val="baseline"/>
          </w:rPr>
          <w:t>, 523 F.3d 1179, 1185 (10th Cir. 2008)</w:t>
        </w:r>
      </w:hyperlink>
      <w:r>
        <w:rPr>
          <w:rFonts w:ascii="arial" w:eastAsia="arial" w:hAnsi="arial" w:cs="arial"/>
          <w:b w:val="0"/>
          <w:i w:val="0"/>
          <w:strike w:val="0"/>
          <w:noProof w:val="0"/>
          <w:color w:val="000000"/>
          <w:position w:val="0"/>
          <w:sz w:val="20"/>
          <w:u w:val="none"/>
          <w:vertAlign w:val="baseline"/>
        </w:rPr>
        <w:t xml:space="preserve"> (noting that "the burden under our case law to present evidence of a discretion-constraining regulation or policy resides with the plaintiff.").</w:t>
      </w:r>
    </w:p>
    <w:p>
      <w:pPr>
        <w:keepNext w:val="0"/>
        <w:spacing w:before="240" w:after="0" w:line="260" w:lineRule="atLeast"/>
        <w:ind w:left="0" w:right="0" w:firstLine="0"/>
        <w:jc w:val="both"/>
      </w:pPr>
      <w:bookmarkStart w:id="70" w:name="Bookmark_para_26"/>
      <w:bookmarkEnd w:id="70"/>
      <w:bookmarkStart w:id="71" w:name="Bookmark_I68T3XJ82N1R9W0020000400"/>
      <w:bookmarkEnd w:id="71"/>
      <w:r>
        <w:rPr>
          <w:rFonts w:ascii="arial" w:eastAsia="arial" w:hAnsi="arial" w:cs="arial"/>
          <w:b w:val="0"/>
          <w:i w:val="0"/>
          <w:strike w:val="0"/>
          <w:noProof w:val="0"/>
          <w:color w:val="000000"/>
          <w:position w:val="0"/>
          <w:sz w:val="20"/>
          <w:u w:val="none"/>
          <w:vertAlign w:val="baseline"/>
        </w:rPr>
        <w:t xml:space="preserve">Moreover, the HSI agents' choice of how to investigate, approach, arrest, and prosecute Omar Cueva is a discretionary decision. "As a general matter, law enforcement decision surrounding the investigation and prosecution of crimes, including whether or not to disclose information regarding potential threats, involve the exercise of discretion." </w:t>
      </w:r>
      <w:bookmarkStart w:id="72" w:name="Bookmark_I68T3XJ82N1R9W0010000400"/>
      <w:bookmarkEnd w:id="72"/>
      <w:hyperlink r:id="rId27" w:history="1">
        <w:r>
          <w:rPr>
            <w:rFonts w:ascii="arial" w:eastAsia="arial" w:hAnsi="arial" w:cs="arial"/>
            <w:b w:val="0"/>
            <w:i/>
            <w:strike w:val="0"/>
            <w:noProof w:val="0"/>
            <w:color w:val="0077CC"/>
            <w:position w:val="0"/>
            <w:sz w:val="20"/>
            <w:u w:val="single"/>
            <w:vertAlign w:val="baseline"/>
          </w:rPr>
          <w:t>JGE v. United States</w:t>
        </w:r>
      </w:hyperlink>
      <w:hyperlink r:id="rId27" w:history="1">
        <w:r>
          <w:rPr>
            <w:rFonts w:ascii="arial" w:eastAsia="arial" w:hAnsi="arial" w:cs="arial"/>
            <w:b w:val="0"/>
            <w:i/>
            <w:strike w:val="0"/>
            <w:noProof w:val="0"/>
            <w:color w:val="0077CC"/>
            <w:position w:val="0"/>
            <w:sz w:val="20"/>
            <w:u w:val="single"/>
            <w:vertAlign w:val="baseline"/>
          </w:rPr>
          <w:t>, 922 F.3d 1096, 772 F. App'x 608, 612 (10th Cir. 2019)</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 xml:space="preserve">see also </w:t>
      </w:r>
      <w:bookmarkStart w:id="73" w:name="Bookmark_I68T3XJ82N1R9W0030000400"/>
      <w:bookmarkEnd w:id="73"/>
      <w:hyperlink r:id="rId28" w:history="1">
        <w:r>
          <w:rPr>
            <w:rFonts w:ascii="arial" w:eastAsia="arial" w:hAnsi="arial" w:cs="arial"/>
            <w:b w:val="0"/>
            <w:i/>
            <w:strike w:val="0"/>
            <w:noProof w:val="0"/>
            <w:color w:val="0077CC"/>
            <w:position w:val="0"/>
            <w:sz w:val="20"/>
            <w:u w:val="single"/>
            <w:vertAlign w:val="baseline"/>
          </w:rPr>
          <w:t>Linder v. United States</w:t>
        </w:r>
      </w:hyperlink>
      <w:hyperlink r:id="rId28" w:history="1">
        <w:r>
          <w:rPr>
            <w:rFonts w:ascii="arial" w:eastAsia="arial" w:hAnsi="arial" w:cs="arial"/>
            <w:b w:val="0"/>
            <w:i/>
            <w:strike w:val="0"/>
            <w:noProof w:val="0"/>
            <w:color w:val="0077CC"/>
            <w:position w:val="0"/>
            <w:sz w:val="20"/>
            <w:u w:val="single"/>
            <w:vertAlign w:val="baseline"/>
          </w:rPr>
          <w:t>, 937 F.3d 1087, 1091 (7th Cir. 2019)</w:t>
        </w:r>
      </w:hyperlink>
      <w:r>
        <w:rPr>
          <w:rFonts w:ascii="arial" w:eastAsia="arial" w:hAnsi="arial" w:cs="arial"/>
          <w:b w:val="0"/>
          <w:i w:val="0"/>
          <w:strike w:val="0"/>
          <w:noProof w:val="0"/>
          <w:color w:val="000000"/>
          <w:position w:val="0"/>
          <w:sz w:val="20"/>
          <w:u w:val="none"/>
          <w:vertAlign w:val="baseline"/>
        </w:rPr>
        <w:t xml:space="preserve"> ("No one can doubt that the investigation of (potential) crimes" is a "discretion-laden subject[ ]."); </w:t>
      </w:r>
      <w:bookmarkStart w:id="74" w:name="Bookmark_I68T3XJ82N1R9W0050000400"/>
      <w:bookmarkEnd w:id="74"/>
      <w:hyperlink r:id="rId29" w:history="1">
        <w:r>
          <w:rPr>
            <w:rFonts w:ascii="arial" w:eastAsia="arial" w:hAnsi="arial" w:cs="arial"/>
            <w:b w:val="0"/>
            <w:i/>
            <w:strike w:val="0"/>
            <w:noProof w:val="0"/>
            <w:color w:val="0077CC"/>
            <w:position w:val="0"/>
            <w:sz w:val="20"/>
            <w:u w:val="single"/>
            <w:vertAlign w:val="baseline"/>
          </w:rPr>
          <w:t>Hart v. U.S.</w:t>
        </w:r>
      </w:hyperlink>
      <w:hyperlink r:id="rId29" w:history="1">
        <w:r>
          <w:rPr>
            <w:rFonts w:ascii="arial" w:eastAsia="arial" w:hAnsi="arial" w:cs="arial"/>
            <w:b w:val="0"/>
            <w:i/>
            <w:strike w:val="0"/>
            <w:noProof w:val="0"/>
            <w:color w:val="0077CC"/>
            <w:position w:val="0"/>
            <w:sz w:val="20"/>
            <w:u w:val="single"/>
            <w:vertAlign w:val="baseline"/>
          </w:rPr>
          <w:t>, 630 F.3d 1085, 1090 (8th Cir. 2011)</w:t>
        </w:r>
      </w:hyperlink>
      <w:r>
        <w:rPr>
          <w:rFonts w:ascii="arial" w:eastAsia="arial" w:hAnsi="arial" w:cs="arial"/>
          <w:b w:val="0"/>
          <w:i w:val="0"/>
          <w:strike w:val="0"/>
          <w:noProof w:val="0"/>
          <w:color w:val="000000"/>
          <w:position w:val="0"/>
          <w:sz w:val="20"/>
          <w:u w:val="none"/>
          <w:vertAlign w:val="baseline"/>
        </w:rPr>
        <w:t xml:space="preserve"> ("We readily conclude</w:t>
      </w:r>
      <w:r>
        <w:rPr>
          <w:rFonts w:ascii="arial" w:eastAsia="arial" w:hAnsi="arial" w:cs="arial"/>
          <w:b/>
          <w:i w:val="0"/>
          <w:strike w:val="0"/>
          <w:noProof w:val="0"/>
          <w:color w:val="000000"/>
          <w:position w:val="0"/>
          <w:sz w:val="20"/>
          <w:u w:val="none"/>
          <w:vertAlign w:val="baseline"/>
        </w:rPr>
        <w:t> [*12] </w:t>
      </w:r>
      <w:r>
        <w:rPr>
          <w:rFonts w:ascii="arial" w:eastAsia="arial" w:hAnsi="arial" w:cs="arial"/>
          <w:b w:val="0"/>
          <w:i w:val="0"/>
          <w:strike w:val="0"/>
          <w:noProof w:val="0"/>
          <w:color w:val="000000"/>
          <w:position w:val="0"/>
          <w:sz w:val="20"/>
          <w:u w:val="none"/>
          <w:vertAlign w:val="baseline"/>
        </w:rPr>
        <w:t xml:space="preserve"> a federal law enforcement officer's on-the-spot decisions concerning how to effectuate an arrest ... fall within the discretionary function exception to the FTCA absent a specific mandatory directive to the contrary."); </w:t>
      </w:r>
      <w:bookmarkStart w:id="75" w:name="Bookmark_I68T3XJ82N1R9Y0020000400"/>
      <w:bookmarkEnd w:id="75"/>
      <w:hyperlink r:id="rId30" w:history="1">
        <w:r>
          <w:rPr>
            <w:rFonts w:ascii="arial" w:eastAsia="arial" w:hAnsi="arial" w:cs="arial"/>
            <w:b w:val="0"/>
            <w:i/>
            <w:strike w:val="0"/>
            <w:noProof w:val="0"/>
            <w:color w:val="0077CC"/>
            <w:position w:val="0"/>
            <w:sz w:val="20"/>
            <w:u w:val="single"/>
            <w:vertAlign w:val="baseline"/>
          </w:rPr>
          <w:t>Mesa v. U.S.</w:t>
        </w:r>
      </w:hyperlink>
      <w:hyperlink r:id="rId30" w:history="1">
        <w:r>
          <w:rPr>
            <w:rFonts w:ascii="arial" w:eastAsia="arial" w:hAnsi="arial" w:cs="arial"/>
            <w:b w:val="0"/>
            <w:i/>
            <w:strike w:val="0"/>
            <w:noProof w:val="0"/>
            <w:color w:val="0077CC"/>
            <w:position w:val="0"/>
            <w:sz w:val="20"/>
            <w:u w:val="single"/>
            <w:vertAlign w:val="baseline"/>
          </w:rPr>
          <w:t>, 123 F.3d 1435, 1438 (11th Cir. 1997)</w:t>
        </w:r>
      </w:hyperlink>
      <w:r>
        <w:rPr>
          <w:rFonts w:ascii="arial" w:eastAsia="arial" w:hAnsi="arial" w:cs="arial"/>
          <w:b w:val="0"/>
          <w:i w:val="0"/>
          <w:strike w:val="0"/>
          <w:noProof w:val="0"/>
          <w:color w:val="000000"/>
          <w:position w:val="0"/>
          <w:sz w:val="20"/>
          <w:u w:val="none"/>
          <w:vertAlign w:val="baseline"/>
        </w:rPr>
        <w:t xml:space="preserve"> (holding the manner in which federal law enforcement agents investigated and identified suspect and executed an arrest warrant involved an element of judgment or choice).</w:t>
      </w:r>
    </w:p>
    <w:p>
      <w:pPr>
        <w:keepNext w:val="0"/>
        <w:spacing w:before="240" w:after="0" w:line="260" w:lineRule="atLeast"/>
        <w:ind w:left="0" w:right="0" w:firstLine="0"/>
        <w:jc w:val="both"/>
      </w:pPr>
      <w:bookmarkStart w:id="76" w:name="Bookmark_para_27"/>
      <w:bookmarkEnd w:id="76"/>
      <w:bookmarkStart w:id="77" w:name="Bookmark_I68T3XJ82N1R9Y0050000400"/>
      <w:bookmarkEnd w:id="77"/>
      <w:r>
        <w:rPr>
          <w:rFonts w:ascii="arial" w:eastAsia="arial" w:hAnsi="arial" w:cs="arial"/>
          <w:b w:val="0"/>
          <w:i w:val="0"/>
          <w:strike w:val="0"/>
          <w:noProof w:val="0"/>
          <w:color w:val="000000"/>
          <w:position w:val="0"/>
          <w:sz w:val="20"/>
          <w:u w:val="none"/>
          <w:vertAlign w:val="baseline"/>
        </w:rPr>
        <w:t xml:space="preserve">In addition, "the decision to use informants is a discretionary function" in which the government must take into account that "informants do not come free of criminal history." </w:t>
      </w:r>
      <w:bookmarkStart w:id="78" w:name="Bookmark_I68T3XJ82N1R9Y0040000400"/>
      <w:bookmarkEnd w:id="78"/>
      <w:hyperlink r:id="rId27" w:history="1">
        <w:r>
          <w:rPr>
            <w:rFonts w:ascii="arial" w:eastAsia="arial" w:hAnsi="arial" w:cs="arial"/>
            <w:b w:val="0"/>
            <w:i/>
            <w:strike w:val="0"/>
            <w:noProof w:val="0"/>
            <w:color w:val="0077CC"/>
            <w:position w:val="0"/>
            <w:sz w:val="20"/>
            <w:u w:val="single"/>
            <w:vertAlign w:val="baseline"/>
          </w:rPr>
          <w:t>JGE through Tasso v. United States</w:t>
        </w:r>
      </w:hyperlink>
      <w:hyperlink r:id="rId27" w:history="1">
        <w:r>
          <w:rPr>
            <w:rFonts w:ascii="arial" w:eastAsia="arial" w:hAnsi="arial" w:cs="arial"/>
            <w:b w:val="0"/>
            <w:i/>
            <w:strike w:val="0"/>
            <w:noProof w:val="0"/>
            <w:color w:val="0077CC"/>
            <w:position w:val="0"/>
            <w:sz w:val="20"/>
            <w:u w:val="single"/>
            <w:vertAlign w:val="baseline"/>
          </w:rPr>
          <w:t>, 922 F.3d 1096, 772 F. App'x 608, 612 (10th Cir. 2019)</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 xml:space="preserve">quoting </w:t>
      </w:r>
      <w:bookmarkStart w:id="79" w:name="Bookmark_I68T3XJ82HM6G20010000400"/>
      <w:bookmarkEnd w:id="79"/>
      <w:hyperlink r:id="rId31" w:history="1">
        <w:r>
          <w:rPr>
            <w:rFonts w:ascii="arial" w:eastAsia="arial" w:hAnsi="arial" w:cs="arial"/>
            <w:b w:val="0"/>
            <w:i/>
            <w:strike w:val="0"/>
            <w:noProof w:val="0"/>
            <w:color w:val="0077CC"/>
            <w:position w:val="0"/>
            <w:sz w:val="20"/>
            <w:u w:val="single"/>
            <w:vertAlign w:val="baseline"/>
          </w:rPr>
          <w:t>Ostera v. United States</w:t>
        </w:r>
      </w:hyperlink>
      <w:hyperlink r:id="rId31" w:history="1">
        <w:r>
          <w:rPr>
            <w:rFonts w:ascii="arial" w:eastAsia="arial" w:hAnsi="arial" w:cs="arial"/>
            <w:b w:val="0"/>
            <w:i/>
            <w:strike w:val="0"/>
            <w:noProof w:val="0"/>
            <w:color w:val="0077CC"/>
            <w:position w:val="0"/>
            <w:sz w:val="20"/>
            <w:u w:val="single"/>
            <w:vertAlign w:val="baseline"/>
          </w:rPr>
          <w:t>, 769 F.2d 716, 718 (11th Cir. 1985)</w:t>
        </w:r>
      </w:hyperlink>
      <w:r>
        <w:rPr>
          <w:rFonts w:ascii="arial" w:eastAsia="arial" w:hAnsi="arial" w:cs="arial"/>
          <w:b w:val="0"/>
          <w:i w:val="0"/>
          <w:strike w:val="0"/>
          <w:noProof w:val="0"/>
          <w:color w:val="000000"/>
          <w:position w:val="0"/>
          <w:sz w:val="20"/>
          <w:u w:val="none"/>
          <w:vertAlign w:val="baseline"/>
        </w:rPr>
        <w:t xml:space="preserve"> (per curiam).</w:t>
      </w:r>
    </w:p>
    <w:p>
      <w:pPr>
        <w:keepNext w:val="0"/>
        <w:spacing w:before="200" w:after="0" w:line="260" w:lineRule="atLeast"/>
        <w:ind w:left="0" w:right="0" w:firstLine="0"/>
        <w:jc w:val="both"/>
      </w:pPr>
      <w:bookmarkStart w:id="80" w:name="Bookmark_para_28"/>
      <w:bookmarkEnd w:id="80"/>
      <w:r>
        <w:rPr>
          <w:rFonts w:ascii="arial" w:eastAsia="arial" w:hAnsi="arial" w:cs="arial"/>
          <w:b w:val="0"/>
          <w:i w:val="0"/>
          <w:strike w:val="0"/>
          <w:noProof w:val="0"/>
          <w:color w:val="000000"/>
          <w:position w:val="0"/>
          <w:sz w:val="20"/>
          <w:u w:val="none"/>
          <w:vertAlign w:val="baseline"/>
        </w:rPr>
        <w:t>Here, the federal agents' plan to have the New Mexico State Police develop probable cause and then initiate a traffic stop was intended to bring about the apprehension of Omar Cueva while protecting the confidential informant. As Plaintiff has not pointed to any statute, rule, or policy mandating a course of action, the Court concludes that the HSI agent's conduct was discretionary.</w:t>
      </w:r>
    </w:p>
    <w:p>
      <w:pPr>
        <w:keepNext w:val="0"/>
        <w:spacing w:before="200" w:after="0" w:line="260" w:lineRule="atLeast"/>
        <w:ind w:left="0" w:right="0" w:firstLine="0"/>
        <w:jc w:val="both"/>
      </w:pPr>
      <w:bookmarkStart w:id="81" w:name="Bookmark_para_29"/>
      <w:bookmarkEnd w:id="81"/>
      <w:bookmarkStart w:id="82" w:name="Bookmark_I68T3XJ82HM6G20040000400"/>
      <w:bookmarkEnd w:id="82"/>
      <w:bookmarkStart w:id="83" w:name="Bookmark_I68T3XJ92N1RB40010000400"/>
      <w:bookmarkEnd w:id="83"/>
      <w:r>
        <w:rPr>
          <w:rFonts w:ascii="arial" w:eastAsia="arial" w:hAnsi="arial" w:cs="arial"/>
          <w:b w:val="0"/>
          <w:i w:val="0"/>
          <w:strike w:val="0"/>
          <w:noProof w:val="0"/>
          <w:color w:val="000000"/>
          <w:position w:val="0"/>
          <w:sz w:val="20"/>
          <w:u w:val="none"/>
          <w:vertAlign w:val="baseline"/>
        </w:rPr>
        <w:t xml:space="preserve">As to the second prong of the </w:t>
      </w:r>
      <w:r>
        <w:rPr>
          <w:rFonts w:ascii="arial" w:eastAsia="arial" w:hAnsi="arial" w:cs="arial"/>
          <w:b w:val="0"/>
          <w:i/>
          <w:strike w:val="0"/>
          <w:noProof w:val="0"/>
          <w:color w:val="000000"/>
          <w:position w:val="0"/>
          <w:sz w:val="20"/>
          <w:u w:val="none"/>
          <w:vertAlign w:val="baseline"/>
        </w:rPr>
        <w:t>Berkovitz</w:t>
      </w:r>
      <w:r>
        <w:rPr>
          <w:rFonts w:ascii="arial" w:eastAsia="arial" w:hAnsi="arial" w:cs="arial"/>
          <w:b w:val="0"/>
          <w:i w:val="0"/>
          <w:strike w:val="0"/>
          <w:noProof w:val="0"/>
          <w:color w:val="000000"/>
          <w:position w:val="0"/>
          <w:sz w:val="20"/>
          <w:u w:val="none"/>
          <w:vertAlign w:val="baseline"/>
        </w:rPr>
        <w:t xml:space="preserve"> test, it is undisputed that the conduct involved the exercise of judgment based on considerations of policy. "For a complaint to survive a motion to dismiss, it must allege facts which</w:t>
      </w:r>
      <w:r>
        <w:rPr>
          <w:rFonts w:ascii="arial" w:eastAsia="arial" w:hAnsi="arial" w:cs="arial"/>
          <w:b/>
          <w:i w:val="0"/>
          <w:strike w:val="0"/>
          <w:noProof w:val="0"/>
          <w:color w:val="000000"/>
          <w:position w:val="0"/>
          <w:sz w:val="20"/>
          <w:u w:val="none"/>
          <w:vertAlign w:val="baseline"/>
        </w:rPr>
        <w:t> [*13] </w:t>
      </w:r>
      <w:r>
        <w:rPr>
          <w:rFonts w:ascii="arial" w:eastAsia="arial" w:hAnsi="arial" w:cs="arial"/>
          <w:b w:val="0"/>
          <w:i w:val="0"/>
          <w:strike w:val="0"/>
          <w:noProof w:val="0"/>
          <w:color w:val="000000"/>
          <w:position w:val="0"/>
          <w:sz w:val="20"/>
          <w:u w:val="none"/>
          <w:vertAlign w:val="baseline"/>
        </w:rPr>
        <w:t xml:space="preserve"> would support a finding that the challenged actions are not the kind of conduct that can be said to be grounded in the policy of the regulatory regime." </w:t>
      </w:r>
      <w:bookmarkStart w:id="84" w:name="Bookmark_I68T3XJ82HM6G20030000400"/>
      <w:bookmarkEnd w:id="84"/>
      <w:hyperlink r:id="rId19" w:history="1">
        <w:r>
          <w:rPr>
            <w:rFonts w:ascii="arial" w:eastAsia="arial" w:hAnsi="arial" w:cs="arial"/>
            <w:b w:val="0"/>
            <w:i/>
            <w:strike w:val="0"/>
            <w:noProof w:val="0"/>
            <w:color w:val="0077CC"/>
            <w:position w:val="0"/>
            <w:sz w:val="20"/>
            <w:u w:val="single"/>
            <w:vertAlign w:val="baseline"/>
          </w:rPr>
          <w:t>United States v. Gaubert</w:t>
        </w:r>
      </w:hyperlink>
      <w:hyperlink r:id="rId19" w:history="1">
        <w:r>
          <w:rPr>
            <w:rFonts w:ascii="arial" w:eastAsia="arial" w:hAnsi="arial" w:cs="arial"/>
            <w:b w:val="0"/>
            <w:i/>
            <w:strike w:val="0"/>
            <w:noProof w:val="0"/>
            <w:color w:val="0077CC"/>
            <w:position w:val="0"/>
            <w:sz w:val="20"/>
            <w:u w:val="single"/>
            <w:vertAlign w:val="baseline"/>
          </w:rPr>
          <w:t>, 499 U.S. 315, 324-25, 111 S. Ct. 1267, 113 L. Ed. 2d 335 (1991)</w:t>
        </w:r>
      </w:hyperlink>
      <w:r>
        <w:rPr>
          <w:rFonts w:ascii="arial" w:eastAsia="arial" w:hAnsi="arial" w:cs="arial"/>
          <w:b w:val="0"/>
          <w:i w:val="0"/>
          <w:strike w:val="0"/>
          <w:noProof w:val="0"/>
          <w:color w:val="000000"/>
          <w:position w:val="0"/>
          <w:sz w:val="20"/>
          <w:u w:val="none"/>
          <w:vertAlign w:val="baseline"/>
        </w:rPr>
        <w:t xml:space="preserve">. The Court "must presume that a government agency's acts are grounded in policy when no statute, regulation, or policy sets forth a required course of conduct; the challenger must allege facts showing otherwise." </w:t>
      </w:r>
      <w:bookmarkStart w:id="85" w:name="Bookmark_I68T3XJ82HM6G20050000400"/>
      <w:bookmarkEnd w:id="85"/>
      <w:hyperlink r:id="rId32" w:history="1">
        <w:r>
          <w:rPr>
            <w:rFonts w:ascii="arial" w:eastAsia="arial" w:hAnsi="arial" w:cs="arial"/>
            <w:b w:val="0"/>
            <w:i/>
            <w:strike w:val="0"/>
            <w:noProof w:val="0"/>
            <w:color w:val="0077CC"/>
            <w:position w:val="0"/>
            <w:sz w:val="20"/>
            <w:u w:val="single"/>
            <w:vertAlign w:val="baseline"/>
          </w:rPr>
          <w:t>Ball v. United States</w:t>
        </w:r>
      </w:hyperlink>
      <w:hyperlink r:id="rId32" w:history="1">
        <w:r>
          <w:rPr>
            <w:rFonts w:ascii="arial" w:eastAsia="arial" w:hAnsi="arial" w:cs="arial"/>
            <w:b w:val="0"/>
            <w:i/>
            <w:strike w:val="0"/>
            <w:noProof w:val="0"/>
            <w:color w:val="0077CC"/>
            <w:position w:val="0"/>
            <w:sz w:val="20"/>
            <w:u w:val="single"/>
            <w:vertAlign w:val="baseline"/>
          </w:rPr>
          <w:t>, 967 F.3d 1072, 1079 (10th Cir. 2020)</w:t>
        </w:r>
      </w:hyperlink>
      <w:r>
        <w:rPr>
          <w:rFonts w:ascii="arial" w:eastAsia="arial" w:hAnsi="arial" w:cs="arial"/>
          <w:b w:val="0"/>
          <w:i w:val="0"/>
          <w:strike w:val="0"/>
          <w:noProof w:val="0"/>
          <w:color w:val="000000"/>
          <w:position w:val="0"/>
          <w:sz w:val="20"/>
          <w:u w:val="none"/>
          <w:vertAlign w:val="baseline"/>
        </w:rPr>
        <w:t xml:space="preserve">. As Plaintiff has not argued that any statute, regulation, or policy sets forth the required course of conduct, the Court presumes that the Defendant's acts are grounded in policy. </w:t>
      </w:r>
      <w:r>
        <w:rPr>
          <w:rFonts w:ascii="arial" w:eastAsia="arial" w:hAnsi="arial" w:cs="arial"/>
          <w:b w:val="0"/>
          <w:i/>
          <w:strike w:val="0"/>
          <w:noProof w:val="0"/>
          <w:color w:val="000000"/>
          <w:position w:val="0"/>
          <w:sz w:val="20"/>
          <w:u w:val="none"/>
          <w:vertAlign w:val="baseline"/>
        </w:rPr>
        <w:t>Id.</w:t>
      </w:r>
    </w:p>
    <w:p>
      <w:pPr>
        <w:keepNext w:val="0"/>
        <w:spacing w:before="240" w:after="0" w:line="260" w:lineRule="atLeast"/>
        <w:ind w:left="0" w:right="0" w:firstLine="0"/>
        <w:jc w:val="both"/>
      </w:pPr>
      <w:bookmarkStart w:id="86" w:name="Bookmark_para_30"/>
      <w:bookmarkEnd w:id="86"/>
      <w:r>
        <w:rPr>
          <w:rFonts w:ascii="arial" w:eastAsia="arial" w:hAnsi="arial" w:cs="arial"/>
          <w:b w:val="0"/>
          <w:i w:val="0"/>
          <w:strike w:val="0"/>
          <w:noProof w:val="0"/>
          <w:color w:val="000000"/>
          <w:position w:val="0"/>
          <w:sz w:val="20"/>
          <w:u w:val="none"/>
          <w:vertAlign w:val="baseline"/>
        </w:rPr>
        <w:t xml:space="preserve">Generally, law enforcement decisions regarding how best to investigate, prosecute, and apprehend a suspect are policy-based decisions. </w:t>
      </w:r>
      <w:bookmarkStart w:id="87" w:name="Bookmark_I68T3XJ92N1RB40030000400"/>
      <w:bookmarkEnd w:id="87"/>
      <w:r>
        <w:rPr>
          <w:rFonts w:ascii="arial" w:eastAsia="arial" w:hAnsi="arial" w:cs="arial"/>
          <w:b w:val="0"/>
          <w:i w:val="0"/>
          <w:strike w:val="0"/>
          <w:noProof w:val="0"/>
          <w:color w:val="000000"/>
          <w:position w:val="0"/>
          <w:sz w:val="20"/>
          <w:u w:val="none"/>
          <w:vertAlign w:val="baseline"/>
        </w:rPr>
        <w:t xml:space="preserve">Here, HSI developed a tactical plan for the New Mexico State Police to initiate a traffic stop to bring about the apprehension of Omar Cueva, while protecting the confidential informant. It is undisputed here that the HSI agent's decisions involving the undercover operation and the apprehension of Omar Cueva involved policy considerations. </w:t>
      </w:r>
      <w:bookmarkStart w:id="88" w:name="Bookmark_I68T3XJ92N1RB40020000400"/>
      <w:bookmarkEnd w:id="88"/>
      <w:hyperlink r:id="rId25" w:history="1">
        <w:r>
          <w:rPr>
            <w:rFonts w:ascii="arial" w:eastAsia="arial" w:hAnsi="arial" w:cs="arial"/>
            <w:b w:val="0"/>
            <w:i/>
            <w:strike w:val="0"/>
            <w:noProof w:val="0"/>
            <w:color w:val="0077CC"/>
            <w:position w:val="0"/>
            <w:sz w:val="20"/>
            <w:u w:val="single"/>
            <w:vertAlign w:val="baseline"/>
          </w:rPr>
          <w:t>Awad</w:t>
        </w:r>
      </w:hyperlink>
      <w:hyperlink r:id="rId25" w:history="1">
        <w:r>
          <w:rPr>
            <w:rFonts w:ascii="arial" w:eastAsia="arial" w:hAnsi="arial" w:cs="arial"/>
            <w:b w:val="0"/>
            <w:i/>
            <w:strike w:val="0"/>
            <w:noProof w:val="0"/>
            <w:color w:val="0077CC"/>
            <w:position w:val="0"/>
            <w:sz w:val="20"/>
            <w:u w:val="single"/>
            <w:vertAlign w:val="baseline"/>
          </w:rPr>
          <w:t>, 807 F. App'x at 881</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 xml:space="preserve">see also </w:t>
      </w:r>
      <w:bookmarkStart w:id="89" w:name="Bookmark_I68T3XJ92N1RB40040000400"/>
      <w:bookmarkEnd w:id="89"/>
      <w:hyperlink r:id="rId33" w:history="1">
        <w:r>
          <w:rPr>
            <w:rFonts w:ascii="arial" w:eastAsia="arial" w:hAnsi="arial" w:cs="arial"/>
            <w:b w:val="0"/>
            <w:i/>
            <w:strike w:val="0"/>
            <w:noProof w:val="0"/>
            <w:color w:val="0077CC"/>
            <w:position w:val="0"/>
            <w:sz w:val="20"/>
            <w:u w:val="single"/>
            <w:vertAlign w:val="baseline"/>
          </w:rPr>
          <w:t>Suter v. United States</w:t>
        </w:r>
      </w:hyperlink>
      <w:hyperlink r:id="rId33" w:history="1">
        <w:r>
          <w:rPr>
            <w:rFonts w:ascii="arial" w:eastAsia="arial" w:hAnsi="arial" w:cs="arial"/>
            <w:b w:val="0"/>
            <w:i/>
            <w:strike w:val="0"/>
            <w:noProof w:val="0"/>
            <w:color w:val="0077CC"/>
            <w:position w:val="0"/>
            <w:sz w:val="20"/>
            <w:u w:val="single"/>
            <w:vertAlign w:val="baseline"/>
          </w:rPr>
          <w:t>, 441 F.3d 306, 311-12 (4th Cir. 2006)</w:t>
        </w:r>
      </w:hyperlink>
      <w:r>
        <w:rPr>
          <w:rFonts w:ascii="arial" w:eastAsia="arial" w:hAnsi="arial" w:cs="arial"/>
          <w:b w:val="0"/>
          <w:i w:val="0"/>
          <w:strike w:val="0"/>
          <w:noProof w:val="0"/>
          <w:color w:val="000000"/>
          <w:position w:val="0"/>
          <w:sz w:val="20"/>
          <w:u w:val="none"/>
          <w:vertAlign w:val="baseline"/>
        </w:rPr>
        <w:t xml:space="preserve"> (holding that an undercover FBI agent's discretionary participation in the crimes the FBI was investigating was susceptible to a policy analysis); </w:t>
      </w:r>
      <w:bookmarkStart w:id="90" w:name="Bookmark_I68T3XJ92D6NH20010000400"/>
      <w:bookmarkEnd w:id="90"/>
      <w:hyperlink r:id="rId34" w:history="1">
        <w:r>
          <w:rPr>
            <w:rFonts w:ascii="arial" w:eastAsia="arial" w:hAnsi="arial" w:cs="arial"/>
            <w:b w:val="0"/>
            <w:i/>
            <w:strike w:val="0"/>
            <w:noProof w:val="0"/>
            <w:color w:val="0077CC"/>
            <w:position w:val="0"/>
            <w:sz w:val="20"/>
            <w:u w:val="single"/>
            <w:vertAlign w:val="baseline"/>
          </w:rPr>
          <w:t>Deuser v. Vecera</w:t>
        </w:r>
      </w:hyperlink>
      <w:hyperlink r:id="rId34" w:history="1">
        <w:r>
          <w:rPr>
            <w:rFonts w:ascii="arial" w:eastAsia="arial" w:hAnsi="arial" w:cs="arial"/>
            <w:b w:val="0"/>
            <w:i/>
            <w:strike w:val="0"/>
            <w:noProof w:val="0"/>
            <w:color w:val="0077CC"/>
            <w:position w:val="0"/>
            <w:sz w:val="20"/>
            <w:u w:val="single"/>
            <w:vertAlign w:val="baseline"/>
          </w:rPr>
          <w:t>, 139 F.3d 1190, 1195-96 (8th Cir. 1998)</w:t>
        </w:r>
      </w:hyperlink>
      <w:r>
        <w:rPr>
          <w:rFonts w:ascii="arial" w:eastAsia="arial" w:hAnsi="arial" w:cs="arial"/>
          <w:b w:val="0"/>
          <w:i w:val="0"/>
          <w:strike w:val="0"/>
          <w:noProof w:val="0"/>
          <w:color w:val="000000"/>
          <w:position w:val="0"/>
          <w:sz w:val="20"/>
          <w:u w:val="none"/>
          <w:vertAlign w:val="baseline"/>
        </w:rPr>
        <w:t xml:space="preserve"> (holding that</w:t>
      </w:r>
      <w:r>
        <w:rPr>
          <w:rFonts w:ascii="arial" w:eastAsia="arial" w:hAnsi="arial" w:cs="arial"/>
          <w:b/>
          <w:i w:val="0"/>
          <w:strike w:val="0"/>
          <w:noProof w:val="0"/>
          <w:color w:val="000000"/>
          <w:position w:val="0"/>
          <w:sz w:val="20"/>
          <w:u w:val="none"/>
          <w:vertAlign w:val="baseline"/>
        </w:rPr>
        <w:t> [*14] </w:t>
      </w:r>
      <w:r>
        <w:rPr>
          <w:rFonts w:ascii="arial" w:eastAsia="arial" w:hAnsi="arial" w:cs="arial"/>
          <w:b w:val="0"/>
          <w:i w:val="0"/>
          <w:strike w:val="0"/>
          <w:noProof w:val="0"/>
          <w:color w:val="000000"/>
          <w:position w:val="0"/>
          <w:sz w:val="20"/>
          <w:u w:val="none"/>
          <w:vertAlign w:val="baseline"/>
        </w:rPr>
        <w:t xml:space="preserve"> National Park Service rangers' discretionary decisions about arresting and releasing the plaintiff were rooted in policy concerns about the safety of other parkgoers); </w:t>
      </w:r>
      <w:bookmarkStart w:id="91" w:name="Bookmark_I68T3XJ92D6NH20030000400"/>
      <w:bookmarkEnd w:id="91"/>
      <w:hyperlink r:id="rId30" w:history="1">
        <w:r>
          <w:rPr>
            <w:rFonts w:ascii="arial" w:eastAsia="arial" w:hAnsi="arial" w:cs="arial"/>
            <w:b w:val="0"/>
            <w:i/>
            <w:strike w:val="0"/>
            <w:noProof w:val="0"/>
            <w:color w:val="0077CC"/>
            <w:position w:val="0"/>
            <w:sz w:val="20"/>
            <w:u w:val="single"/>
            <w:vertAlign w:val="baseline"/>
          </w:rPr>
          <w:t>Mesa v. United States</w:t>
        </w:r>
      </w:hyperlink>
      <w:hyperlink r:id="rId30" w:history="1">
        <w:r>
          <w:rPr>
            <w:rFonts w:ascii="arial" w:eastAsia="arial" w:hAnsi="arial" w:cs="arial"/>
            <w:b w:val="0"/>
            <w:i/>
            <w:strike w:val="0"/>
            <w:noProof w:val="0"/>
            <w:color w:val="0077CC"/>
            <w:position w:val="0"/>
            <w:sz w:val="20"/>
            <w:u w:val="single"/>
            <w:vertAlign w:val="baseline"/>
          </w:rPr>
          <w:t>, 123 F.3d 1435, 1438 (11th Cir. 1997)</w:t>
        </w:r>
      </w:hyperlink>
      <w:r>
        <w:rPr>
          <w:rFonts w:ascii="arial" w:eastAsia="arial" w:hAnsi="arial" w:cs="arial"/>
          <w:b w:val="0"/>
          <w:i w:val="0"/>
          <w:strike w:val="0"/>
          <w:noProof w:val="0"/>
          <w:color w:val="000000"/>
          <w:position w:val="0"/>
          <w:sz w:val="20"/>
          <w:u w:val="none"/>
          <w:vertAlign w:val="baseline"/>
        </w:rPr>
        <w:t xml:space="preserve"> (holding that "[t]he decision as to how to locate and identify the subject of an arrest warrant prior to service of the warrant is susceptible to policy analysis" involving "such factors as the potential threat the subject poses to public safety and the likelihood that the subject may destroy evidence"); </w:t>
      </w:r>
      <w:bookmarkStart w:id="92" w:name="Bookmark_I68T3XJ92D6NH20050000400"/>
      <w:bookmarkEnd w:id="92"/>
      <w:hyperlink r:id="rId29" w:history="1">
        <w:r>
          <w:rPr>
            <w:rFonts w:ascii="arial" w:eastAsia="arial" w:hAnsi="arial" w:cs="arial"/>
            <w:b w:val="0"/>
            <w:i/>
            <w:strike w:val="0"/>
            <w:noProof w:val="0"/>
            <w:color w:val="0077CC"/>
            <w:position w:val="0"/>
            <w:sz w:val="20"/>
            <w:u w:val="single"/>
            <w:vertAlign w:val="baseline"/>
          </w:rPr>
          <w:t>Hart v. United States</w:t>
        </w:r>
      </w:hyperlink>
      <w:hyperlink r:id="rId29" w:history="1">
        <w:r>
          <w:rPr>
            <w:rFonts w:ascii="arial" w:eastAsia="arial" w:hAnsi="arial" w:cs="arial"/>
            <w:b w:val="0"/>
            <w:i/>
            <w:strike w:val="0"/>
            <w:noProof w:val="0"/>
            <w:color w:val="0077CC"/>
            <w:position w:val="0"/>
            <w:sz w:val="20"/>
            <w:u w:val="single"/>
            <w:vertAlign w:val="baseline"/>
          </w:rPr>
          <w:t>, 630 F.3d 1085, 1090 (8th Cir. 2011)</w:t>
        </w:r>
      </w:hyperlink>
      <w:r>
        <w:rPr>
          <w:rFonts w:ascii="arial" w:eastAsia="arial" w:hAnsi="arial" w:cs="arial"/>
          <w:b w:val="0"/>
          <w:i w:val="0"/>
          <w:strike w:val="0"/>
          <w:noProof w:val="0"/>
          <w:color w:val="000000"/>
          <w:position w:val="0"/>
          <w:sz w:val="20"/>
          <w:u w:val="none"/>
          <w:vertAlign w:val="baseline"/>
        </w:rPr>
        <w:t xml:space="preserve"> ("We readily conclude a federal law enforcement officer's on-the-spot decisions concerning how to effectuate an arrest—including how best to restrain, supervise, control or trust an arrestee—fall within the discretionary function exception to the FTCA absent a specific mandatory directive to the contrary.").</w:t>
      </w:r>
    </w:p>
    <w:p>
      <w:pPr>
        <w:keepNext w:val="0"/>
        <w:spacing w:before="200" w:after="0" w:line="260" w:lineRule="atLeast"/>
        <w:ind w:left="0" w:right="0" w:firstLine="0"/>
        <w:jc w:val="both"/>
      </w:pPr>
      <w:bookmarkStart w:id="93" w:name="Bookmark_para_31"/>
      <w:bookmarkEnd w:id="93"/>
      <w:r>
        <w:rPr>
          <w:rFonts w:ascii="arial" w:eastAsia="arial" w:hAnsi="arial" w:cs="arial"/>
          <w:b w:val="0"/>
          <w:i w:val="0"/>
          <w:strike w:val="0"/>
          <w:noProof w:val="0"/>
          <w:color w:val="000000"/>
          <w:position w:val="0"/>
          <w:sz w:val="20"/>
          <w:u w:val="none"/>
          <w:vertAlign w:val="baseline"/>
        </w:rPr>
        <w:t xml:space="preserve">Therefore, the Court concludes that the </w:t>
      </w:r>
      <w:r>
        <w:rPr>
          <w:rFonts w:ascii="arial" w:eastAsia="arial" w:hAnsi="arial" w:cs="arial"/>
          <w:b w:val="0"/>
          <w:i/>
          <w:strike w:val="0"/>
          <w:noProof w:val="0"/>
          <w:color w:val="000000"/>
          <w:position w:val="0"/>
          <w:sz w:val="20"/>
          <w:u w:val="none"/>
          <w:vertAlign w:val="baseline"/>
        </w:rPr>
        <w:t>Berkovitz</w:t>
      </w:r>
      <w:r>
        <w:rPr>
          <w:rFonts w:ascii="arial" w:eastAsia="arial" w:hAnsi="arial" w:cs="arial"/>
          <w:b w:val="0"/>
          <w:i w:val="0"/>
          <w:strike w:val="0"/>
          <w:noProof w:val="0"/>
          <w:color w:val="000000"/>
          <w:position w:val="0"/>
          <w:sz w:val="20"/>
          <w:u w:val="none"/>
          <w:vertAlign w:val="baseline"/>
        </w:rPr>
        <w:t xml:space="preserve"> test has been satisfied, and the discretionary function exception to the waiver of sovereign immunity applies.</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 xml:space="preserve">B. The law enforcement proviso under </w:t>
      </w:r>
      <w:hyperlink r:id="rId11" w:history="1">
        <w:r>
          <w:rPr>
            <w:rFonts w:ascii="arial" w:eastAsia="arial" w:hAnsi="arial" w:cs="arial"/>
            <w:b/>
            <w:i/>
            <w:strike w:val="0"/>
            <w:noProof w:val="0"/>
            <w:color w:val="0077CC"/>
            <w:position w:val="0"/>
            <w:sz w:val="20"/>
            <w:u w:val="single"/>
            <w:vertAlign w:val="baseline"/>
          </w:rPr>
          <w:t>28 U.S.C. § 2680(h)</w:t>
        </w:r>
      </w:hyperlink>
      <w:r>
        <w:rPr>
          <w:rFonts w:ascii="arial" w:eastAsia="arial" w:hAnsi="arial" w:cs="arial"/>
          <w:b/>
          <w:i w:val="0"/>
          <w:strike w:val="0"/>
          <w:noProof w:val="0"/>
          <w:color w:val="000000"/>
          <w:position w:val="0"/>
          <w:sz w:val="20"/>
          <w:u w:val="none"/>
          <w:vertAlign w:val="baseline"/>
        </w:rPr>
        <w:t xml:space="preserve"> does not override the discretionary function exception, and the two statutory subsections can be read harmoniously together</w:t>
      </w:r>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94" w:name="Bookmark_para_32"/>
      <w:bookmarkEnd w:id="94"/>
      <w:bookmarkStart w:id="95" w:name="Bookmark_I68T3XJ92N1RBC0030000400"/>
      <w:bookmarkEnd w:id="95"/>
      <w:r>
        <w:rPr>
          <w:rFonts w:ascii="arial" w:eastAsia="arial" w:hAnsi="arial" w:cs="arial"/>
          <w:b w:val="0"/>
          <w:i w:val="0"/>
          <w:strike w:val="0"/>
          <w:noProof w:val="0"/>
          <w:color w:val="000000"/>
          <w:position w:val="0"/>
          <w:sz w:val="20"/>
          <w:u w:val="none"/>
          <w:vertAlign w:val="baseline"/>
        </w:rPr>
        <w:t>Plaintiff asserts that sovereign immunity has been waived under a separate provision, the law</w:t>
      </w:r>
      <w:r>
        <w:rPr>
          <w:rFonts w:ascii="arial" w:eastAsia="arial" w:hAnsi="arial" w:cs="arial"/>
          <w:b/>
          <w:i w:val="0"/>
          <w:strike w:val="0"/>
          <w:noProof w:val="0"/>
          <w:color w:val="000000"/>
          <w:position w:val="0"/>
          <w:sz w:val="20"/>
          <w:u w:val="none"/>
          <w:vertAlign w:val="baseline"/>
        </w:rPr>
        <w:t> [*15] </w:t>
      </w:r>
      <w:r>
        <w:rPr>
          <w:rFonts w:ascii="arial" w:eastAsia="arial" w:hAnsi="arial" w:cs="arial"/>
          <w:b w:val="0"/>
          <w:i w:val="0"/>
          <w:strike w:val="0"/>
          <w:noProof w:val="0"/>
          <w:color w:val="000000"/>
          <w:position w:val="0"/>
          <w:sz w:val="20"/>
          <w:u w:val="none"/>
          <w:vertAlign w:val="baseline"/>
        </w:rPr>
        <w:t xml:space="preserve"> enforcement proviso under </w:t>
      </w:r>
      <w:hyperlink r:id="rId11" w:history="1">
        <w:r>
          <w:rPr>
            <w:rFonts w:ascii="arial" w:eastAsia="arial" w:hAnsi="arial" w:cs="arial"/>
            <w:b w:val="0"/>
            <w:i/>
            <w:strike w:val="0"/>
            <w:noProof w:val="0"/>
            <w:color w:val="0077CC"/>
            <w:position w:val="0"/>
            <w:sz w:val="20"/>
            <w:u w:val="single"/>
            <w:vertAlign w:val="baseline"/>
          </w:rPr>
          <w:t>28 U.S.C. § 2680(h)</w:t>
        </w:r>
      </w:hyperlink>
      <w:r>
        <w:rPr>
          <w:rFonts w:ascii="arial" w:eastAsia="arial" w:hAnsi="arial" w:cs="arial"/>
          <w:b w:val="0"/>
          <w:i w:val="0"/>
          <w:strike w:val="0"/>
          <w:noProof w:val="0"/>
          <w:color w:val="000000"/>
          <w:position w:val="0"/>
          <w:sz w:val="20"/>
          <w:u w:val="none"/>
          <w:vertAlign w:val="baseline"/>
        </w:rPr>
        <w:t xml:space="preserve">, which she asserts overrides the discretionary function provision under </w:t>
      </w:r>
      <w:hyperlink r:id="rId11" w:history="1">
        <w:r>
          <w:rPr>
            <w:rFonts w:ascii="arial" w:eastAsia="arial" w:hAnsi="arial" w:cs="arial"/>
            <w:b w:val="0"/>
            <w:i/>
            <w:strike w:val="0"/>
            <w:noProof w:val="0"/>
            <w:color w:val="0077CC"/>
            <w:position w:val="0"/>
            <w:sz w:val="20"/>
            <w:u w:val="single"/>
            <w:vertAlign w:val="baseline"/>
          </w:rPr>
          <w:t>§ 2680(a)</w:t>
        </w:r>
      </w:hyperlink>
      <w:r>
        <w:rPr>
          <w:rFonts w:ascii="arial" w:eastAsia="arial" w:hAnsi="arial" w:cs="arial"/>
          <w:b w:val="0"/>
          <w:i w:val="0"/>
          <w:strike w:val="0"/>
          <w:noProof w:val="0"/>
          <w:color w:val="000000"/>
          <w:position w:val="0"/>
          <w:sz w:val="20"/>
          <w:u w:val="none"/>
          <w:vertAlign w:val="baseline"/>
        </w:rPr>
        <w:t xml:space="preserve">, citing </w:t>
      </w:r>
      <w:bookmarkStart w:id="96" w:name="Bookmark_I68T3XJ92N1RBC0020000400"/>
      <w:bookmarkEnd w:id="96"/>
      <w:hyperlink r:id="rId35" w:history="1">
        <w:r>
          <w:rPr>
            <w:rFonts w:ascii="arial" w:eastAsia="arial" w:hAnsi="arial" w:cs="arial"/>
            <w:b w:val="0"/>
            <w:i/>
            <w:strike w:val="0"/>
            <w:noProof w:val="0"/>
            <w:color w:val="0077CC"/>
            <w:position w:val="0"/>
            <w:sz w:val="20"/>
            <w:u w:val="single"/>
            <w:vertAlign w:val="baseline"/>
          </w:rPr>
          <w:t>Nguyen v. United States</w:t>
        </w:r>
      </w:hyperlink>
      <w:hyperlink r:id="rId35" w:history="1">
        <w:r>
          <w:rPr>
            <w:rFonts w:ascii="arial" w:eastAsia="arial" w:hAnsi="arial" w:cs="arial"/>
            <w:b w:val="0"/>
            <w:i/>
            <w:strike w:val="0"/>
            <w:noProof w:val="0"/>
            <w:color w:val="0077CC"/>
            <w:position w:val="0"/>
            <w:sz w:val="20"/>
            <w:u w:val="single"/>
            <w:vertAlign w:val="baseline"/>
          </w:rPr>
          <w:t>, 556 F.3d 1244 (11th Cir. 2009)</w:t>
        </w:r>
      </w:hyperlink>
      <w:r>
        <w:rPr>
          <w:rFonts w:ascii="arial" w:eastAsia="arial" w:hAnsi="arial" w:cs="arial"/>
          <w:b w:val="0"/>
          <w:i w:val="0"/>
          <w:strike w:val="0"/>
          <w:noProof w:val="0"/>
          <w:color w:val="000000"/>
          <w:position w:val="0"/>
          <w:sz w:val="20"/>
          <w:u w:val="none"/>
          <w:vertAlign w:val="baseline"/>
        </w:rPr>
        <w:t>. The Court disagrees with Plaintiff.</w:t>
      </w:r>
    </w:p>
    <w:p>
      <w:pPr>
        <w:keepNext w:val="0"/>
        <w:spacing w:before="200" w:after="0" w:line="260" w:lineRule="atLeast"/>
        <w:ind w:left="0" w:right="0" w:firstLine="0"/>
        <w:jc w:val="both"/>
      </w:pPr>
      <w:bookmarkStart w:id="97" w:name="Bookmark_para_33"/>
      <w:bookmarkEnd w:id="97"/>
      <w:r>
        <w:rPr>
          <w:rFonts w:ascii="arial" w:eastAsia="arial" w:hAnsi="arial" w:cs="arial"/>
          <w:b w:val="0"/>
          <w:i w:val="0"/>
          <w:strike w:val="0"/>
          <w:noProof w:val="0"/>
          <w:color w:val="000000"/>
          <w:position w:val="0"/>
          <w:sz w:val="20"/>
          <w:u w:val="none"/>
          <w:vertAlign w:val="baseline"/>
        </w:rPr>
        <w:t xml:space="preserve">Under </w:t>
      </w:r>
      <w:hyperlink r:id="rId11" w:history="1">
        <w:r>
          <w:rPr>
            <w:rFonts w:ascii="arial" w:eastAsia="arial" w:hAnsi="arial" w:cs="arial"/>
            <w:b w:val="0"/>
            <w:i/>
            <w:strike w:val="0"/>
            <w:noProof w:val="0"/>
            <w:color w:val="0077CC"/>
            <w:position w:val="0"/>
            <w:sz w:val="20"/>
            <w:u w:val="single"/>
            <w:vertAlign w:val="baseline"/>
          </w:rPr>
          <w:t>28 U.S.C. § 2680(h)</w:t>
        </w:r>
      </w:hyperlink>
      <w:r>
        <w:rPr>
          <w:rFonts w:ascii="arial" w:eastAsia="arial" w:hAnsi="arial" w:cs="arial"/>
          <w:b w:val="0"/>
          <w:i w:val="0"/>
          <w:strike w:val="0"/>
          <w:noProof w:val="0"/>
          <w:color w:val="000000"/>
          <w:position w:val="0"/>
          <w:sz w:val="20"/>
          <w:u w:val="none"/>
          <w:vertAlign w:val="baseline"/>
        </w:rPr>
        <w:t xml:space="preserve">, the "intentional tort" exception to the waiver of sovereign immunity retains the United States' immunity, and thus bars FTCA actions for "[a]ny claim arising out of assault, battery, false imprisonment, false arrest, malicious prosecution, abuse of process, libel, slander, misrepresentation, deceit, or interference with contract rights."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However, the "law enforcement proviso" in the same subsection provides an exception to the exception, and therefore waives sovereign immunity for certain intentional torts by law enforcement officers:</w:t>
      </w:r>
    </w:p>
    <w:p>
      <w:pPr>
        <w:keepNext w:val="0"/>
        <w:spacing w:before="240" w:after="0" w:line="260" w:lineRule="atLeast"/>
        <w:ind w:left="400" w:right="0" w:firstLine="0"/>
        <w:jc w:val="both"/>
      </w:pPr>
      <w:bookmarkStart w:id="98" w:name="Bookmark_para_34"/>
      <w:bookmarkEnd w:id="98"/>
      <w:r>
        <w:rPr>
          <w:rFonts w:ascii="arial" w:eastAsia="arial" w:hAnsi="arial" w:cs="arial"/>
          <w:b w:val="0"/>
          <w:i/>
          <w:strike w:val="0"/>
          <w:noProof w:val="0"/>
          <w:color w:val="000000"/>
          <w:position w:val="0"/>
          <w:sz w:val="20"/>
          <w:u w:val="none"/>
          <w:vertAlign w:val="baseline"/>
        </w:rPr>
        <w:t>Provided</w:t>
      </w:r>
      <w:r>
        <w:rPr>
          <w:rFonts w:ascii="arial" w:eastAsia="arial" w:hAnsi="arial" w:cs="arial"/>
          <w:b w:val="0"/>
          <w:i w:val="0"/>
          <w:strike w:val="0"/>
          <w:noProof w:val="0"/>
          <w:color w:val="000000"/>
          <w:position w:val="0"/>
          <w:sz w:val="20"/>
          <w:u w:val="none"/>
          <w:vertAlign w:val="baseline"/>
        </w:rPr>
        <w:t xml:space="preserve">, That, with regard to acts or omissions of investigative or law enforcement officers of the United States Government, the provisions of this chapter and </w:t>
      </w:r>
      <w:hyperlink r:id="rId17" w:history="1">
        <w:r>
          <w:rPr>
            <w:rFonts w:ascii="arial" w:eastAsia="arial" w:hAnsi="arial" w:cs="arial"/>
            <w:b w:val="0"/>
            <w:i/>
            <w:strike w:val="0"/>
            <w:noProof w:val="0"/>
            <w:color w:val="0077CC"/>
            <w:position w:val="0"/>
            <w:sz w:val="20"/>
            <w:u w:val="single"/>
            <w:vertAlign w:val="baseline"/>
          </w:rPr>
          <w:t>section 1346(b)</w:t>
        </w:r>
      </w:hyperlink>
      <w:r>
        <w:rPr>
          <w:rFonts w:ascii="arial" w:eastAsia="arial" w:hAnsi="arial" w:cs="arial"/>
          <w:b w:val="0"/>
          <w:i w:val="0"/>
          <w:strike w:val="0"/>
          <w:noProof w:val="0"/>
          <w:color w:val="000000"/>
          <w:position w:val="0"/>
          <w:sz w:val="20"/>
          <w:u w:val="none"/>
          <w:vertAlign w:val="baseline"/>
        </w:rPr>
        <w:t xml:space="preserve"> of this title shall apply to any claim arising ... out of assault, battery, false imprisonment, false arrest, abuse of process, or malicious prosecution...</w:t>
      </w:r>
    </w:p>
    <w:p>
      <w:pPr>
        <w:keepNext w:val="0"/>
        <w:spacing w:before="240" w:after="0" w:line="260" w:lineRule="atLeast"/>
        <w:ind w:left="0" w:right="0" w:firstLine="0"/>
        <w:jc w:val="both"/>
      </w:pPr>
      <w:hyperlink r:id="rId11" w:history="1">
        <w:r>
          <w:rPr>
            <w:rFonts w:ascii="arial" w:eastAsia="arial" w:hAnsi="arial" w:cs="arial"/>
            <w:b w:val="0"/>
            <w:i/>
            <w:strike w:val="0"/>
            <w:color w:val="0077CC"/>
            <w:sz w:val="20"/>
            <w:u w:val="single"/>
            <w:vertAlign w:val="baseline"/>
          </w:rPr>
          <w:t>28 U.S.C. § 2680(h) (sic)</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99" w:name="Bookmark_para_35"/>
      <w:bookmarkEnd w:id="99"/>
      <w:bookmarkStart w:id="100" w:name="Bookmark_I68T3XJ92N1RBC0050000400"/>
      <w:bookmarkEnd w:id="100"/>
      <w:r>
        <w:rPr>
          <w:rFonts w:ascii="arial" w:eastAsia="arial" w:hAnsi="arial" w:cs="arial"/>
          <w:b w:val="0"/>
          <w:i w:val="0"/>
          <w:strike w:val="0"/>
          <w:noProof w:val="0"/>
          <w:color w:val="000000"/>
          <w:position w:val="0"/>
          <w:sz w:val="20"/>
          <w:u w:val="none"/>
          <w:vertAlign w:val="baseline"/>
        </w:rPr>
        <w:t xml:space="preserve">The majority of circuits have concluded that the law enforcement provision does not override the discretionary function exception to the sovereign immunity waiver. </w:t>
      </w:r>
      <w:bookmarkStart w:id="101" w:name="Bookmark_I68T3XJB2D6NHB0040000400"/>
      <w:bookmarkEnd w:id="101"/>
      <w:bookmarkStart w:id="102" w:name="Bookmark_I68T3XJD2D6NHS0020000400"/>
      <w:bookmarkEnd w:id="102"/>
      <w:r>
        <w:rPr>
          <w:rFonts w:ascii="arial" w:eastAsia="arial" w:hAnsi="arial" w:cs="arial"/>
          <w:b w:val="0"/>
          <w:i w:val="0"/>
          <w:strike w:val="0"/>
          <w:noProof w:val="0"/>
          <w:color w:val="000000"/>
          <w:position w:val="0"/>
          <w:sz w:val="20"/>
          <w:u w:val="none"/>
          <w:vertAlign w:val="baseline"/>
        </w:rPr>
        <w:t>That is, if the discretionary</w:t>
      </w:r>
      <w:r>
        <w:rPr>
          <w:rFonts w:ascii="arial" w:eastAsia="arial" w:hAnsi="arial" w:cs="arial"/>
          <w:b/>
          <w:i w:val="0"/>
          <w:strike w:val="0"/>
          <w:noProof w:val="0"/>
          <w:color w:val="000000"/>
          <w:position w:val="0"/>
          <w:sz w:val="20"/>
          <w:u w:val="none"/>
          <w:vertAlign w:val="baseline"/>
        </w:rPr>
        <w:t> [*16] </w:t>
      </w:r>
      <w:r>
        <w:rPr>
          <w:rFonts w:ascii="arial" w:eastAsia="arial" w:hAnsi="arial" w:cs="arial"/>
          <w:b w:val="0"/>
          <w:i w:val="0"/>
          <w:strike w:val="0"/>
          <w:noProof w:val="0"/>
          <w:color w:val="000000"/>
          <w:position w:val="0"/>
          <w:sz w:val="20"/>
          <w:u w:val="none"/>
          <w:vertAlign w:val="baseline"/>
        </w:rPr>
        <w:t xml:space="preserve"> function applies under </w:t>
      </w:r>
      <w:hyperlink r:id="rId11" w:history="1">
        <w:r>
          <w:rPr>
            <w:rFonts w:ascii="arial" w:eastAsia="arial" w:hAnsi="arial" w:cs="arial"/>
            <w:b w:val="0"/>
            <w:i/>
            <w:strike w:val="0"/>
            <w:noProof w:val="0"/>
            <w:color w:val="0077CC"/>
            <w:position w:val="0"/>
            <w:sz w:val="20"/>
            <w:u w:val="single"/>
            <w:vertAlign w:val="baseline"/>
          </w:rPr>
          <w:t>§ 2680(a)</w:t>
        </w:r>
      </w:hyperlink>
      <w:r>
        <w:rPr>
          <w:rFonts w:ascii="arial" w:eastAsia="arial" w:hAnsi="arial" w:cs="arial"/>
          <w:b w:val="0"/>
          <w:i w:val="0"/>
          <w:strike w:val="0"/>
          <w:noProof w:val="0"/>
          <w:color w:val="000000"/>
          <w:position w:val="0"/>
          <w:sz w:val="20"/>
          <w:u w:val="none"/>
          <w:vertAlign w:val="baseline"/>
        </w:rPr>
        <w:t xml:space="preserve">, the law enforcement proviso does not necessarily waive sovereign immunity. </w:t>
      </w:r>
      <w:bookmarkStart w:id="103" w:name="Bookmark_I68T3XJC28T4260050000400"/>
      <w:bookmarkEnd w:id="103"/>
      <w:r>
        <w:rPr>
          <w:rFonts w:ascii="arial" w:eastAsia="arial" w:hAnsi="arial" w:cs="arial"/>
          <w:b w:val="0"/>
          <w:i/>
          <w:strike w:val="0"/>
          <w:noProof w:val="0"/>
          <w:color w:val="000000"/>
          <w:position w:val="0"/>
          <w:sz w:val="20"/>
          <w:u w:val="none"/>
          <w:vertAlign w:val="baseline"/>
        </w:rPr>
        <w:t xml:space="preserve">See </w:t>
      </w:r>
      <w:bookmarkStart w:id="104" w:name="Bookmark_I68T3XJ92N1RBC0040000400"/>
      <w:bookmarkEnd w:id="104"/>
      <w:hyperlink r:id="rId36" w:history="1">
        <w:r>
          <w:rPr>
            <w:rFonts w:ascii="arial" w:eastAsia="arial" w:hAnsi="arial" w:cs="arial"/>
            <w:b w:val="0"/>
            <w:i/>
            <w:strike w:val="0"/>
            <w:noProof w:val="0"/>
            <w:color w:val="0077CC"/>
            <w:position w:val="0"/>
            <w:sz w:val="20"/>
            <w:u w:val="single"/>
            <w:vertAlign w:val="baseline"/>
          </w:rPr>
          <w:t>Joiner v. United States</w:t>
        </w:r>
      </w:hyperlink>
      <w:hyperlink r:id="rId36" w:history="1">
        <w:r>
          <w:rPr>
            <w:rFonts w:ascii="arial" w:eastAsia="arial" w:hAnsi="arial" w:cs="arial"/>
            <w:b w:val="0"/>
            <w:i/>
            <w:strike w:val="0"/>
            <w:noProof w:val="0"/>
            <w:color w:val="0077CC"/>
            <w:position w:val="0"/>
            <w:sz w:val="20"/>
            <w:u w:val="single"/>
            <w:vertAlign w:val="baseline"/>
          </w:rPr>
          <w:t>, 955 F.3d 399, 406 (5th Cir. 2020)</w:t>
        </w:r>
      </w:hyperlink>
      <w:r>
        <w:rPr>
          <w:rFonts w:ascii="arial" w:eastAsia="arial" w:hAnsi="arial" w:cs="arial"/>
          <w:b w:val="0"/>
          <w:i w:val="0"/>
          <w:strike w:val="0"/>
          <w:noProof w:val="0"/>
          <w:color w:val="000000"/>
          <w:position w:val="0"/>
          <w:sz w:val="20"/>
          <w:u w:val="none"/>
          <w:vertAlign w:val="baseline"/>
        </w:rPr>
        <w:t xml:space="preserve"> (although plaintiff "invoked the law enforcement proviso here, that does not automatically trump the discretionary function exception..."); </w:t>
      </w:r>
      <w:bookmarkStart w:id="105" w:name="Bookmark_I68T3XJB2D6NHB0010000400"/>
      <w:bookmarkEnd w:id="105"/>
      <w:hyperlink r:id="rId37" w:history="1">
        <w:r>
          <w:rPr>
            <w:rFonts w:ascii="arial" w:eastAsia="arial" w:hAnsi="arial" w:cs="arial"/>
            <w:b w:val="0"/>
            <w:i/>
            <w:strike w:val="0"/>
            <w:noProof w:val="0"/>
            <w:color w:val="0077CC"/>
            <w:position w:val="0"/>
            <w:sz w:val="20"/>
            <w:u w:val="single"/>
            <w:vertAlign w:val="baseline"/>
          </w:rPr>
          <w:t>Campos v. United States</w:t>
        </w:r>
      </w:hyperlink>
      <w:hyperlink r:id="rId37" w:history="1">
        <w:r>
          <w:rPr>
            <w:rFonts w:ascii="arial" w:eastAsia="arial" w:hAnsi="arial" w:cs="arial"/>
            <w:b w:val="0"/>
            <w:i/>
            <w:strike w:val="0"/>
            <w:noProof w:val="0"/>
            <w:color w:val="0077CC"/>
            <w:position w:val="0"/>
            <w:sz w:val="20"/>
            <w:u w:val="single"/>
            <w:vertAlign w:val="baseline"/>
          </w:rPr>
          <w:t>, 888 F.3d 724, 731 (5th Cir. 2018)</w:t>
        </w:r>
      </w:hyperlink>
      <w:r>
        <w:rPr>
          <w:rFonts w:ascii="arial" w:eastAsia="arial" w:hAnsi="arial" w:cs="arial"/>
          <w:b w:val="0"/>
          <w:i w:val="0"/>
          <w:strike w:val="0"/>
          <w:noProof w:val="0"/>
          <w:color w:val="000000"/>
          <w:position w:val="0"/>
          <w:sz w:val="20"/>
          <w:u w:val="none"/>
          <w:vertAlign w:val="baseline"/>
        </w:rPr>
        <w:t xml:space="preserve"> ("[B]oth the proviso and the discretionary function exception must be read together. </w:t>
      </w:r>
      <w:bookmarkStart w:id="106" w:name="Bookmark_I68T3XJC28T4260050000400_2"/>
      <w:bookmarkEnd w:id="106"/>
      <w:bookmarkStart w:id="107" w:name="Bookmark_I68T3XJD2D6NHS0020000400_2"/>
      <w:bookmarkEnd w:id="107"/>
      <w:bookmarkStart w:id="108" w:name="Bookmark_I68T3XJB2D6NHB0040000400_2"/>
      <w:bookmarkEnd w:id="108"/>
      <w:r>
        <w:rPr>
          <w:rFonts w:ascii="arial" w:eastAsia="arial" w:hAnsi="arial" w:cs="arial"/>
          <w:b w:val="0"/>
          <w:i w:val="0"/>
          <w:strike w:val="0"/>
          <w:noProof w:val="0"/>
          <w:color w:val="000000"/>
          <w:position w:val="0"/>
          <w:sz w:val="20"/>
          <w:u w:val="none"/>
          <w:vertAlign w:val="baseline"/>
        </w:rPr>
        <w:t xml:space="preserve">In other words, one does not moot the other when both cover a fact pattern.") (internal citation omitted); </w:t>
      </w:r>
      <w:r>
        <w:rPr>
          <w:rFonts w:ascii="arial" w:eastAsia="arial" w:hAnsi="arial" w:cs="arial"/>
          <w:b w:val="0"/>
          <w:i/>
          <w:strike w:val="0"/>
          <w:noProof w:val="0"/>
          <w:color w:val="000000"/>
          <w:position w:val="0"/>
          <w:sz w:val="20"/>
          <w:u w:val="none"/>
          <w:vertAlign w:val="baseline"/>
        </w:rPr>
        <w:t xml:space="preserve">see also </w:t>
      </w:r>
      <w:bookmarkStart w:id="109" w:name="Bookmark_I68T3XJB2D6NHB0030000400"/>
      <w:bookmarkEnd w:id="109"/>
      <w:hyperlink r:id="rId28" w:history="1">
        <w:r>
          <w:rPr>
            <w:rFonts w:ascii="arial" w:eastAsia="arial" w:hAnsi="arial" w:cs="arial"/>
            <w:b w:val="0"/>
            <w:i/>
            <w:strike w:val="0"/>
            <w:noProof w:val="0"/>
            <w:color w:val="0077CC"/>
            <w:position w:val="0"/>
            <w:sz w:val="20"/>
            <w:u w:val="single"/>
            <w:vertAlign w:val="baseline"/>
          </w:rPr>
          <w:t>Linder v. United States</w:t>
        </w:r>
      </w:hyperlink>
      <w:hyperlink r:id="rId28" w:history="1">
        <w:r>
          <w:rPr>
            <w:rFonts w:ascii="arial" w:eastAsia="arial" w:hAnsi="arial" w:cs="arial"/>
            <w:b w:val="0"/>
            <w:i/>
            <w:strike w:val="0"/>
            <w:noProof w:val="0"/>
            <w:color w:val="0077CC"/>
            <w:position w:val="0"/>
            <w:sz w:val="20"/>
            <w:u w:val="single"/>
            <w:vertAlign w:val="baseline"/>
          </w:rPr>
          <w:t>, 937 F.3d 1087, 1089 (7th Cir. 2019)</w:t>
        </w:r>
      </w:hyperlink>
      <w:r>
        <w:rPr>
          <w:rFonts w:ascii="arial" w:eastAsia="arial" w:hAnsi="arial" w:cs="arial"/>
          <w:b w:val="0"/>
          <w:i w:val="0"/>
          <w:strike w:val="0"/>
          <w:noProof w:val="0"/>
          <w:color w:val="000000"/>
          <w:position w:val="0"/>
          <w:sz w:val="20"/>
          <w:u w:val="none"/>
          <w:vertAlign w:val="baseline"/>
        </w:rPr>
        <w:t xml:space="preserve">; </w:t>
      </w:r>
      <w:bookmarkStart w:id="110" w:name="Bookmark_I68T3XJB2D6NHB0050000400"/>
      <w:bookmarkEnd w:id="110"/>
      <w:hyperlink r:id="rId38" w:history="1">
        <w:r>
          <w:rPr>
            <w:rFonts w:ascii="arial" w:eastAsia="arial" w:hAnsi="arial" w:cs="arial"/>
            <w:b w:val="0"/>
            <w:i/>
            <w:strike w:val="0"/>
            <w:noProof w:val="0"/>
            <w:color w:val="0077CC"/>
            <w:position w:val="0"/>
            <w:sz w:val="20"/>
            <w:u w:val="single"/>
            <w:vertAlign w:val="baseline"/>
          </w:rPr>
          <w:t>Medina v. United States</w:t>
        </w:r>
      </w:hyperlink>
      <w:hyperlink r:id="rId38" w:history="1">
        <w:r>
          <w:rPr>
            <w:rFonts w:ascii="arial" w:eastAsia="arial" w:hAnsi="arial" w:cs="arial"/>
            <w:b w:val="0"/>
            <w:i/>
            <w:strike w:val="0"/>
            <w:noProof w:val="0"/>
            <w:color w:val="0077CC"/>
            <w:position w:val="0"/>
            <w:sz w:val="20"/>
            <w:u w:val="single"/>
            <w:vertAlign w:val="baseline"/>
          </w:rPr>
          <w:t>, 259 F.3d 220, 224-26 (4th Cir. 2001)</w:t>
        </w:r>
      </w:hyperlink>
      <w:r>
        <w:rPr>
          <w:rFonts w:ascii="arial" w:eastAsia="arial" w:hAnsi="arial" w:cs="arial"/>
          <w:b w:val="0"/>
          <w:i w:val="0"/>
          <w:strike w:val="0"/>
          <w:noProof w:val="0"/>
          <w:color w:val="000000"/>
          <w:position w:val="0"/>
          <w:sz w:val="20"/>
          <w:u w:val="none"/>
          <w:vertAlign w:val="baseline"/>
        </w:rPr>
        <w:t xml:space="preserve">; </w:t>
      </w:r>
      <w:bookmarkStart w:id="111" w:name="Bookmark_I68T3XJB28T4200020000400"/>
      <w:bookmarkEnd w:id="111"/>
      <w:hyperlink r:id="rId39" w:history="1">
        <w:r>
          <w:rPr>
            <w:rFonts w:ascii="arial" w:eastAsia="arial" w:hAnsi="arial" w:cs="arial"/>
            <w:b w:val="0"/>
            <w:i/>
            <w:strike w:val="0"/>
            <w:noProof w:val="0"/>
            <w:color w:val="0077CC"/>
            <w:position w:val="0"/>
            <w:sz w:val="20"/>
            <w:u w:val="single"/>
            <w:vertAlign w:val="baseline"/>
          </w:rPr>
          <w:t>Gasho v. United States</w:t>
        </w:r>
      </w:hyperlink>
      <w:hyperlink r:id="rId39" w:history="1">
        <w:r>
          <w:rPr>
            <w:rFonts w:ascii="arial" w:eastAsia="arial" w:hAnsi="arial" w:cs="arial"/>
            <w:b w:val="0"/>
            <w:i/>
            <w:strike w:val="0"/>
            <w:noProof w:val="0"/>
            <w:color w:val="0077CC"/>
            <w:position w:val="0"/>
            <w:sz w:val="20"/>
            <w:u w:val="single"/>
            <w:vertAlign w:val="baseline"/>
          </w:rPr>
          <w:t>, 39 F.3d 1420, 1434-35 (9th Cir. 1994)</w:t>
        </w:r>
      </w:hyperlink>
      <w:r>
        <w:rPr>
          <w:rFonts w:ascii="arial" w:eastAsia="arial" w:hAnsi="arial" w:cs="arial"/>
          <w:b w:val="0"/>
          <w:i w:val="0"/>
          <w:strike w:val="0"/>
          <w:noProof w:val="0"/>
          <w:color w:val="000000"/>
          <w:position w:val="0"/>
          <w:sz w:val="20"/>
          <w:u w:val="none"/>
          <w:vertAlign w:val="baseline"/>
        </w:rPr>
        <w:t xml:space="preserve"> ("If [the United States] can show that the tortious conduct involves a 'discretionary function,' a plaintiff cannot maintain an FTCA claim, even if the discretionary act constitutes an intentional tort under </w:t>
      </w:r>
      <w:hyperlink r:id="rId11" w:history="1">
        <w:r>
          <w:rPr>
            <w:rFonts w:ascii="arial" w:eastAsia="arial" w:hAnsi="arial" w:cs="arial"/>
            <w:b w:val="0"/>
            <w:i/>
            <w:strike w:val="0"/>
            <w:noProof w:val="0"/>
            <w:color w:val="0077CC"/>
            <w:position w:val="0"/>
            <w:sz w:val="20"/>
            <w:u w:val="single"/>
            <w:vertAlign w:val="baseline"/>
          </w:rPr>
          <w:t>§ 2680(h)</w:t>
        </w:r>
      </w:hyperlink>
      <w:r>
        <w:rPr>
          <w:rFonts w:ascii="arial" w:eastAsia="arial" w:hAnsi="arial" w:cs="arial"/>
          <w:b w:val="0"/>
          <w:i w:val="0"/>
          <w:strike w:val="0"/>
          <w:noProof w:val="0"/>
          <w:color w:val="000000"/>
          <w:position w:val="0"/>
          <w:sz w:val="20"/>
          <w:u w:val="none"/>
          <w:vertAlign w:val="baseline"/>
        </w:rPr>
        <w:t xml:space="preserve">."); </w:t>
      </w:r>
      <w:bookmarkStart w:id="112" w:name="Bookmark_I68T3XJB28T4200040000400"/>
      <w:bookmarkEnd w:id="112"/>
      <w:hyperlink r:id="rId40" w:history="1">
        <w:r>
          <w:rPr>
            <w:rFonts w:ascii="arial" w:eastAsia="arial" w:hAnsi="arial" w:cs="arial"/>
            <w:b w:val="0"/>
            <w:i/>
            <w:strike w:val="0"/>
            <w:noProof w:val="0"/>
            <w:color w:val="0077CC"/>
            <w:position w:val="0"/>
            <w:sz w:val="20"/>
            <w:u w:val="single"/>
            <w:vertAlign w:val="baseline"/>
          </w:rPr>
          <w:t>Gray v. Bell</w:t>
        </w:r>
      </w:hyperlink>
      <w:hyperlink r:id="rId40" w:history="1">
        <w:r>
          <w:rPr>
            <w:rFonts w:ascii="arial" w:eastAsia="arial" w:hAnsi="arial" w:cs="arial"/>
            <w:b w:val="0"/>
            <w:i/>
            <w:strike w:val="0"/>
            <w:noProof w:val="0"/>
            <w:color w:val="0077CC"/>
            <w:position w:val="0"/>
            <w:sz w:val="20"/>
            <w:u w:val="single"/>
            <w:vertAlign w:val="baseline"/>
          </w:rPr>
          <w:t>, 712 F.2d 490, 507-08, 229 U.S. App. D.C. 176 (D.C. Cir. 1983)</w:t>
        </w:r>
      </w:hyperlink>
      <w:r>
        <w:rPr>
          <w:rFonts w:ascii="arial" w:eastAsia="arial" w:hAnsi="arial" w:cs="arial"/>
          <w:b w:val="0"/>
          <w:i w:val="0"/>
          <w:strike w:val="0"/>
          <w:noProof w:val="0"/>
          <w:color w:val="000000"/>
          <w:position w:val="0"/>
          <w:sz w:val="20"/>
          <w:u w:val="none"/>
          <w:vertAlign w:val="baseline"/>
        </w:rPr>
        <w:t xml:space="preserve">; </w:t>
      </w:r>
      <w:bookmarkStart w:id="113" w:name="Bookmark_I68T3XJC2SF7X10010000400"/>
      <w:bookmarkEnd w:id="113"/>
      <w:hyperlink r:id="rId41" w:history="1">
        <w:r>
          <w:rPr>
            <w:rFonts w:ascii="arial" w:eastAsia="arial" w:hAnsi="arial" w:cs="arial"/>
            <w:b w:val="0"/>
            <w:i/>
            <w:strike w:val="0"/>
            <w:noProof w:val="0"/>
            <w:color w:val="0077CC"/>
            <w:position w:val="0"/>
            <w:sz w:val="20"/>
            <w:u w:val="single"/>
            <w:vertAlign w:val="baseline"/>
          </w:rPr>
          <w:t>Caban v. United States</w:t>
        </w:r>
      </w:hyperlink>
      <w:hyperlink r:id="rId41" w:history="1">
        <w:r>
          <w:rPr>
            <w:rFonts w:ascii="arial" w:eastAsia="arial" w:hAnsi="arial" w:cs="arial"/>
            <w:b w:val="0"/>
            <w:i/>
            <w:strike w:val="0"/>
            <w:noProof w:val="0"/>
            <w:color w:val="0077CC"/>
            <w:position w:val="0"/>
            <w:sz w:val="20"/>
            <w:u w:val="single"/>
            <w:vertAlign w:val="baseline"/>
          </w:rPr>
          <w:t>, 671 F.2d 1230, 1234 (2d Cir. 1982)</w:t>
        </w:r>
      </w:hyperlink>
      <w:r>
        <w:rPr>
          <w:rFonts w:ascii="arial" w:eastAsia="arial" w:hAnsi="arial" w:cs="arial"/>
          <w:b w:val="0"/>
          <w:i w:val="0"/>
          <w:strike w:val="0"/>
          <w:noProof w:val="0"/>
          <w:color w:val="000000"/>
          <w:position w:val="0"/>
          <w:sz w:val="20"/>
          <w:u w:val="none"/>
          <w:vertAlign w:val="baseline"/>
        </w:rPr>
        <w:t xml:space="preserve">; </w:t>
      </w:r>
      <w:bookmarkStart w:id="114" w:name="Bookmark_I68T3XJC2SF7X10030000400"/>
      <w:bookmarkEnd w:id="114"/>
      <w:hyperlink r:id="rId42" w:history="1">
        <w:r>
          <w:rPr>
            <w:rFonts w:ascii="arial" w:eastAsia="arial" w:hAnsi="arial" w:cs="arial"/>
            <w:b w:val="0"/>
            <w:i/>
            <w:strike w:val="0"/>
            <w:noProof w:val="0"/>
            <w:color w:val="0077CC"/>
            <w:position w:val="0"/>
            <w:sz w:val="20"/>
            <w:u w:val="single"/>
            <w:vertAlign w:val="baseline"/>
          </w:rPr>
          <w:t>Pooler v. United States</w:t>
        </w:r>
      </w:hyperlink>
      <w:hyperlink r:id="rId42" w:history="1">
        <w:r>
          <w:rPr>
            <w:rFonts w:ascii="arial" w:eastAsia="arial" w:hAnsi="arial" w:cs="arial"/>
            <w:b w:val="0"/>
            <w:i/>
            <w:strike w:val="0"/>
            <w:noProof w:val="0"/>
            <w:color w:val="0077CC"/>
            <w:position w:val="0"/>
            <w:sz w:val="20"/>
            <w:u w:val="single"/>
            <w:vertAlign w:val="baseline"/>
          </w:rPr>
          <w:t>, 787 F.2d 868, 871-72 (3d Cir. 1986)</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 xml:space="preserve">abrogated on other grounds by </w:t>
      </w:r>
      <w:bookmarkStart w:id="115" w:name="Bookmark_I68T3XJC2SF7X10050000400"/>
      <w:bookmarkEnd w:id="115"/>
      <w:hyperlink r:id="rId43" w:history="1">
        <w:r>
          <w:rPr>
            <w:rFonts w:ascii="arial" w:eastAsia="arial" w:hAnsi="arial" w:cs="arial"/>
            <w:b w:val="0"/>
            <w:i/>
            <w:strike w:val="0"/>
            <w:noProof w:val="0"/>
            <w:color w:val="0077CC"/>
            <w:position w:val="0"/>
            <w:sz w:val="20"/>
            <w:u w:val="single"/>
            <w:vertAlign w:val="baseline"/>
          </w:rPr>
          <w:t>Millbrook v. United States</w:t>
        </w:r>
      </w:hyperlink>
      <w:hyperlink r:id="rId43" w:history="1">
        <w:r>
          <w:rPr>
            <w:rFonts w:ascii="arial" w:eastAsia="arial" w:hAnsi="arial" w:cs="arial"/>
            <w:b w:val="0"/>
            <w:i/>
            <w:strike w:val="0"/>
            <w:noProof w:val="0"/>
            <w:color w:val="0077CC"/>
            <w:position w:val="0"/>
            <w:sz w:val="20"/>
            <w:u w:val="single"/>
            <w:vertAlign w:val="baseline"/>
          </w:rPr>
          <w:t>, 569 U.S. 50, 133 S. Ct. 1441, 185 L. Ed. 2d 531 (2013)</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 xml:space="preserve">but see </w:t>
      </w:r>
      <w:bookmarkStart w:id="116" w:name="Bookmark_I68T3XJC28T4260020000400"/>
      <w:bookmarkEnd w:id="116"/>
      <w:hyperlink r:id="rId35" w:history="1">
        <w:r>
          <w:rPr>
            <w:rFonts w:ascii="arial" w:eastAsia="arial" w:hAnsi="arial" w:cs="arial"/>
            <w:b w:val="0"/>
            <w:i/>
            <w:strike w:val="0"/>
            <w:noProof w:val="0"/>
            <w:color w:val="0077CC"/>
            <w:position w:val="0"/>
            <w:sz w:val="20"/>
            <w:u w:val="single"/>
            <w:vertAlign w:val="baseline"/>
          </w:rPr>
          <w:t>Nguyen v. United States</w:t>
        </w:r>
      </w:hyperlink>
      <w:hyperlink r:id="rId35" w:history="1">
        <w:r>
          <w:rPr>
            <w:rFonts w:ascii="arial" w:eastAsia="arial" w:hAnsi="arial" w:cs="arial"/>
            <w:b w:val="0"/>
            <w:i/>
            <w:strike w:val="0"/>
            <w:noProof w:val="0"/>
            <w:color w:val="0077CC"/>
            <w:position w:val="0"/>
            <w:sz w:val="20"/>
            <w:u w:val="single"/>
            <w:vertAlign w:val="baseline"/>
          </w:rPr>
          <w:t>, 556 F.3d 1244 (11th Cir. 2009)</w:t>
        </w:r>
      </w:hyperlink>
      <w:r>
        <w:rPr>
          <w:rFonts w:ascii="arial" w:eastAsia="arial" w:hAnsi="arial" w:cs="arial"/>
          <w:b w:val="0"/>
          <w:i w:val="0"/>
          <w:strike w:val="0"/>
          <w:noProof w:val="0"/>
          <w:color w:val="000000"/>
          <w:position w:val="0"/>
          <w:sz w:val="20"/>
          <w:u w:val="none"/>
          <w:vertAlign w:val="baseline"/>
        </w:rPr>
        <w:t>.</w:t>
      </w:r>
      <w:r>
        <w:rPr>
          <w:rFonts w:ascii="arial" w:eastAsia="arial" w:hAnsi="arial" w:cs="arial"/>
          <w:vertAlign w:val="superscript"/>
        </w:rPr>
        <w:footnoteReference w:customMarkFollows="1" w:id="2"/>
        <w:t xml:space="preserve">1</w:t>
      </w:r>
      <w:r>
        <w:rPr>
          <w:rFonts w:ascii="arial" w:eastAsia="arial" w:hAnsi="arial" w:cs="arial"/>
          <w:b w:val="0"/>
          <w:i w:val="0"/>
          <w:strike w:val="0"/>
          <w:noProof w:val="0"/>
          <w:color w:val="000000"/>
          <w:position w:val="0"/>
          <w:sz w:val="20"/>
          <w:u w:val="none"/>
          <w:vertAlign w:val="baseline"/>
        </w:rPr>
        <w:t xml:space="preserve"> Although the Tenth Circuit has not decided this issue, a district court in this circuit has followed the majority. </w:t>
      </w:r>
      <w:bookmarkStart w:id="120" w:name="Bookmark_I68T3XJC28T4260040000400"/>
      <w:bookmarkEnd w:id="120"/>
      <w:hyperlink r:id="rId44" w:history="1">
        <w:r>
          <w:rPr>
            <w:rFonts w:ascii="arial" w:eastAsia="arial" w:hAnsi="arial" w:cs="arial"/>
            <w:b w:val="0"/>
            <w:i/>
            <w:strike w:val="0"/>
            <w:noProof w:val="0"/>
            <w:color w:val="0077CC"/>
            <w:position w:val="0"/>
            <w:sz w:val="20"/>
            <w:u w:val="single"/>
            <w:vertAlign w:val="baseline"/>
          </w:rPr>
          <w:t>Ramirez v. Reddish</w:t>
        </w:r>
      </w:hyperlink>
      <w:hyperlink r:id="rId44" w:history="1">
        <w:r>
          <w:rPr>
            <w:rFonts w:ascii="arial" w:eastAsia="arial" w:hAnsi="arial" w:cs="arial"/>
            <w:b w:val="0"/>
            <w:i/>
            <w:strike w:val="0"/>
            <w:noProof w:val="0"/>
            <w:color w:val="0077CC"/>
            <w:position w:val="0"/>
            <w:sz w:val="20"/>
            <w:u w:val="single"/>
            <w:vertAlign w:val="baseline"/>
          </w:rPr>
          <w:t>, 2020 U.S. Dist. LEXIS 72224, 2020 WL 1955366, at *27 (D. Utah. 2020)</w:t>
        </w:r>
      </w:hyperlink>
      <w:r>
        <w:rPr>
          <w:rFonts w:ascii="arial" w:eastAsia="arial" w:hAnsi="arial" w:cs="arial"/>
          <w:b w:val="0"/>
          <w:i w:val="0"/>
          <w:strike w:val="0"/>
          <w:noProof w:val="0"/>
          <w:color w:val="000000"/>
          <w:position w:val="0"/>
          <w:sz w:val="20"/>
          <w:u w:val="none"/>
          <w:vertAlign w:val="baseline"/>
        </w:rPr>
        <w:t xml:space="preserve"> (Ebel, J.).</w:t>
      </w:r>
    </w:p>
    <w:p>
      <w:pPr>
        <w:keepNext w:val="0"/>
        <w:spacing w:before="240" w:after="0" w:line="260" w:lineRule="atLeast"/>
        <w:ind w:left="0" w:right="0" w:firstLine="0"/>
        <w:jc w:val="both"/>
      </w:pPr>
      <w:bookmarkStart w:id="121" w:name="Bookmark_para_36"/>
      <w:bookmarkEnd w:id="121"/>
      <w:r>
        <w:rPr>
          <w:rFonts w:ascii="arial" w:eastAsia="arial" w:hAnsi="arial" w:cs="arial"/>
          <w:b w:val="0"/>
          <w:i w:val="0"/>
          <w:strike w:val="0"/>
          <w:noProof w:val="0"/>
          <w:color w:val="000000"/>
          <w:position w:val="0"/>
          <w:sz w:val="20"/>
          <w:u w:val="none"/>
          <w:vertAlign w:val="baseline"/>
        </w:rPr>
        <w:t xml:space="preserve">The two subsections of </w:t>
      </w:r>
      <w:hyperlink r:id="rId11" w:history="1">
        <w:r>
          <w:rPr>
            <w:rFonts w:ascii="arial" w:eastAsia="arial" w:hAnsi="arial" w:cs="arial"/>
            <w:b w:val="0"/>
            <w:i/>
            <w:strike w:val="0"/>
            <w:noProof w:val="0"/>
            <w:color w:val="0077CC"/>
            <w:position w:val="0"/>
            <w:sz w:val="20"/>
            <w:u w:val="single"/>
            <w:vertAlign w:val="baseline"/>
          </w:rPr>
          <w:t>§ 2680</w:t>
        </w:r>
      </w:hyperlink>
      <w:r>
        <w:rPr>
          <w:rFonts w:ascii="arial" w:eastAsia="arial" w:hAnsi="arial" w:cs="arial"/>
          <w:b w:val="0"/>
          <w:i w:val="0"/>
          <w:strike w:val="0"/>
          <w:noProof w:val="0"/>
          <w:color w:val="000000"/>
          <w:position w:val="0"/>
          <w:sz w:val="20"/>
          <w:u w:val="none"/>
          <w:vertAlign w:val="baseline"/>
        </w:rPr>
        <w:t xml:space="preserve"> are not in conflict and can be read harmoniously. The law enforcement proviso says that "the provisions of this chapter and </w:t>
      </w:r>
      <w:hyperlink r:id="rId17" w:history="1">
        <w:r>
          <w:rPr>
            <w:rFonts w:ascii="arial" w:eastAsia="arial" w:hAnsi="arial" w:cs="arial"/>
            <w:b w:val="0"/>
            <w:i/>
            <w:strike w:val="0"/>
            <w:noProof w:val="0"/>
            <w:color w:val="0077CC"/>
            <w:position w:val="0"/>
            <w:sz w:val="20"/>
            <w:u w:val="single"/>
            <w:vertAlign w:val="baseline"/>
          </w:rPr>
          <w:t>section 1346(b)</w:t>
        </w:r>
      </w:hyperlink>
      <w:r>
        <w:rPr>
          <w:rFonts w:ascii="arial" w:eastAsia="arial" w:hAnsi="arial" w:cs="arial"/>
          <w:b w:val="0"/>
          <w:i w:val="0"/>
          <w:strike w:val="0"/>
          <w:noProof w:val="0"/>
          <w:color w:val="000000"/>
          <w:position w:val="0"/>
          <w:sz w:val="20"/>
          <w:u w:val="none"/>
          <w:vertAlign w:val="baseline"/>
        </w:rPr>
        <w:t xml:space="preserve"> of this title </w:t>
      </w:r>
      <w:r>
        <w:rPr>
          <w:rFonts w:ascii="arial" w:eastAsia="arial" w:hAnsi="arial" w:cs="arial"/>
          <w:b w:val="0"/>
          <w:i/>
          <w:strike w:val="0"/>
          <w:noProof w:val="0"/>
          <w:color w:val="000000"/>
          <w:position w:val="0"/>
          <w:sz w:val="20"/>
          <w:u w:val="none"/>
          <w:vertAlign w:val="baseline"/>
        </w:rPr>
        <w:t>shall apply</w:t>
      </w:r>
      <w:r>
        <w:rPr>
          <w:rFonts w:ascii="arial" w:eastAsia="arial" w:hAnsi="arial" w:cs="arial"/>
          <w:b w:val="0"/>
          <w:i w:val="0"/>
          <w:strike w:val="0"/>
          <w:noProof w:val="0"/>
          <w:color w:val="000000"/>
          <w:position w:val="0"/>
          <w:sz w:val="20"/>
          <w:u w:val="none"/>
          <w:vertAlign w:val="baseline"/>
        </w:rPr>
        <w:t xml:space="preserve"> to any claim" (emphasis added) for assault and battery arising out of a law enforcement officer's acts. </w:t>
      </w:r>
      <w:hyperlink r:id="rId11" w:history="1">
        <w:r>
          <w:rPr>
            <w:rFonts w:ascii="arial" w:eastAsia="arial" w:hAnsi="arial" w:cs="arial"/>
            <w:b w:val="0"/>
            <w:i/>
            <w:strike w:val="0"/>
            <w:noProof w:val="0"/>
            <w:color w:val="0077CC"/>
            <w:position w:val="0"/>
            <w:sz w:val="20"/>
            <w:u w:val="single"/>
            <w:vertAlign w:val="baseline"/>
          </w:rPr>
          <w:t>§ 2680(h)</w:t>
        </w:r>
      </w:hyperlink>
      <w:r>
        <w:rPr>
          <w:rFonts w:ascii="arial" w:eastAsia="arial" w:hAnsi="arial" w:cs="arial"/>
          <w:b w:val="0"/>
          <w:i w:val="0"/>
          <w:strike w:val="0"/>
          <w:noProof w:val="0"/>
          <w:color w:val="000000"/>
          <w:position w:val="0"/>
          <w:sz w:val="20"/>
          <w:u w:val="none"/>
          <w:vertAlign w:val="baseline"/>
        </w:rPr>
        <w:t xml:space="preserve">. </w:t>
      </w:r>
      <w:bookmarkStart w:id="122" w:name="Bookmark_I68T3XJD28T42D0010000400"/>
      <w:bookmarkEnd w:id="122"/>
      <w:r>
        <w:rPr>
          <w:rFonts w:ascii="arial" w:eastAsia="arial" w:hAnsi="arial" w:cs="arial"/>
          <w:b w:val="0"/>
          <w:i w:val="0"/>
          <w:strike w:val="0"/>
          <w:noProof w:val="0"/>
          <w:color w:val="000000"/>
          <w:position w:val="0"/>
          <w:sz w:val="20"/>
          <w:u w:val="none"/>
          <w:vertAlign w:val="baseline"/>
        </w:rPr>
        <w:t xml:space="preserve">"'[T]his chapter' includes </w:t>
      </w:r>
      <w:hyperlink r:id="rId11" w:history="1">
        <w:r>
          <w:rPr>
            <w:rFonts w:ascii="arial" w:eastAsia="arial" w:hAnsi="arial" w:cs="arial"/>
            <w:b w:val="0"/>
            <w:i/>
            <w:strike w:val="0"/>
            <w:noProof w:val="0"/>
            <w:color w:val="0077CC"/>
            <w:position w:val="0"/>
            <w:sz w:val="20"/>
            <w:u w:val="single"/>
            <w:vertAlign w:val="baseline"/>
          </w:rPr>
          <w:t>§ 2680(a)</w:t>
        </w:r>
      </w:hyperlink>
      <w:r>
        <w:rPr>
          <w:rFonts w:ascii="arial" w:eastAsia="arial" w:hAnsi="arial" w:cs="arial"/>
          <w:b w:val="0"/>
          <w:i w:val="0"/>
          <w:strike w:val="0"/>
          <w:noProof w:val="0"/>
          <w:color w:val="000000"/>
          <w:position w:val="0"/>
          <w:sz w:val="20"/>
          <w:u w:val="none"/>
          <w:vertAlign w:val="baseline"/>
        </w:rPr>
        <w:t>, the discretionary-function exemption. This means that</w:t>
      </w:r>
      <w:r>
        <w:rPr>
          <w:rFonts w:ascii="arial" w:eastAsia="arial" w:hAnsi="arial" w:cs="arial"/>
          <w:b/>
          <w:i w:val="0"/>
          <w:strike w:val="0"/>
          <w:noProof w:val="0"/>
          <w:color w:val="000000"/>
          <w:position w:val="0"/>
          <w:sz w:val="20"/>
          <w:u w:val="none"/>
          <w:vertAlign w:val="baseline"/>
        </w:rPr>
        <w:t> [*17] </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discretionary</w:t>
      </w:r>
      <w:r>
        <w:rPr>
          <w:rFonts w:ascii="arial" w:eastAsia="arial" w:hAnsi="arial" w:cs="arial"/>
          <w:b w:val="0"/>
          <w:i w:val="0"/>
          <w:strike w:val="0"/>
          <w:noProof w:val="0"/>
          <w:color w:val="000000"/>
          <w:position w:val="0"/>
          <w:sz w:val="20"/>
          <w:u w:val="none"/>
          <w:vertAlign w:val="baseline"/>
        </w:rPr>
        <w:t xml:space="preserve"> acts by law-enforcement personnel remain outside the FTCA by virtue of </w:t>
      </w:r>
      <w:hyperlink r:id="rId11" w:history="1">
        <w:r>
          <w:rPr>
            <w:rFonts w:ascii="arial" w:eastAsia="arial" w:hAnsi="arial" w:cs="arial"/>
            <w:b w:val="0"/>
            <w:i/>
            <w:strike w:val="0"/>
            <w:noProof w:val="0"/>
            <w:color w:val="0077CC"/>
            <w:position w:val="0"/>
            <w:sz w:val="20"/>
            <w:u w:val="single"/>
            <w:vertAlign w:val="baseline"/>
          </w:rPr>
          <w:t>§ 2680(a)</w:t>
        </w:r>
      </w:hyperlink>
      <w:r>
        <w:rPr>
          <w:rFonts w:ascii="arial" w:eastAsia="arial" w:hAnsi="arial" w:cs="arial"/>
          <w:b w:val="0"/>
          <w:i w:val="0"/>
          <w:strike w:val="0"/>
          <w:noProof w:val="0"/>
          <w:color w:val="000000"/>
          <w:position w:val="0"/>
          <w:sz w:val="20"/>
          <w:u w:val="none"/>
          <w:vertAlign w:val="baseline"/>
        </w:rPr>
        <w:t xml:space="preserve">, even though the proviso allows other" assault and battery suits. </w:t>
      </w:r>
      <w:bookmarkStart w:id="123" w:name="Bookmark_I68T3XJD2D6NHS0050000400"/>
      <w:bookmarkEnd w:id="123"/>
      <w:hyperlink r:id="rId28" w:history="1">
        <w:r>
          <w:rPr>
            <w:rFonts w:ascii="arial" w:eastAsia="arial" w:hAnsi="arial" w:cs="arial"/>
            <w:b w:val="0"/>
            <w:i/>
            <w:strike w:val="0"/>
            <w:noProof w:val="0"/>
            <w:color w:val="0077CC"/>
            <w:position w:val="0"/>
            <w:sz w:val="20"/>
            <w:u w:val="single"/>
            <w:vertAlign w:val="baseline"/>
          </w:rPr>
          <w:t>Linder v. United States</w:t>
        </w:r>
      </w:hyperlink>
      <w:hyperlink r:id="rId28" w:history="1">
        <w:r>
          <w:rPr>
            <w:rFonts w:ascii="arial" w:eastAsia="arial" w:hAnsi="arial" w:cs="arial"/>
            <w:b w:val="0"/>
            <w:i/>
            <w:strike w:val="0"/>
            <w:noProof w:val="0"/>
            <w:color w:val="0077CC"/>
            <w:position w:val="0"/>
            <w:sz w:val="20"/>
            <w:u w:val="single"/>
            <w:vertAlign w:val="baseline"/>
          </w:rPr>
          <w:t>, 937 F.3d 1087, 1089 (7th Cir. 2019)</w:t>
        </w:r>
      </w:hyperlink>
      <w:r>
        <w:rPr>
          <w:rFonts w:ascii="arial" w:eastAsia="arial" w:hAnsi="arial" w:cs="arial"/>
          <w:b w:val="0"/>
          <w:i w:val="0"/>
          <w:strike w:val="0"/>
          <w:noProof w:val="0"/>
          <w:color w:val="000000"/>
          <w:position w:val="0"/>
          <w:sz w:val="20"/>
          <w:u w:val="none"/>
          <w:vertAlign w:val="baseline"/>
        </w:rPr>
        <w:t xml:space="preserve">. </w:t>
      </w:r>
      <w:bookmarkStart w:id="124" w:name="Bookmark_I68T3XJD28T42D0030000400"/>
      <w:bookmarkEnd w:id="124"/>
      <w:r>
        <w:rPr>
          <w:rFonts w:ascii="arial" w:eastAsia="arial" w:hAnsi="arial" w:cs="arial"/>
          <w:b w:val="0"/>
          <w:i w:val="0"/>
          <w:strike w:val="0"/>
          <w:noProof w:val="0"/>
          <w:color w:val="000000"/>
          <w:position w:val="0"/>
          <w:sz w:val="20"/>
          <w:u w:val="none"/>
          <w:vertAlign w:val="baseline"/>
        </w:rPr>
        <w:t xml:space="preserve">Therefore, the plain language of </w:t>
      </w:r>
      <w:hyperlink r:id="rId11" w:history="1">
        <w:r>
          <w:rPr>
            <w:rFonts w:ascii="arial" w:eastAsia="arial" w:hAnsi="arial" w:cs="arial"/>
            <w:b w:val="0"/>
            <w:i/>
            <w:strike w:val="0"/>
            <w:noProof w:val="0"/>
            <w:color w:val="0077CC"/>
            <w:position w:val="0"/>
            <w:sz w:val="20"/>
            <w:u w:val="single"/>
            <w:vertAlign w:val="baseline"/>
          </w:rPr>
          <w:t>§ 2680(h)</w:t>
        </w:r>
      </w:hyperlink>
      <w:r>
        <w:rPr>
          <w:rFonts w:ascii="arial" w:eastAsia="arial" w:hAnsi="arial" w:cs="arial"/>
          <w:b w:val="0"/>
          <w:i w:val="0"/>
          <w:strike w:val="0"/>
          <w:noProof w:val="0"/>
          <w:color w:val="000000"/>
          <w:position w:val="0"/>
          <w:sz w:val="20"/>
          <w:u w:val="none"/>
          <w:vertAlign w:val="baseline"/>
        </w:rPr>
        <w:t xml:space="preserve"> directs the courts to consider whether the discretionary function exception under </w:t>
      </w:r>
      <w:hyperlink r:id="rId11" w:history="1">
        <w:r>
          <w:rPr>
            <w:rFonts w:ascii="arial" w:eastAsia="arial" w:hAnsi="arial" w:cs="arial"/>
            <w:b w:val="0"/>
            <w:i/>
            <w:strike w:val="0"/>
            <w:noProof w:val="0"/>
            <w:color w:val="0077CC"/>
            <w:position w:val="0"/>
            <w:sz w:val="20"/>
            <w:u w:val="single"/>
            <w:vertAlign w:val="baseline"/>
          </w:rPr>
          <w:t>§ 2680(a)</w:t>
        </w:r>
      </w:hyperlink>
      <w:r>
        <w:rPr>
          <w:rFonts w:ascii="arial" w:eastAsia="arial" w:hAnsi="arial" w:cs="arial"/>
          <w:b w:val="0"/>
          <w:i w:val="0"/>
          <w:strike w:val="0"/>
          <w:noProof w:val="0"/>
          <w:color w:val="000000"/>
          <w:position w:val="0"/>
          <w:sz w:val="20"/>
          <w:u w:val="none"/>
          <w:vertAlign w:val="baseline"/>
        </w:rPr>
        <w:t xml:space="preserve"> applies. To hold otherwise would render </w:t>
      </w:r>
      <w:hyperlink r:id="rId11" w:history="1">
        <w:r>
          <w:rPr>
            <w:rFonts w:ascii="arial" w:eastAsia="arial" w:hAnsi="arial" w:cs="arial"/>
            <w:b w:val="0"/>
            <w:i/>
            <w:strike w:val="0"/>
            <w:noProof w:val="0"/>
            <w:color w:val="0077CC"/>
            <w:position w:val="0"/>
            <w:sz w:val="20"/>
            <w:u w:val="single"/>
            <w:vertAlign w:val="baseline"/>
          </w:rPr>
          <w:t>§ 2680(h)</w:t>
        </w:r>
      </w:hyperlink>
      <w:r>
        <w:rPr>
          <w:rFonts w:ascii="arial" w:eastAsia="arial" w:hAnsi="arial" w:cs="arial"/>
          <w:b w:val="0"/>
          <w:i w:val="0"/>
          <w:strike w:val="0"/>
          <w:noProof w:val="0"/>
          <w:color w:val="000000"/>
          <w:position w:val="0"/>
          <w:sz w:val="20"/>
          <w:u w:val="none"/>
          <w:vertAlign w:val="baseline"/>
        </w:rPr>
        <w:t xml:space="preserve">'s language referring to "the provisions of this chapter" mere surplusage. </w:t>
      </w:r>
      <w:bookmarkStart w:id="125" w:name="Bookmark_I68T3XJD28T42D0020000400"/>
      <w:bookmarkEnd w:id="125"/>
      <w:hyperlink r:id="rId28" w:history="1">
        <w:r>
          <w:rPr>
            <w:rFonts w:ascii="arial" w:eastAsia="arial" w:hAnsi="arial" w:cs="arial"/>
            <w:b w:val="0"/>
            <w:i/>
            <w:strike w:val="0"/>
            <w:noProof w:val="0"/>
            <w:color w:val="0077CC"/>
            <w:position w:val="0"/>
            <w:sz w:val="20"/>
            <w:u w:val="single"/>
            <w:vertAlign w:val="baseline"/>
          </w:rPr>
          <w:t>Linder</w:t>
        </w:r>
      </w:hyperlink>
      <w:hyperlink r:id="rId28" w:history="1">
        <w:r>
          <w:rPr>
            <w:rFonts w:ascii="arial" w:eastAsia="arial" w:hAnsi="arial" w:cs="arial"/>
            <w:b w:val="0"/>
            <w:i/>
            <w:strike w:val="0"/>
            <w:noProof w:val="0"/>
            <w:color w:val="0077CC"/>
            <w:position w:val="0"/>
            <w:sz w:val="20"/>
            <w:u w:val="single"/>
            <w:vertAlign w:val="baseline"/>
          </w:rPr>
          <w:t>, 937 F.3d at 1089</w:t>
        </w:r>
      </w:hyperlink>
      <w:r>
        <w:rPr>
          <w:rFonts w:ascii="arial" w:eastAsia="arial" w:hAnsi="arial" w:cs="arial"/>
          <w:b w:val="0"/>
          <w:i w:val="0"/>
          <w:strike w:val="0"/>
          <w:noProof w:val="0"/>
          <w:color w:val="000000"/>
          <w:position w:val="0"/>
          <w:sz w:val="20"/>
          <w:u w:val="none"/>
          <w:vertAlign w:val="baseline"/>
        </w:rPr>
        <w:t xml:space="preserve">. </w:t>
      </w:r>
      <w:bookmarkStart w:id="126" w:name="Bookmark_I68T3XJD28T42D0050000400"/>
      <w:bookmarkEnd w:id="126"/>
      <w:r>
        <w:rPr>
          <w:rFonts w:ascii="arial" w:eastAsia="arial" w:hAnsi="arial" w:cs="arial"/>
          <w:b w:val="0"/>
          <w:i w:val="0"/>
          <w:strike w:val="0"/>
          <w:noProof w:val="0"/>
          <w:color w:val="000000"/>
          <w:position w:val="0"/>
          <w:sz w:val="20"/>
          <w:u w:val="none"/>
          <w:vertAlign w:val="baseline"/>
        </w:rPr>
        <w:t xml:space="preserve">Moreover, the law enforcement proviso isn't rendered ineffective by the application of the discretionary function exception under </w:t>
      </w:r>
      <w:hyperlink r:id="rId11" w:history="1">
        <w:r>
          <w:rPr>
            <w:rFonts w:ascii="arial" w:eastAsia="arial" w:hAnsi="arial" w:cs="arial"/>
            <w:b w:val="0"/>
            <w:i/>
            <w:strike w:val="0"/>
            <w:noProof w:val="0"/>
            <w:color w:val="0077CC"/>
            <w:position w:val="0"/>
            <w:sz w:val="20"/>
            <w:u w:val="single"/>
            <w:vertAlign w:val="baseline"/>
          </w:rPr>
          <w:t>§ 2680(a)</w:t>
        </w:r>
      </w:hyperlink>
      <w:r>
        <w:rPr>
          <w:rFonts w:ascii="arial" w:eastAsia="arial" w:hAnsi="arial" w:cs="arial"/>
          <w:b w:val="0"/>
          <w:i w:val="0"/>
          <w:strike w:val="0"/>
          <w:noProof w:val="0"/>
          <w:color w:val="000000"/>
          <w:position w:val="0"/>
          <w:sz w:val="20"/>
          <w:u w:val="none"/>
          <w:vertAlign w:val="baseline"/>
        </w:rPr>
        <w:t xml:space="preserve">. The intentional torts "listed under the proviso... may be committed without any exercise of a discretionary function" and would in those circumstances rise to liability. </w:t>
      </w:r>
      <w:bookmarkStart w:id="127" w:name="Bookmark_I68T3XJD28T42D0040000400"/>
      <w:bookmarkEnd w:id="127"/>
      <w:hyperlink r:id="rId40" w:history="1">
        <w:r>
          <w:rPr>
            <w:rFonts w:ascii="arial" w:eastAsia="arial" w:hAnsi="arial" w:cs="arial"/>
            <w:b w:val="0"/>
            <w:i/>
            <w:strike w:val="0"/>
            <w:noProof w:val="0"/>
            <w:color w:val="0077CC"/>
            <w:position w:val="0"/>
            <w:sz w:val="20"/>
            <w:u w:val="single"/>
            <w:vertAlign w:val="baseline"/>
          </w:rPr>
          <w:t>Gray</w:t>
        </w:r>
      </w:hyperlink>
      <w:hyperlink r:id="rId40" w:history="1">
        <w:r>
          <w:rPr>
            <w:rFonts w:ascii="arial" w:eastAsia="arial" w:hAnsi="arial" w:cs="arial"/>
            <w:b w:val="0"/>
            <w:i/>
            <w:strike w:val="0"/>
            <w:noProof w:val="0"/>
            <w:color w:val="0077CC"/>
            <w:position w:val="0"/>
            <w:sz w:val="20"/>
            <w:u w:val="single"/>
            <w:vertAlign w:val="baseline"/>
          </w:rPr>
          <w:t>, 712 F.2d at 507</w:t>
        </w:r>
      </w:hyperlink>
      <w:r>
        <w:rPr>
          <w:rFonts w:ascii="arial" w:eastAsia="arial" w:hAnsi="arial" w:cs="arial"/>
          <w:b w:val="0"/>
          <w:i w:val="0"/>
          <w:strike w:val="0"/>
          <w:noProof w:val="0"/>
          <w:color w:val="000000"/>
          <w:position w:val="0"/>
          <w:sz w:val="20"/>
          <w:u w:val="none"/>
          <w:vertAlign w:val="baseline"/>
        </w:rPr>
        <w:t xml:space="preserve">. As explained above, Plaintiff does not dispute that Defendant's acts were discretionary under the </w:t>
      </w:r>
      <w:r>
        <w:rPr>
          <w:rFonts w:ascii="arial" w:eastAsia="arial" w:hAnsi="arial" w:cs="arial"/>
          <w:b w:val="0"/>
          <w:i/>
          <w:strike w:val="0"/>
          <w:noProof w:val="0"/>
          <w:color w:val="000000"/>
          <w:position w:val="0"/>
          <w:sz w:val="20"/>
          <w:u w:val="none"/>
          <w:vertAlign w:val="baseline"/>
        </w:rPr>
        <w:t>Berkovitz</w:t>
      </w:r>
      <w:r>
        <w:rPr>
          <w:rFonts w:ascii="arial" w:eastAsia="arial" w:hAnsi="arial" w:cs="arial"/>
          <w:b w:val="0"/>
          <w:i w:val="0"/>
          <w:strike w:val="0"/>
          <w:noProof w:val="0"/>
          <w:color w:val="000000"/>
          <w:position w:val="0"/>
          <w:sz w:val="20"/>
          <w:u w:val="none"/>
          <w:vertAlign w:val="baseline"/>
        </w:rPr>
        <w:t xml:space="preserve"> test. Therefore, the Court concludes that the discretionary function exception to the waiver of sovereign immunity under </w:t>
      </w:r>
      <w:hyperlink r:id="rId11" w:history="1">
        <w:r>
          <w:rPr>
            <w:rFonts w:ascii="arial" w:eastAsia="arial" w:hAnsi="arial" w:cs="arial"/>
            <w:b w:val="0"/>
            <w:i/>
            <w:strike w:val="0"/>
            <w:noProof w:val="0"/>
            <w:color w:val="0077CC"/>
            <w:position w:val="0"/>
            <w:sz w:val="20"/>
            <w:u w:val="single"/>
            <w:vertAlign w:val="baseline"/>
          </w:rPr>
          <w:t>§ 2680(a)</w:t>
        </w:r>
      </w:hyperlink>
      <w:r>
        <w:rPr>
          <w:rFonts w:ascii="arial" w:eastAsia="arial" w:hAnsi="arial" w:cs="arial"/>
          <w:b w:val="0"/>
          <w:i w:val="0"/>
          <w:strike w:val="0"/>
          <w:noProof w:val="0"/>
          <w:color w:val="000000"/>
          <w:position w:val="0"/>
          <w:sz w:val="20"/>
          <w:u w:val="none"/>
          <w:vertAlign w:val="baseline"/>
        </w:rPr>
        <w:t xml:space="preserve"> bars the claims asserted in this case.</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 xml:space="preserve">II. </w:t>
      </w:r>
      <w:r>
        <w:rPr>
          <w:rFonts w:ascii="arial" w:eastAsia="arial" w:hAnsi="arial" w:cs="arial"/>
          <w:b/>
          <w:i w:val="0"/>
          <w:strike w:val="0"/>
          <w:noProof w:val="0"/>
          <w:color w:val="000000"/>
          <w:position w:val="0"/>
          <w:sz w:val="20"/>
          <w:u w:val="single"/>
          <w:vertAlign w:val="baseline"/>
        </w:rPr>
        <w:t>Loss of Consortium claim is also barred under sovereign immunity</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128" w:name="Bookmark_para_37"/>
      <w:bookmarkEnd w:id="128"/>
      <w:r>
        <w:rPr>
          <w:rFonts w:ascii="arial" w:eastAsia="arial" w:hAnsi="arial" w:cs="arial"/>
          <w:b w:val="0"/>
          <w:i w:val="0"/>
          <w:strike w:val="0"/>
          <w:noProof w:val="0"/>
          <w:color w:val="000000"/>
          <w:position w:val="0"/>
          <w:sz w:val="20"/>
          <w:u w:val="none"/>
          <w:vertAlign w:val="baseline"/>
        </w:rPr>
        <w:t>Defendant argued that sovereign immunity was not waived for the claims asserted in the complaint, which included not only a wrongful death claim, but a loss of consortium</w:t>
      </w:r>
      <w:r>
        <w:rPr>
          <w:rFonts w:ascii="arial" w:eastAsia="arial" w:hAnsi="arial" w:cs="arial"/>
          <w:b/>
          <w:i w:val="0"/>
          <w:strike w:val="0"/>
          <w:noProof w:val="0"/>
          <w:color w:val="000000"/>
          <w:position w:val="0"/>
          <w:sz w:val="20"/>
          <w:u w:val="none"/>
          <w:vertAlign w:val="baseline"/>
        </w:rPr>
        <w:t> [*18] </w:t>
      </w:r>
      <w:r>
        <w:rPr>
          <w:rFonts w:ascii="arial" w:eastAsia="arial" w:hAnsi="arial" w:cs="arial"/>
          <w:b w:val="0"/>
          <w:i w:val="0"/>
          <w:strike w:val="0"/>
          <w:noProof w:val="0"/>
          <w:color w:val="000000"/>
          <w:position w:val="0"/>
          <w:sz w:val="20"/>
          <w:u w:val="none"/>
          <w:vertAlign w:val="baseline"/>
        </w:rPr>
        <w:t xml:space="preserve"> claim. The same discretionary function analysis above applies here to the loss of consortium claim. Therefore, the Court concludes that Plaintiff's loss of consortium claim is also excepted from the waiver of sovereign immunity, for the reasons stated above.</w:t>
      </w:r>
    </w:p>
    <w:p>
      <w:pPr>
        <w:keepNext w:val="0"/>
        <w:spacing w:before="200" w:after="0" w:line="260" w:lineRule="atLeast"/>
        <w:ind w:left="0" w:right="0" w:firstLine="0"/>
        <w:jc w:val="both"/>
      </w:pPr>
      <w:bookmarkStart w:id="129" w:name="Bookmark_para_38"/>
      <w:bookmarkEnd w:id="129"/>
      <w:r>
        <w:rPr>
          <w:rFonts w:ascii="arial" w:eastAsia="arial" w:hAnsi="arial" w:cs="arial"/>
          <w:b w:val="0"/>
          <w:i w:val="0"/>
          <w:strike w:val="0"/>
          <w:noProof w:val="0"/>
          <w:color w:val="000000"/>
          <w:position w:val="0"/>
          <w:sz w:val="20"/>
          <w:u w:val="none"/>
          <w:vertAlign w:val="baseline"/>
        </w:rPr>
        <w:t>Alternatively, only to the extent the discretionary function exception to the waiver of sovereign immunity does not apply to the loss of consortium claim, the Court would conclude that Plaintiff failed to exhaust her administrative remedies as to the loss of consortium claim.</w:t>
      </w:r>
    </w:p>
    <w:p>
      <w:pPr>
        <w:keepNext w:val="0"/>
        <w:spacing w:before="240" w:after="0" w:line="260" w:lineRule="atLeast"/>
        <w:ind w:left="0" w:right="0" w:firstLine="0"/>
        <w:jc w:val="both"/>
      </w:pPr>
      <w:bookmarkStart w:id="130" w:name="Bookmark_para_39"/>
      <w:bookmarkEnd w:id="130"/>
      <w:bookmarkStart w:id="131" w:name="Bookmark_I68T3XJD28T42G0020000400"/>
      <w:bookmarkEnd w:id="131"/>
      <w:r>
        <w:rPr>
          <w:rFonts w:ascii="arial" w:eastAsia="arial" w:hAnsi="arial" w:cs="arial"/>
          <w:b w:val="0"/>
          <w:i w:val="0"/>
          <w:strike w:val="0"/>
          <w:noProof w:val="0"/>
          <w:color w:val="000000"/>
          <w:position w:val="0"/>
          <w:sz w:val="20"/>
          <w:u w:val="none"/>
          <w:vertAlign w:val="baseline"/>
        </w:rPr>
        <w:t xml:space="preserve">Defendant asserts that Plaintiff failed to adequately notify it of her loss of consortium claims on the SF-95 administrative claims she filed. </w:t>
      </w:r>
      <w:bookmarkStart w:id="132" w:name="Bookmark_I68T3XJD28T42G0040000400"/>
      <w:bookmarkEnd w:id="132"/>
      <w:r>
        <w:rPr>
          <w:rFonts w:ascii="arial" w:eastAsia="arial" w:hAnsi="arial" w:cs="arial"/>
          <w:b w:val="0"/>
          <w:i w:val="0"/>
          <w:strike w:val="0"/>
          <w:noProof w:val="0"/>
          <w:color w:val="000000"/>
          <w:position w:val="0"/>
          <w:sz w:val="20"/>
          <w:u w:val="none"/>
          <w:vertAlign w:val="baseline"/>
        </w:rPr>
        <w:t xml:space="preserve">The Court agrees. "The jurisdictional statute, </w:t>
      </w:r>
      <w:hyperlink r:id="rId45" w:history="1">
        <w:r>
          <w:rPr>
            <w:rFonts w:ascii="arial" w:eastAsia="arial" w:hAnsi="arial" w:cs="arial"/>
            <w:b w:val="0"/>
            <w:i/>
            <w:strike w:val="0"/>
            <w:noProof w:val="0"/>
            <w:color w:val="0077CC"/>
            <w:position w:val="0"/>
            <w:sz w:val="20"/>
            <w:u w:val="single"/>
            <w:vertAlign w:val="baseline"/>
          </w:rPr>
          <w:t>28 U.S.C. § 2675(a)</w:t>
        </w:r>
      </w:hyperlink>
      <w:r>
        <w:rPr>
          <w:rFonts w:ascii="arial" w:eastAsia="arial" w:hAnsi="arial" w:cs="arial"/>
          <w:b w:val="0"/>
          <w:i w:val="0"/>
          <w:strike w:val="0"/>
          <w:noProof w:val="0"/>
          <w:color w:val="000000"/>
          <w:position w:val="0"/>
          <w:sz w:val="20"/>
          <w:u w:val="none"/>
          <w:vertAlign w:val="baseline"/>
        </w:rPr>
        <w:t xml:space="preserve">, requires that claims for damages against the government [first] be presented to the appropriate federal agency by filing (1) a written statement sufficiently describing the injury to enable the agency to begin its own investigation, and (2) a sum certain damages claim." </w:t>
      </w:r>
      <w:bookmarkStart w:id="133" w:name="Bookmark_I68T3XJD28T42G0010000400"/>
      <w:bookmarkEnd w:id="133"/>
      <w:hyperlink r:id="rId46" w:history="1">
        <w:r>
          <w:rPr>
            <w:rFonts w:ascii="arial" w:eastAsia="arial" w:hAnsi="arial" w:cs="arial"/>
            <w:b w:val="0"/>
            <w:i/>
            <w:strike w:val="0"/>
            <w:noProof w:val="0"/>
            <w:color w:val="0077CC"/>
            <w:position w:val="0"/>
            <w:sz w:val="20"/>
            <w:u w:val="single"/>
            <w:vertAlign w:val="baseline"/>
          </w:rPr>
          <w:t>Est. of Trentadue ex rel. Aguilar v. United States</w:t>
        </w:r>
      </w:hyperlink>
      <w:hyperlink r:id="rId46" w:history="1">
        <w:r>
          <w:rPr>
            <w:rFonts w:ascii="arial" w:eastAsia="arial" w:hAnsi="arial" w:cs="arial"/>
            <w:b w:val="0"/>
            <w:i/>
            <w:strike w:val="0"/>
            <w:noProof w:val="0"/>
            <w:color w:val="0077CC"/>
            <w:position w:val="0"/>
            <w:sz w:val="20"/>
            <w:u w:val="single"/>
            <w:vertAlign w:val="baseline"/>
          </w:rPr>
          <w:t>, 397 F.3d 840, 852 (10th Cir. 2005)</w:t>
        </w:r>
      </w:hyperlink>
      <w:r>
        <w:rPr>
          <w:rFonts w:ascii="arial" w:eastAsia="arial" w:hAnsi="arial" w:cs="arial"/>
          <w:b w:val="0"/>
          <w:i w:val="0"/>
          <w:strike w:val="0"/>
          <w:noProof w:val="0"/>
          <w:color w:val="000000"/>
          <w:position w:val="0"/>
          <w:sz w:val="20"/>
          <w:u w:val="none"/>
          <w:vertAlign w:val="baseline"/>
        </w:rPr>
        <w:t xml:space="preserve">. </w:t>
      </w:r>
      <w:bookmarkStart w:id="134" w:name="Bookmark_I68T3XJD28T42G0040000400_2"/>
      <w:bookmarkEnd w:id="134"/>
      <w:r>
        <w:rPr>
          <w:rFonts w:ascii="arial" w:eastAsia="arial" w:hAnsi="arial" w:cs="arial"/>
          <w:b w:val="0"/>
          <w:i w:val="0"/>
          <w:strike w:val="0"/>
          <w:noProof w:val="0"/>
          <w:color w:val="000000"/>
          <w:position w:val="0"/>
          <w:sz w:val="20"/>
          <w:u w:val="none"/>
          <w:vertAlign w:val="baseline"/>
        </w:rPr>
        <w:t xml:space="preserve">The purpose of this requirement is "to give the agency notice of the claim, an opportunity to investigate, and a chance to settle the claim prior to litigation." </w:t>
      </w:r>
      <w:bookmarkStart w:id="135" w:name="Bookmark_I68T3XJD28T42G0030000400"/>
      <w:bookmarkEnd w:id="135"/>
      <w:hyperlink r:id="rId47" w:history="1">
        <w:r>
          <w:rPr>
            <w:rFonts w:ascii="arial" w:eastAsia="arial" w:hAnsi="arial" w:cs="arial"/>
            <w:b w:val="0"/>
            <w:i/>
            <w:strike w:val="0"/>
            <w:noProof w:val="0"/>
            <w:color w:val="0077CC"/>
            <w:position w:val="0"/>
            <w:sz w:val="20"/>
            <w:u w:val="single"/>
            <w:vertAlign w:val="baseline"/>
          </w:rPr>
          <w:t>Lopez v. United States</w:t>
        </w:r>
      </w:hyperlink>
      <w:hyperlink r:id="rId47" w:history="1">
        <w:r>
          <w:rPr>
            <w:rFonts w:ascii="arial" w:eastAsia="arial" w:hAnsi="arial" w:cs="arial"/>
            <w:b w:val="0"/>
            <w:i/>
            <w:strike w:val="0"/>
            <w:noProof w:val="0"/>
            <w:color w:val="0077CC"/>
            <w:position w:val="0"/>
            <w:sz w:val="20"/>
            <w:u w:val="single"/>
            <w:vertAlign w:val="baseline"/>
          </w:rPr>
          <w:t>, 823 F.3d 970, 977 (10th Cir. 2016)</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136" w:name="Bookmark_para_40"/>
      <w:bookmarkEnd w:id="136"/>
      <w:bookmarkStart w:id="137" w:name="Bookmark_I68T3XJF28T42M0010000400"/>
      <w:bookmarkEnd w:id="137"/>
      <w:bookmarkStart w:id="138" w:name="Bookmark_I68T3XJF28T42M0030000400"/>
      <w:bookmarkEnd w:id="138"/>
      <w:r>
        <w:rPr>
          <w:rFonts w:ascii="arial" w:eastAsia="arial" w:hAnsi="arial" w:cs="arial"/>
          <w:b w:val="0"/>
          <w:i w:val="0"/>
          <w:strike w:val="0"/>
          <w:noProof w:val="0"/>
          <w:color w:val="000000"/>
          <w:position w:val="0"/>
          <w:sz w:val="20"/>
          <w:u w:val="none"/>
          <w:vertAlign w:val="baseline"/>
        </w:rPr>
        <w:t>"A claim is properly presented to an agency</w:t>
      </w:r>
      <w:r>
        <w:rPr>
          <w:rFonts w:ascii="arial" w:eastAsia="arial" w:hAnsi="arial" w:cs="arial"/>
          <w:b/>
          <w:i w:val="0"/>
          <w:strike w:val="0"/>
          <w:noProof w:val="0"/>
          <w:color w:val="000000"/>
          <w:position w:val="0"/>
          <w:sz w:val="20"/>
          <w:u w:val="none"/>
          <w:vertAlign w:val="baseline"/>
        </w:rPr>
        <w:t> [*19] </w:t>
      </w:r>
      <w:r>
        <w:rPr>
          <w:rFonts w:ascii="arial" w:eastAsia="arial" w:hAnsi="arial" w:cs="arial"/>
          <w:b w:val="0"/>
          <w:i w:val="0"/>
          <w:strike w:val="0"/>
          <w:noProof w:val="0"/>
          <w:color w:val="000000"/>
          <w:position w:val="0"/>
          <w:sz w:val="20"/>
          <w:u w:val="none"/>
          <w:vertAlign w:val="baseline"/>
        </w:rPr>
        <w:t xml:space="preserve"> only if the language of the claim serves due notice that the agency should investigate the possibility of particular (potentially tortious) conduct." </w:t>
      </w:r>
      <w:bookmarkStart w:id="139" w:name="Bookmark_I68T3XJD28T42G0050000400"/>
      <w:bookmarkEnd w:id="139"/>
      <w:hyperlink r:id="rId48" w:history="1">
        <w:r>
          <w:rPr>
            <w:rFonts w:ascii="arial" w:eastAsia="arial" w:hAnsi="arial" w:cs="arial"/>
            <w:b w:val="0"/>
            <w:i/>
            <w:strike w:val="0"/>
            <w:noProof w:val="0"/>
            <w:color w:val="0077CC"/>
            <w:position w:val="0"/>
            <w:sz w:val="20"/>
            <w:u w:val="single"/>
            <w:vertAlign w:val="baseline"/>
          </w:rPr>
          <w:t>Barnes v. United</w:t>
        </w:r>
      </w:hyperlink>
      <w:hyperlink r:id="rId48" w:history="1">
        <w:r>
          <w:rPr>
            <w:rFonts w:ascii="arial" w:eastAsia="arial" w:hAnsi="arial" w:cs="arial"/>
            <w:b w:val="0"/>
            <w:i/>
            <w:strike w:val="0"/>
            <w:noProof w:val="0"/>
            <w:color w:val="0077CC"/>
            <w:position w:val="0"/>
            <w:sz w:val="20"/>
            <w:u w:val="single"/>
            <w:vertAlign w:val="baseline"/>
          </w:rPr>
          <w:t xml:space="preserve"> States, 707 Fed. Appx. 512, 516 (10th Cir. 2017)</w:t>
        </w:r>
      </w:hyperlink>
      <w:r>
        <w:rPr>
          <w:rFonts w:ascii="arial" w:eastAsia="arial" w:hAnsi="arial" w:cs="arial"/>
          <w:b w:val="0"/>
          <w:i w:val="0"/>
          <w:strike w:val="0"/>
          <w:noProof w:val="0"/>
          <w:color w:val="000000"/>
          <w:position w:val="0"/>
          <w:sz w:val="20"/>
          <w:u w:val="none"/>
          <w:vertAlign w:val="baseline"/>
        </w:rPr>
        <w:t xml:space="preserve"> (internal quotation omitted). However, the notice requirement "should not be interpreted inflexibly." </w:t>
      </w:r>
      <w:bookmarkStart w:id="140" w:name="Bookmark_I68T3XJF28T42M0020000400"/>
      <w:bookmarkEnd w:id="140"/>
      <w:hyperlink r:id="rId46" w:history="1">
        <w:r>
          <w:rPr>
            <w:rFonts w:ascii="arial" w:eastAsia="arial" w:hAnsi="arial" w:cs="arial"/>
            <w:b w:val="0"/>
            <w:i/>
            <w:strike w:val="0"/>
            <w:noProof w:val="0"/>
            <w:color w:val="0077CC"/>
            <w:position w:val="0"/>
            <w:sz w:val="20"/>
            <w:u w:val="single"/>
            <w:vertAlign w:val="baseline"/>
          </w:rPr>
          <w:t>Trentadue</w:t>
        </w:r>
      </w:hyperlink>
      <w:hyperlink r:id="rId46" w:history="1">
        <w:r>
          <w:rPr>
            <w:rFonts w:ascii="arial" w:eastAsia="arial" w:hAnsi="arial" w:cs="arial"/>
            <w:b w:val="0"/>
            <w:i/>
            <w:strike w:val="0"/>
            <w:noProof w:val="0"/>
            <w:color w:val="0077CC"/>
            <w:position w:val="0"/>
            <w:sz w:val="20"/>
            <w:u w:val="single"/>
            <w:vertAlign w:val="baseline"/>
          </w:rPr>
          <w:t>, 397 F.3d at 852</w:t>
        </w:r>
      </w:hyperlink>
      <w:r>
        <w:rPr>
          <w:rFonts w:ascii="arial" w:eastAsia="arial" w:hAnsi="arial" w:cs="arial"/>
          <w:b w:val="0"/>
          <w:i w:val="0"/>
          <w:strike w:val="0"/>
          <w:noProof w:val="0"/>
          <w:color w:val="000000"/>
          <w:position w:val="0"/>
          <w:sz w:val="20"/>
          <w:u w:val="none"/>
          <w:vertAlign w:val="baseline"/>
        </w:rPr>
        <w:t xml:space="preserve">. "Several courts in this jurisdiction have ... interpreted the provision to require notice of the facts and circumstances underlying a claim rather than the exact grounds upon which plaintiff seeks to hold the government liable." </w:t>
      </w:r>
      <w:r>
        <w:rPr>
          <w:rFonts w:ascii="arial" w:eastAsia="arial" w:hAnsi="arial" w:cs="arial"/>
          <w:b w:val="0"/>
          <w:i/>
          <w:strike w:val="0"/>
          <w:noProof w:val="0"/>
          <w:color w:val="000000"/>
          <w:position w:val="0"/>
          <w:sz w:val="20"/>
          <w:u w:val="none"/>
          <w:vertAlign w:val="baseline"/>
        </w:rPr>
        <w:t>Id.</w:t>
      </w:r>
    </w:p>
    <w:p>
      <w:pPr>
        <w:keepNext w:val="0"/>
        <w:spacing w:before="240" w:after="0" w:line="260" w:lineRule="atLeast"/>
        <w:ind w:left="0" w:right="0" w:firstLine="0"/>
        <w:jc w:val="both"/>
      </w:pPr>
      <w:bookmarkStart w:id="141" w:name="Bookmark_para_41"/>
      <w:bookmarkEnd w:id="141"/>
      <w:bookmarkStart w:id="142" w:name="Bookmark_I68T3XJF28T42M0050000400"/>
      <w:bookmarkEnd w:id="142"/>
      <w:bookmarkStart w:id="143" w:name="Bookmark_I68T3XJF28T42N0020000400"/>
      <w:bookmarkEnd w:id="143"/>
      <w:bookmarkStart w:id="144" w:name="Bookmark_I68T3XJF28T42N0040000400"/>
      <w:bookmarkEnd w:id="144"/>
      <w:r>
        <w:rPr>
          <w:rFonts w:ascii="arial" w:eastAsia="arial" w:hAnsi="arial" w:cs="arial"/>
          <w:b w:val="0"/>
          <w:i w:val="0"/>
          <w:strike w:val="0"/>
          <w:noProof w:val="0"/>
          <w:color w:val="000000"/>
          <w:position w:val="0"/>
          <w:sz w:val="20"/>
          <w:u w:val="none"/>
          <w:vertAlign w:val="baseline"/>
        </w:rPr>
        <w:t xml:space="preserve">Moreover, "[n]o statement of legal theories is required... only facts plus a demand for money." </w:t>
      </w:r>
      <w:bookmarkStart w:id="145" w:name="Bookmark_I68T3XJF28T42M0040000400"/>
      <w:bookmarkEnd w:id="145"/>
      <w:hyperlink r:id="rId47" w:history="1">
        <w:r>
          <w:rPr>
            <w:rFonts w:ascii="arial" w:eastAsia="arial" w:hAnsi="arial" w:cs="arial"/>
            <w:b w:val="0"/>
            <w:i/>
            <w:strike w:val="0"/>
            <w:noProof w:val="0"/>
            <w:color w:val="0077CC"/>
            <w:position w:val="0"/>
            <w:sz w:val="20"/>
            <w:u w:val="single"/>
            <w:vertAlign w:val="baseline"/>
          </w:rPr>
          <w:t>Lopez</w:t>
        </w:r>
      </w:hyperlink>
      <w:hyperlink r:id="rId47" w:history="1">
        <w:r>
          <w:rPr>
            <w:rFonts w:ascii="arial" w:eastAsia="arial" w:hAnsi="arial" w:cs="arial"/>
            <w:b w:val="0"/>
            <w:i/>
            <w:strike w:val="0"/>
            <w:noProof w:val="0"/>
            <w:color w:val="0077CC"/>
            <w:position w:val="0"/>
            <w:sz w:val="20"/>
            <w:u w:val="single"/>
            <w:vertAlign w:val="baseline"/>
          </w:rPr>
          <w:t>, 823 F.3d at 977</w:t>
        </w:r>
      </w:hyperlink>
      <w:r>
        <w:rPr>
          <w:rFonts w:ascii="arial" w:eastAsia="arial" w:hAnsi="arial" w:cs="arial"/>
          <w:b w:val="0"/>
          <w:i w:val="0"/>
          <w:strike w:val="0"/>
          <w:noProof w:val="0"/>
          <w:color w:val="000000"/>
          <w:position w:val="0"/>
          <w:sz w:val="20"/>
          <w:u w:val="none"/>
          <w:vertAlign w:val="baseline"/>
        </w:rPr>
        <w:t xml:space="preserve">. The form must give notice "sufficient to warrant [government] investigation of each claim." </w:t>
      </w:r>
      <w:bookmarkStart w:id="146" w:name="Bookmark_I68T3XJF28T42N0010000400"/>
      <w:bookmarkEnd w:id="146"/>
      <w:hyperlink r:id="rId49" w:history="1">
        <w:r>
          <w:rPr>
            <w:rFonts w:ascii="arial" w:eastAsia="arial" w:hAnsi="arial" w:cs="arial"/>
            <w:b w:val="0"/>
            <w:i/>
            <w:strike w:val="0"/>
            <w:noProof w:val="0"/>
            <w:color w:val="0077CC"/>
            <w:position w:val="0"/>
            <w:sz w:val="20"/>
            <w:u w:val="single"/>
            <w:vertAlign w:val="baseline"/>
          </w:rPr>
          <w:t>Haceesa v. U.S.</w:t>
        </w:r>
      </w:hyperlink>
      <w:hyperlink r:id="rId49" w:history="1">
        <w:r>
          <w:rPr>
            <w:rFonts w:ascii="arial" w:eastAsia="arial" w:hAnsi="arial" w:cs="arial"/>
            <w:b w:val="0"/>
            <w:i/>
            <w:strike w:val="0"/>
            <w:noProof w:val="0"/>
            <w:color w:val="0077CC"/>
            <w:position w:val="0"/>
            <w:sz w:val="20"/>
            <w:u w:val="single"/>
            <w:vertAlign w:val="baseline"/>
          </w:rPr>
          <w:t>, 309 F.3d 722, 734 (10th Cir. 2002)</w:t>
        </w:r>
      </w:hyperlink>
      <w:r>
        <w:rPr>
          <w:rFonts w:ascii="arial" w:eastAsia="arial" w:hAnsi="arial" w:cs="arial"/>
          <w:b w:val="0"/>
          <w:i w:val="0"/>
          <w:strike w:val="0"/>
          <w:noProof w:val="0"/>
          <w:color w:val="000000"/>
          <w:position w:val="0"/>
          <w:sz w:val="20"/>
          <w:u w:val="none"/>
          <w:vertAlign w:val="baseline"/>
        </w:rPr>
        <w:t xml:space="preserve">. While this standard is flexible, "it is not the government's obligation to cast about in the wilderness for every possible source of liability lurking in an administrative claim; rather, the language of the claim itself must serve as a competent guide that, at very least, points the agency to the correct areas of inquiry." </w:t>
      </w:r>
      <w:bookmarkStart w:id="147" w:name="Bookmark_I68T3XJF28T42N0030000400"/>
      <w:bookmarkEnd w:id="147"/>
      <w:hyperlink r:id="rId50" w:history="1">
        <w:r>
          <w:rPr>
            <w:rFonts w:ascii="arial" w:eastAsia="arial" w:hAnsi="arial" w:cs="arial"/>
            <w:b w:val="0"/>
            <w:i/>
            <w:strike w:val="0"/>
            <w:noProof w:val="0"/>
            <w:color w:val="0077CC"/>
            <w:position w:val="0"/>
            <w:sz w:val="20"/>
            <w:u w:val="single"/>
            <w:vertAlign w:val="baseline"/>
          </w:rPr>
          <w:t>Benally v. United States</w:t>
        </w:r>
      </w:hyperlink>
      <w:hyperlink r:id="rId50" w:history="1">
        <w:r>
          <w:rPr>
            <w:rFonts w:ascii="arial" w:eastAsia="arial" w:hAnsi="arial" w:cs="arial"/>
            <w:b w:val="0"/>
            <w:i/>
            <w:strike w:val="0"/>
            <w:noProof w:val="0"/>
            <w:color w:val="0077CC"/>
            <w:position w:val="0"/>
            <w:sz w:val="20"/>
            <w:u w:val="single"/>
            <w:vertAlign w:val="baseline"/>
          </w:rPr>
          <w:t>, No. 13-CV-0604-MV-SMV, 2016 U.S. Dist. LEXIS 66631, 2016 WL 3200125, at *4 (D.N.M. May 20, 2016)</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148" w:name="Bookmark_para_42"/>
      <w:bookmarkEnd w:id="148"/>
      <w:bookmarkStart w:id="149" w:name="Bookmark_I68T3XJF2HM6HB0010000400"/>
      <w:bookmarkEnd w:id="149"/>
      <w:bookmarkStart w:id="150" w:name="Bookmark_I68T3XJF2HM6HB0030000400"/>
      <w:bookmarkEnd w:id="150"/>
      <w:r>
        <w:rPr>
          <w:rFonts w:ascii="arial" w:eastAsia="arial" w:hAnsi="arial" w:cs="arial"/>
          <w:b w:val="0"/>
          <w:i w:val="0"/>
          <w:strike w:val="0"/>
          <w:noProof w:val="0"/>
          <w:color w:val="000000"/>
          <w:position w:val="0"/>
          <w:sz w:val="20"/>
          <w:u w:val="none"/>
          <w:vertAlign w:val="baseline"/>
        </w:rPr>
        <w:t xml:space="preserve">"Loss of consortium is a type of personal injury damage because damages for consortium are damages for the plaintiff's emotional distress due to the harm to a sufficiently close relationship." </w:t>
      </w:r>
      <w:bookmarkStart w:id="151" w:name="Bookmark_I68T3XJF28T42N0050000400"/>
      <w:bookmarkEnd w:id="151"/>
      <w:hyperlink r:id="rId51" w:history="1">
        <w:r>
          <w:rPr>
            <w:rFonts w:ascii="arial" w:eastAsia="arial" w:hAnsi="arial" w:cs="arial"/>
            <w:b w:val="0"/>
            <w:i/>
            <w:strike w:val="0"/>
            <w:noProof w:val="0"/>
            <w:color w:val="0077CC"/>
            <w:position w:val="0"/>
            <w:sz w:val="20"/>
            <w:u w:val="single"/>
            <w:vertAlign w:val="baseline"/>
          </w:rPr>
          <w:t>Thompson v. City of Albuquerque</w:t>
        </w:r>
      </w:hyperlink>
      <w:hyperlink r:id="rId51" w:history="1">
        <w:r>
          <w:rPr>
            <w:rFonts w:ascii="arial" w:eastAsia="arial" w:hAnsi="arial" w:cs="arial"/>
            <w:b w:val="0"/>
            <w:i/>
            <w:strike w:val="0"/>
            <w:noProof w:val="0"/>
            <w:color w:val="0077CC"/>
            <w:position w:val="0"/>
            <w:sz w:val="20"/>
            <w:u w:val="single"/>
            <w:vertAlign w:val="baseline"/>
          </w:rPr>
          <w:t>, 2017-NMSC-021, ¶ 8, 397 P.3d 1279</w:t>
        </w:r>
      </w:hyperlink>
      <w:r>
        <w:rPr>
          <w:rFonts w:ascii="arial" w:eastAsia="arial" w:hAnsi="arial" w:cs="arial"/>
          <w:b w:val="0"/>
          <w:i w:val="0"/>
          <w:strike w:val="0"/>
          <w:noProof w:val="0"/>
          <w:color w:val="000000"/>
          <w:position w:val="0"/>
          <w:sz w:val="20"/>
          <w:u w:val="none"/>
          <w:vertAlign w:val="baseline"/>
        </w:rPr>
        <w:t xml:space="preserve"> (internal</w:t>
      </w:r>
      <w:r>
        <w:rPr>
          <w:rFonts w:ascii="arial" w:eastAsia="arial" w:hAnsi="arial" w:cs="arial"/>
          <w:b/>
          <w:i w:val="0"/>
          <w:strike w:val="0"/>
          <w:noProof w:val="0"/>
          <w:color w:val="000000"/>
          <w:position w:val="0"/>
          <w:sz w:val="20"/>
          <w:u w:val="none"/>
          <w:vertAlign w:val="baseline"/>
        </w:rPr>
        <w:t> [*20] </w:t>
      </w:r>
      <w:r>
        <w:rPr>
          <w:rFonts w:ascii="arial" w:eastAsia="arial" w:hAnsi="arial" w:cs="arial"/>
          <w:b w:val="0"/>
          <w:i w:val="0"/>
          <w:strike w:val="0"/>
          <w:noProof w:val="0"/>
          <w:color w:val="000000"/>
          <w:position w:val="0"/>
          <w:sz w:val="20"/>
          <w:u w:val="none"/>
          <w:vertAlign w:val="baseline"/>
        </w:rPr>
        <w:t xml:space="preserve"> quotation marks, and citations omitted). This includes the value of the loss of the spouse's "love, care, society, companionship, and the like." </w:t>
      </w:r>
      <w:bookmarkStart w:id="152" w:name="Bookmark_I68T3XJF2HM6HB0020000400"/>
      <w:bookmarkEnd w:id="152"/>
      <w:hyperlink r:id="rId52" w:history="1">
        <w:r>
          <w:rPr>
            <w:rFonts w:ascii="arial" w:eastAsia="arial" w:hAnsi="arial" w:cs="arial"/>
            <w:b w:val="0"/>
            <w:i/>
            <w:strike w:val="0"/>
            <w:noProof w:val="0"/>
            <w:color w:val="0077CC"/>
            <w:position w:val="0"/>
            <w:sz w:val="20"/>
            <w:u w:val="single"/>
            <w:vertAlign w:val="baseline"/>
          </w:rPr>
          <w:t>State Farm Mut. Auto. Ins. Co. v. Luebbers</w:t>
        </w:r>
      </w:hyperlink>
      <w:hyperlink r:id="rId52" w:history="1">
        <w:r>
          <w:rPr>
            <w:rFonts w:ascii="arial" w:eastAsia="arial" w:hAnsi="arial" w:cs="arial"/>
            <w:b w:val="0"/>
            <w:i/>
            <w:strike w:val="0"/>
            <w:noProof w:val="0"/>
            <w:color w:val="0077CC"/>
            <w:position w:val="0"/>
            <w:sz w:val="20"/>
            <w:u w:val="single"/>
            <w:vertAlign w:val="baseline"/>
          </w:rPr>
          <w:t>, 2005-NMCA-112, ¶ 42, 138 N.M. 289, 119 P.3d 169</w:t>
        </w:r>
      </w:hyperlink>
      <w:r>
        <w:rPr>
          <w:rFonts w:ascii="arial" w:eastAsia="arial" w:hAnsi="arial" w:cs="arial"/>
          <w:b w:val="0"/>
          <w:i w:val="0"/>
          <w:strike w:val="0"/>
          <w:noProof w:val="0"/>
          <w:color w:val="000000"/>
          <w:position w:val="0"/>
          <w:sz w:val="20"/>
          <w:u w:val="none"/>
          <w:vertAlign w:val="baseline"/>
        </w:rPr>
        <w:t xml:space="preserve">; </w:t>
      </w:r>
      <w:bookmarkStart w:id="153" w:name="Bookmark_I68T3XJF2HM6HB0040000400"/>
      <w:bookmarkEnd w:id="153"/>
      <w:hyperlink r:id="rId53" w:history="1">
        <w:r>
          <w:rPr>
            <w:rFonts w:ascii="arial" w:eastAsia="arial" w:hAnsi="arial" w:cs="arial"/>
            <w:b w:val="0"/>
            <w:i/>
            <w:strike w:val="0"/>
            <w:noProof w:val="0"/>
            <w:color w:val="0077CC"/>
            <w:position w:val="0"/>
            <w:sz w:val="20"/>
            <w:u w:val="single"/>
            <w:vertAlign w:val="baseline"/>
          </w:rPr>
          <w:t>Wachocki</w:t>
        </w:r>
      </w:hyperlink>
      <w:hyperlink r:id="rId53" w:history="1">
        <w:r>
          <w:rPr>
            <w:rFonts w:ascii="arial" w:eastAsia="arial" w:hAnsi="arial" w:cs="arial"/>
            <w:b w:val="0"/>
            <w:i/>
            <w:strike w:val="0"/>
            <w:noProof w:val="0"/>
            <w:color w:val="0077CC"/>
            <w:position w:val="0"/>
            <w:sz w:val="20"/>
            <w:u w:val="single"/>
            <w:vertAlign w:val="baseline"/>
          </w:rPr>
          <w:t>, 2011-NMSC-039, ¶ 5</w:t>
        </w:r>
      </w:hyperlink>
      <w:r>
        <w:rPr>
          <w:rFonts w:ascii="arial" w:eastAsia="arial" w:hAnsi="arial" w:cs="arial"/>
          <w:b w:val="0"/>
          <w:i w:val="0"/>
          <w:strike w:val="0"/>
          <w:noProof w:val="0"/>
          <w:color w:val="000000"/>
          <w:position w:val="0"/>
          <w:sz w:val="20"/>
          <w:u w:val="none"/>
          <w:vertAlign w:val="baseline"/>
        </w:rPr>
        <w:t xml:space="preserve">. ("A loss-of-consortium claimant must demonstrate two elements in order to recover damages." The first element is that the claimant and the injured party shared a sufficiently close relationship. . . . The second element is a duty of care."). In other words, loss of consortium damages are separate from wrongful death damages.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New Mexico Uniform Jury Instructions (2020) 13-1830 (use notes and committee commentary for Wrongful Death damages); 13-1810A (loss of consortium claim instruction, use notes, and commentary), 13-1810B (loss of consortium damages instruction). Loss of consortium damages for a spouse may not be recovered in a wrongful death cause of action, but must be sought in a separate claim. </w:t>
      </w:r>
      <w:r>
        <w:rPr>
          <w:rFonts w:ascii="arial" w:eastAsia="arial" w:hAnsi="arial" w:cs="arial"/>
          <w:b w:val="0"/>
          <w:i/>
          <w:strike w:val="0"/>
          <w:noProof w:val="0"/>
          <w:color w:val="000000"/>
          <w:position w:val="0"/>
          <w:sz w:val="20"/>
          <w:u w:val="none"/>
          <w:vertAlign w:val="baseline"/>
        </w:rPr>
        <w:t>Id.</w:t>
      </w:r>
    </w:p>
    <w:p>
      <w:pPr>
        <w:keepNext w:val="0"/>
        <w:spacing w:before="240" w:after="0" w:line="260" w:lineRule="atLeast"/>
        <w:ind w:left="0" w:right="0" w:firstLine="0"/>
        <w:jc w:val="both"/>
      </w:pPr>
      <w:bookmarkStart w:id="154" w:name="Bookmark_para_43"/>
      <w:bookmarkEnd w:id="154"/>
      <w:r>
        <w:rPr>
          <w:rFonts w:ascii="arial" w:eastAsia="arial" w:hAnsi="arial" w:cs="arial"/>
          <w:b w:val="0"/>
          <w:i w:val="0"/>
          <w:strike w:val="0"/>
          <w:noProof w:val="0"/>
          <w:color w:val="000000"/>
          <w:position w:val="0"/>
          <w:sz w:val="20"/>
          <w:u w:val="none"/>
          <w:vertAlign w:val="baseline"/>
        </w:rPr>
        <w:t xml:space="preserve">The parties appear to agree that the Court may consider the SF-95 claims attached to the briefing. The Court will do so under </w:t>
      </w:r>
      <w:r>
        <w:rPr>
          <w:rFonts w:ascii="arial" w:eastAsia="arial" w:hAnsi="arial" w:cs="arial"/>
          <w:b w:val="0"/>
          <w:i/>
          <w:strike w:val="0"/>
          <w:noProof w:val="0"/>
          <w:color w:val="000000"/>
          <w:position w:val="0"/>
          <w:sz w:val="20"/>
          <w:u w:val="none"/>
          <w:vertAlign w:val="baseline"/>
        </w:rPr>
        <w:t>Fed. R. Civ. P. 12(b)(1)</w:t>
      </w:r>
      <w:r>
        <w:rPr>
          <w:rFonts w:ascii="arial" w:eastAsia="arial" w:hAnsi="arial" w:cs="arial"/>
          <w:b w:val="0"/>
          <w:i w:val="0"/>
          <w:strike w:val="0"/>
          <w:noProof w:val="0"/>
          <w:color w:val="000000"/>
          <w:position w:val="0"/>
          <w:sz w:val="20"/>
          <w:u w:val="none"/>
          <w:vertAlign w:val="baseline"/>
        </w:rPr>
        <w:t xml:space="preserve">. Although Plaintiff filed two identical SF-95 claim forms, both claims were filed in the name of "New Mexico State Police Officer Darian Jarrott, Deceased, c/o Gabriella Jarrott, Personal Representative." Doc. 24-1 at 2; Doc. 24-2 at 2. </w:t>
      </w:r>
      <w:bookmarkStart w:id="155" w:name="Bookmark_I68T3XJG2D6NJ90020000400"/>
      <w:bookmarkEnd w:id="155"/>
      <w:r>
        <w:rPr>
          <w:rFonts w:ascii="arial" w:eastAsia="arial" w:hAnsi="arial" w:cs="arial"/>
          <w:b w:val="0"/>
          <w:i w:val="0"/>
          <w:strike w:val="0"/>
          <w:noProof w:val="0"/>
          <w:color w:val="000000"/>
          <w:position w:val="0"/>
          <w:sz w:val="20"/>
          <w:u w:val="none"/>
          <w:vertAlign w:val="baseline"/>
        </w:rPr>
        <w:t>To the extent Plaintiff was the claimant,</w:t>
      </w:r>
      <w:r>
        <w:rPr>
          <w:rFonts w:ascii="arial" w:eastAsia="arial" w:hAnsi="arial" w:cs="arial"/>
          <w:b/>
          <w:i w:val="0"/>
          <w:strike w:val="0"/>
          <w:noProof w:val="0"/>
          <w:color w:val="000000"/>
          <w:position w:val="0"/>
          <w:sz w:val="20"/>
          <w:u w:val="none"/>
          <w:vertAlign w:val="baseline"/>
        </w:rPr>
        <w:t> [*21] </w:t>
      </w:r>
      <w:r>
        <w:rPr>
          <w:rFonts w:ascii="arial" w:eastAsia="arial" w:hAnsi="arial" w:cs="arial"/>
          <w:b w:val="0"/>
          <w:i w:val="0"/>
          <w:strike w:val="0"/>
          <w:noProof w:val="0"/>
          <w:color w:val="000000"/>
          <w:position w:val="0"/>
          <w:sz w:val="20"/>
          <w:u w:val="none"/>
          <w:vertAlign w:val="baseline"/>
        </w:rPr>
        <w:t xml:space="preserve"> it appears to have been in her capacity as personal representative of Officer Jarrott's estate. Plaintiff did not file a claim form in her name.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Doc. 30-1, Ex. 1. </w:t>
      </w:r>
      <w:r>
        <w:rPr>
          <w:rFonts w:ascii="arial" w:eastAsia="arial" w:hAnsi="arial" w:cs="arial"/>
          <w:b w:val="0"/>
          <w:i/>
          <w:strike w:val="0"/>
          <w:noProof w:val="0"/>
          <w:color w:val="000000"/>
          <w:position w:val="0"/>
          <w:sz w:val="20"/>
          <w:u w:val="none"/>
          <w:vertAlign w:val="baseline"/>
        </w:rPr>
        <w:t xml:space="preserve">See </w:t>
      </w:r>
      <w:bookmarkStart w:id="156" w:name="Bookmark_I68T3XJG2D6NJ90010000400"/>
      <w:bookmarkEnd w:id="156"/>
      <w:hyperlink r:id="rId49" w:history="1">
        <w:r>
          <w:rPr>
            <w:rFonts w:ascii="arial" w:eastAsia="arial" w:hAnsi="arial" w:cs="arial"/>
            <w:b w:val="0"/>
            <w:i/>
            <w:strike w:val="0"/>
            <w:noProof w:val="0"/>
            <w:color w:val="0077CC"/>
            <w:position w:val="0"/>
            <w:sz w:val="20"/>
            <w:u w:val="single"/>
            <w:vertAlign w:val="baseline"/>
          </w:rPr>
          <w:t>Haceesa v. United States</w:t>
        </w:r>
      </w:hyperlink>
      <w:hyperlink r:id="rId49" w:history="1">
        <w:r>
          <w:rPr>
            <w:rFonts w:ascii="arial" w:eastAsia="arial" w:hAnsi="arial" w:cs="arial"/>
            <w:b w:val="0"/>
            <w:i/>
            <w:strike w:val="0"/>
            <w:noProof w:val="0"/>
            <w:color w:val="0077CC"/>
            <w:position w:val="0"/>
            <w:sz w:val="20"/>
            <w:u w:val="single"/>
            <w:vertAlign w:val="baseline"/>
          </w:rPr>
          <w:t>, 309 F.3d 722, 734 (10th Cir. 2002)</w:t>
        </w:r>
      </w:hyperlink>
      <w:r>
        <w:rPr>
          <w:rFonts w:ascii="arial" w:eastAsia="arial" w:hAnsi="arial" w:cs="arial"/>
          <w:b w:val="0"/>
          <w:i w:val="0"/>
          <w:strike w:val="0"/>
          <w:noProof w:val="0"/>
          <w:color w:val="000000"/>
          <w:position w:val="0"/>
          <w:sz w:val="20"/>
          <w:u w:val="none"/>
          <w:vertAlign w:val="baseline"/>
        </w:rPr>
        <w:t xml:space="preserve"> (in New Mexico loss of consortium claim associated with wrongful death claim, "the spouse of the decedent must bring a separate cause of action in his or her individual capacity to recover such damages," and cannot bring those claims as personal representative). Even assuming Plaintiff filed the claim forms in her own name and not on behalf of the estate Plaintiff did not describe the injuries she or her children suffered, but described the injuries and tortious acts suffered by her husband. The facts asserted in the notice would alert the United States to a wrongful death claim on behalf of Officer Jarrott, but not to a loss of consortium claim. Moreover, Plaintiff did not assert a sum of personal injury damages, but only asserted wrongful death damages. Therefore, the Court concludes that Plaintiff did not adequately notify the Defendant of her loss of consortium claim, and the Court concludes that Plaintiff did not exhaust her administrative remedies.</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CONCLUSION</w:t>
      </w:r>
    </w:p>
    <w:p>
      <w:pPr>
        <w:keepNext w:val="0"/>
        <w:spacing w:before="200" w:after="0" w:line="260" w:lineRule="atLeast"/>
        <w:ind w:left="0" w:right="0" w:firstLine="0"/>
        <w:jc w:val="both"/>
      </w:pPr>
      <w:bookmarkStart w:id="157" w:name="Bookmark_para_44"/>
      <w:bookmarkEnd w:id="157"/>
      <w:r>
        <w:rPr>
          <w:rFonts w:ascii="arial" w:eastAsia="arial" w:hAnsi="arial" w:cs="arial"/>
          <w:b w:val="0"/>
          <w:i w:val="0"/>
          <w:strike w:val="0"/>
          <w:noProof w:val="0"/>
          <w:color w:val="000000"/>
          <w:position w:val="0"/>
          <w:sz w:val="20"/>
          <w:u w:val="none"/>
          <w:vertAlign w:val="baseline"/>
        </w:rPr>
        <w:t>The Court concludes that under the Federal Tort Claims</w:t>
      </w:r>
      <w:r>
        <w:rPr>
          <w:rFonts w:ascii="arial" w:eastAsia="arial" w:hAnsi="arial" w:cs="arial"/>
          <w:b/>
          <w:i w:val="0"/>
          <w:strike w:val="0"/>
          <w:noProof w:val="0"/>
          <w:color w:val="000000"/>
          <w:position w:val="0"/>
          <w:sz w:val="20"/>
          <w:u w:val="none"/>
          <w:vertAlign w:val="baseline"/>
        </w:rPr>
        <w:t> [*22] </w:t>
      </w:r>
      <w:r>
        <w:rPr>
          <w:rFonts w:ascii="arial" w:eastAsia="arial" w:hAnsi="arial" w:cs="arial"/>
          <w:b w:val="0"/>
          <w:i w:val="0"/>
          <w:strike w:val="0"/>
          <w:noProof w:val="0"/>
          <w:color w:val="000000"/>
          <w:position w:val="0"/>
          <w:sz w:val="20"/>
          <w:u w:val="none"/>
          <w:vertAlign w:val="baseline"/>
        </w:rPr>
        <w:t xml:space="preserve"> Act, sovereign immunity has not been waived for the claims asserted in this case. Therefore, the Court lacks subject matter jurisdiction and dismisses this case without prejudice.</w:t>
      </w:r>
    </w:p>
    <w:p>
      <w:pPr>
        <w:keepNext w:val="0"/>
        <w:spacing w:before="200" w:after="0" w:line="260" w:lineRule="atLeast"/>
        <w:ind w:left="0" w:right="0" w:firstLine="0"/>
        <w:jc w:val="both"/>
      </w:pPr>
      <w:bookmarkStart w:id="158" w:name="Bookmark_para_45"/>
      <w:bookmarkEnd w:id="158"/>
      <w:r>
        <w:rPr>
          <w:rFonts w:ascii="arial" w:eastAsia="arial" w:hAnsi="arial" w:cs="arial"/>
          <w:b/>
          <w:i w:val="0"/>
          <w:strike w:val="0"/>
          <w:noProof w:val="0"/>
          <w:color w:val="000000"/>
          <w:position w:val="0"/>
          <w:sz w:val="20"/>
          <w:u w:val="none"/>
          <w:vertAlign w:val="baseline"/>
        </w:rPr>
        <w:t>IT IS THEREFORE ORDERED</w:t>
      </w:r>
      <w:r>
        <w:rPr>
          <w:rFonts w:ascii="arial" w:eastAsia="arial" w:hAnsi="arial" w:cs="arial"/>
          <w:b w:val="0"/>
          <w:i w:val="0"/>
          <w:strike w:val="0"/>
          <w:noProof w:val="0"/>
          <w:color w:val="000000"/>
          <w:position w:val="0"/>
          <w:sz w:val="20"/>
          <w:u w:val="none"/>
          <w:vertAlign w:val="baseline"/>
        </w:rPr>
        <w:t xml:space="preserve"> that Defendant's Motion to Dismiss a Claim for Lack of Subject Matter Jurisdiction </w:t>
      </w:r>
      <w:r>
        <w:rPr>
          <w:rFonts w:ascii="arial" w:eastAsia="arial" w:hAnsi="arial" w:cs="arial"/>
          <w:b/>
          <w:i w:val="0"/>
          <w:strike w:val="0"/>
          <w:noProof w:val="0"/>
          <w:color w:val="000000"/>
          <w:position w:val="0"/>
          <w:sz w:val="20"/>
          <w:u w:val="none"/>
          <w:vertAlign w:val="baseline"/>
        </w:rPr>
        <w:t>(Doc. 24)</w:t>
      </w:r>
      <w:r>
        <w:rPr>
          <w:rFonts w:ascii="arial" w:eastAsia="arial" w:hAnsi="arial" w:cs="arial"/>
          <w:b w:val="0"/>
          <w:i w:val="0"/>
          <w:strike w:val="0"/>
          <w:noProof w:val="0"/>
          <w:color w:val="000000"/>
          <w:position w:val="0"/>
          <w:sz w:val="20"/>
          <w:u w:val="none"/>
          <w:vertAlign w:val="baseline"/>
        </w:rPr>
        <w:t xml:space="preserve"> is hereby </w:t>
      </w:r>
      <w:r>
        <w:rPr>
          <w:rFonts w:ascii="arial" w:eastAsia="arial" w:hAnsi="arial" w:cs="arial"/>
          <w:b/>
          <w:i w:val="0"/>
          <w:strike w:val="0"/>
          <w:noProof w:val="0"/>
          <w:color w:val="000000"/>
          <w:position w:val="0"/>
          <w:sz w:val="20"/>
          <w:u w:val="none"/>
          <w:vertAlign w:val="baseline"/>
        </w:rPr>
        <w:t>GRANTED</w:t>
      </w:r>
      <w:r>
        <w:rPr>
          <w:rFonts w:ascii="arial" w:eastAsia="arial" w:hAnsi="arial" w:cs="arial"/>
          <w:b w:val="0"/>
          <w:i w:val="0"/>
          <w:strike w:val="0"/>
          <w:noProof w:val="0"/>
          <w:color w:val="000000"/>
          <w:position w:val="0"/>
          <w:sz w:val="20"/>
          <w:u w:val="none"/>
          <w:vertAlign w:val="baseline"/>
        </w:rPr>
        <w:t xml:space="preserve"> for the reasons described in this Memorandum Opinion and Order; and</w:t>
      </w:r>
    </w:p>
    <w:p>
      <w:pPr>
        <w:keepNext w:val="0"/>
        <w:spacing w:before="200" w:after="0" w:line="260" w:lineRule="atLeast"/>
        <w:ind w:left="0" w:right="0" w:firstLine="0"/>
        <w:jc w:val="both"/>
      </w:pPr>
      <w:bookmarkStart w:id="159" w:name="Bookmark_para_46"/>
      <w:bookmarkEnd w:id="159"/>
      <w:r>
        <w:rPr>
          <w:rFonts w:ascii="arial" w:eastAsia="arial" w:hAnsi="arial" w:cs="arial"/>
          <w:b/>
          <w:i w:val="0"/>
          <w:strike w:val="0"/>
          <w:noProof w:val="0"/>
          <w:color w:val="000000"/>
          <w:position w:val="0"/>
          <w:sz w:val="20"/>
          <w:u w:val="none"/>
          <w:vertAlign w:val="baseline"/>
        </w:rPr>
        <w:t>IT IS FURTHER ORDERED</w:t>
      </w:r>
      <w:r>
        <w:rPr>
          <w:rFonts w:ascii="arial" w:eastAsia="arial" w:hAnsi="arial" w:cs="arial"/>
          <w:b w:val="0"/>
          <w:i w:val="0"/>
          <w:strike w:val="0"/>
          <w:noProof w:val="0"/>
          <w:color w:val="000000"/>
          <w:position w:val="0"/>
          <w:sz w:val="20"/>
          <w:u w:val="none"/>
          <w:vertAlign w:val="baseline"/>
        </w:rPr>
        <w:t xml:space="preserve"> that this case is </w:t>
      </w:r>
      <w:r>
        <w:rPr>
          <w:rFonts w:ascii="arial" w:eastAsia="arial" w:hAnsi="arial" w:cs="arial"/>
          <w:b/>
          <w:i w:val="0"/>
          <w:strike w:val="0"/>
          <w:noProof w:val="0"/>
          <w:color w:val="000000"/>
          <w:position w:val="0"/>
          <w:sz w:val="20"/>
          <w:u w:val="none"/>
          <w:vertAlign w:val="baseline"/>
        </w:rPr>
        <w:t>DISMISSED WITHOUT PREJUDICE</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160" w:name="Bookmark_para_47"/>
      <w:bookmarkEnd w:id="160"/>
      <w:r>
        <w:rPr>
          <w:rFonts w:ascii="arial" w:eastAsia="arial" w:hAnsi="arial" w:cs="arial"/>
          <w:b w:val="0"/>
          <w:i w:val="0"/>
          <w:strike w:val="0"/>
          <w:noProof w:val="0"/>
          <w:color w:val="000000"/>
          <w:position w:val="0"/>
          <w:sz w:val="20"/>
          <w:u w:val="none"/>
          <w:vertAlign w:val="baseline"/>
        </w:rPr>
        <w:t>/s/ Kea Riggs</w:t>
      </w:r>
    </w:p>
    <w:p>
      <w:pPr>
        <w:keepNext w:val="0"/>
        <w:spacing w:before="200" w:after="0" w:line="260" w:lineRule="atLeast"/>
        <w:ind w:left="0" w:right="0" w:firstLine="0"/>
        <w:jc w:val="both"/>
      </w:pPr>
      <w:bookmarkStart w:id="161" w:name="Bookmark_para_48"/>
      <w:bookmarkEnd w:id="161"/>
      <w:r>
        <w:rPr>
          <w:rFonts w:ascii="arial" w:eastAsia="arial" w:hAnsi="arial" w:cs="arial"/>
          <w:b/>
          <w:i w:val="0"/>
          <w:strike w:val="0"/>
          <w:noProof w:val="0"/>
          <w:color w:val="000000"/>
          <w:position w:val="0"/>
          <w:sz w:val="20"/>
          <w:u w:val="none"/>
          <w:vertAlign w:val="baseline"/>
        </w:rPr>
        <w:t>KEA RIGGS</w:t>
      </w:r>
    </w:p>
    <w:p>
      <w:pPr>
        <w:keepNext w:val="0"/>
        <w:spacing w:before="200" w:after="0" w:line="260" w:lineRule="atLeast"/>
        <w:ind w:left="0" w:right="0" w:firstLine="0"/>
        <w:jc w:val="both"/>
      </w:pPr>
      <w:bookmarkStart w:id="162" w:name="Bookmark_para_49"/>
      <w:bookmarkEnd w:id="162"/>
      <w:r>
        <w:rPr>
          <w:rFonts w:ascii="arial" w:eastAsia="arial" w:hAnsi="arial" w:cs="arial"/>
          <w:b/>
          <w:i w:val="0"/>
          <w:strike w:val="0"/>
          <w:noProof w:val="0"/>
          <w:color w:val="000000"/>
          <w:position w:val="0"/>
          <w:sz w:val="20"/>
          <w:u w:val="none"/>
          <w:vertAlign w:val="baseline"/>
        </w:rPr>
        <w:t>UNITED STATES DISTRICT JUDGE</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single"/>
          <w:vertAlign w:val="baseline"/>
        </w:rPr>
        <w:t>JUDGMENT</w:t>
      </w:r>
    </w:p>
    <w:p>
      <w:pPr>
        <w:keepNext w:val="0"/>
        <w:spacing w:before="200" w:after="0" w:line="260" w:lineRule="atLeast"/>
        <w:ind w:left="0" w:right="0" w:firstLine="0"/>
        <w:jc w:val="both"/>
      </w:pPr>
      <w:bookmarkStart w:id="163" w:name="Bookmark_para_50"/>
      <w:bookmarkEnd w:id="163"/>
      <w:r>
        <w:rPr>
          <w:rFonts w:ascii="arial" w:eastAsia="arial" w:hAnsi="arial" w:cs="arial"/>
          <w:b w:val="0"/>
          <w:i w:val="0"/>
          <w:strike w:val="0"/>
          <w:noProof w:val="0"/>
          <w:color w:val="000000"/>
          <w:position w:val="0"/>
          <w:sz w:val="20"/>
          <w:u w:val="none"/>
          <w:vertAlign w:val="baseline"/>
        </w:rPr>
        <w:t>For the reasons stated in the Memorandum Opinion and Order (</w:t>
      </w:r>
      <w:r>
        <w:rPr>
          <w:rFonts w:ascii="arial" w:eastAsia="arial" w:hAnsi="arial" w:cs="arial"/>
          <w:b/>
          <w:i w:val="0"/>
          <w:strike w:val="0"/>
          <w:noProof w:val="0"/>
          <w:color w:val="000000"/>
          <w:position w:val="0"/>
          <w:sz w:val="20"/>
          <w:u w:val="none"/>
          <w:vertAlign w:val="baseline"/>
        </w:rPr>
        <w:t>Doc. 35</w:t>
      </w:r>
      <w:r>
        <w:rPr>
          <w:rFonts w:ascii="arial" w:eastAsia="arial" w:hAnsi="arial" w:cs="arial"/>
          <w:b w:val="0"/>
          <w:i w:val="0"/>
          <w:strike w:val="0"/>
          <w:noProof w:val="0"/>
          <w:color w:val="000000"/>
          <w:position w:val="0"/>
          <w:sz w:val="20"/>
          <w:u w:val="none"/>
          <w:vertAlign w:val="baseline"/>
        </w:rPr>
        <w:t xml:space="preserve">) entered </w:t>
      </w:r>
      <w:r>
        <w:rPr>
          <w:rFonts w:ascii="arial" w:eastAsia="arial" w:hAnsi="arial" w:cs="arial"/>
          <w:b/>
          <w:i w:val="0"/>
          <w:strike w:val="0"/>
          <w:noProof w:val="0"/>
          <w:color w:val="000000"/>
          <w:position w:val="0"/>
          <w:sz w:val="20"/>
          <w:u w:val="none"/>
          <w:vertAlign w:val="baseline"/>
        </w:rPr>
        <w:t>July 24, 2023</w:t>
      </w:r>
      <w:r>
        <w:rPr>
          <w:rFonts w:ascii="arial" w:eastAsia="arial" w:hAnsi="arial" w:cs="arial"/>
          <w:b w:val="0"/>
          <w:i w:val="0"/>
          <w:strike w:val="0"/>
          <w:noProof w:val="0"/>
          <w:color w:val="000000"/>
          <w:position w:val="0"/>
          <w:sz w:val="20"/>
          <w:u w:val="none"/>
          <w:vertAlign w:val="baseline"/>
        </w:rPr>
        <w:t>, the Court dismisses this case without prejudice for lack of subject matter jurisdiction.</w:t>
      </w:r>
    </w:p>
    <w:p>
      <w:pPr>
        <w:keepNext w:val="0"/>
        <w:spacing w:before="200" w:after="0" w:line="260" w:lineRule="atLeast"/>
        <w:ind w:left="0" w:right="0" w:firstLine="0"/>
        <w:jc w:val="both"/>
      </w:pPr>
      <w:bookmarkStart w:id="164" w:name="Bookmark_para_51"/>
      <w:bookmarkEnd w:id="164"/>
      <w:r>
        <w:rPr>
          <w:rFonts w:ascii="arial" w:eastAsia="arial" w:hAnsi="arial" w:cs="arial"/>
          <w:b/>
          <w:i w:val="0"/>
          <w:strike w:val="0"/>
          <w:noProof w:val="0"/>
          <w:color w:val="000000"/>
          <w:position w:val="0"/>
          <w:sz w:val="20"/>
          <w:u w:val="none"/>
          <w:vertAlign w:val="baseline"/>
        </w:rPr>
        <w:t>IT IS THEREFORE ORDERED AND ADJUDGED</w:t>
      </w:r>
      <w:r>
        <w:rPr>
          <w:rFonts w:ascii="arial" w:eastAsia="arial" w:hAnsi="arial" w:cs="arial"/>
          <w:b w:val="0"/>
          <w:i w:val="0"/>
          <w:strike w:val="0"/>
          <w:noProof w:val="0"/>
          <w:color w:val="000000"/>
          <w:position w:val="0"/>
          <w:sz w:val="20"/>
          <w:u w:val="none"/>
          <w:vertAlign w:val="baseline"/>
        </w:rPr>
        <w:t xml:space="preserve"> that this case is </w:t>
      </w:r>
      <w:r>
        <w:rPr>
          <w:rFonts w:ascii="arial" w:eastAsia="arial" w:hAnsi="arial" w:cs="arial"/>
          <w:b/>
          <w:i w:val="0"/>
          <w:strike w:val="0"/>
          <w:noProof w:val="0"/>
          <w:color w:val="000000"/>
          <w:position w:val="0"/>
          <w:sz w:val="20"/>
          <w:u w:val="none"/>
          <w:vertAlign w:val="baseline"/>
        </w:rPr>
        <w:t>DISMISSED WITHOUT PREJUDICE</w:t>
      </w:r>
      <w:r>
        <w:rPr>
          <w:rFonts w:ascii="arial" w:eastAsia="arial" w:hAnsi="arial" w:cs="arial"/>
          <w:b w:val="0"/>
          <w:i w:val="0"/>
          <w:strike w:val="0"/>
          <w:noProof w:val="0"/>
          <w:color w:val="000000"/>
          <w:position w:val="0"/>
          <w:sz w:val="20"/>
          <w:u w:val="none"/>
          <w:vertAlign w:val="baseline"/>
        </w:rPr>
        <w:t xml:space="preserve"> for lack of subject matter jurisdiction.</w:t>
      </w:r>
    </w:p>
    <w:p>
      <w:pPr>
        <w:keepNext w:val="0"/>
        <w:spacing w:before="200" w:after="0" w:line="260" w:lineRule="atLeast"/>
        <w:ind w:left="0" w:right="0" w:firstLine="0"/>
        <w:jc w:val="both"/>
      </w:pPr>
      <w:bookmarkStart w:id="165" w:name="Bookmark_para_52"/>
      <w:bookmarkEnd w:id="165"/>
      <w:r>
        <w:rPr>
          <w:rFonts w:ascii="arial" w:eastAsia="arial" w:hAnsi="arial" w:cs="arial"/>
          <w:b/>
          <w:i w:val="0"/>
          <w:strike w:val="0"/>
          <w:noProof w:val="0"/>
          <w:color w:val="000000"/>
          <w:position w:val="0"/>
          <w:sz w:val="20"/>
          <w:u w:val="none"/>
          <w:vertAlign w:val="baseline"/>
        </w:rPr>
        <w:t>IT IS SO ORDERED</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166" w:name="Bookmark_para_53"/>
      <w:bookmarkEnd w:id="166"/>
      <w:r>
        <w:rPr>
          <w:rFonts w:ascii="arial" w:eastAsia="arial" w:hAnsi="arial" w:cs="arial"/>
          <w:b w:val="0"/>
          <w:i w:val="0"/>
          <w:strike w:val="0"/>
          <w:noProof w:val="0"/>
          <w:color w:val="000000"/>
          <w:position w:val="0"/>
          <w:sz w:val="20"/>
          <w:u w:val="none"/>
          <w:vertAlign w:val="baseline"/>
        </w:rPr>
        <w:t>/s/ Kea Riggs</w:t>
      </w:r>
    </w:p>
    <w:p>
      <w:pPr>
        <w:keepNext w:val="0"/>
        <w:spacing w:before="200" w:after="0" w:line="260" w:lineRule="atLeast"/>
        <w:ind w:left="0" w:right="0" w:firstLine="0"/>
        <w:jc w:val="both"/>
      </w:pPr>
      <w:bookmarkStart w:id="167" w:name="Bookmark_para_54"/>
      <w:bookmarkEnd w:id="167"/>
      <w:r>
        <w:rPr>
          <w:rFonts w:ascii="arial" w:eastAsia="arial" w:hAnsi="arial" w:cs="arial"/>
          <w:b/>
          <w:i w:val="0"/>
          <w:strike w:val="0"/>
          <w:noProof w:val="0"/>
          <w:color w:val="000000"/>
          <w:position w:val="0"/>
          <w:sz w:val="20"/>
          <w:u w:val="none"/>
          <w:vertAlign w:val="baseline"/>
        </w:rPr>
        <w:t>KEA RIGGS</w:t>
      </w:r>
    </w:p>
    <w:p>
      <w:pPr>
        <w:keepNext w:val="0"/>
        <w:spacing w:before="200" w:after="0" w:line="260" w:lineRule="atLeast"/>
        <w:ind w:left="0" w:right="0" w:firstLine="0"/>
        <w:jc w:val="both"/>
      </w:pPr>
      <w:bookmarkStart w:id="168" w:name="Bookmark_para_55"/>
      <w:bookmarkEnd w:id="168"/>
      <w:r>
        <w:rPr>
          <w:rFonts w:ascii="arial" w:eastAsia="arial" w:hAnsi="arial" w:cs="arial"/>
          <w:b/>
          <w:i w:val="0"/>
          <w:strike w:val="0"/>
          <w:noProof w:val="0"/>
          <w:color w:val="000000"/>
          <w:position w:val="0"/>
          <w:sz w:val="20"/>
          <w:u w:val="none"/>
          <w:vertAlign w:val="baseline"/>
        </w:rPr>
        <w:t>UNITED STATES DISTRICT JUDGE</w:t>
      </w:r>
    </w:p>
    <w:p/>
    <w:p>
      <w:pPr>
        <w:ind w:left="200"/>
      </w:pPr>
      <w:r>
        <w:br/>
      </w:r>
      <w:r>
        <w:pict>
          <v:line id="_x0000_s1028" style="position:absolute;z-index:251660288"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num="1"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pPr>
        <w:spacing w:after="0" w:line="240" w:lineRule="auto"/>
      </w:pPr>
      <w:r>
        <w:separator/>
      </w:r>
    </w:p>
  </w:footnote>
  <w:footnote w:type="continuationSeparator" w:id="1">
    <w:p>
      <w:pPr>
        <w:spacing w:after="0" w:line="240" w:lineRule="auto"/>
      </w:pPr>
      <w:r>
        <w:continuationSeparator/>
      </w:r>
    </w:p>
  </w:footnote>
  <w:footnote w:id="2">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1 </w:t>
      </w:r>
      <w:bookmarkStart w:id="117" w:name="Bookmark_fnpara_1"/>
      <w:bookmarkEnd w:id="117"/>
      <w:r>
        <w:rPr>
          <w:rFonts w:ascii="arial" w:eastAsia="arial" w:hAnsi="arial" w:cs="arial"/>
          <w:b w:val="0"/>
          <w:i w:val="0"/>
          <w:strike w:val="0"/>
          <w:noProof w:val="0"/>
          <w:color w:val="000000"/>
          <w:position w:val="0"/>
          <w:sz w:val="18"/>
          <w:u w:val="none"/>
          <w:vertAlign w:val="baseline"/>
        </w:rPr>
        <w:t xml:space="preserve">The Tenth and Sixth Circuits have not addressed this issue. </w:t>
      </w:r>
      <w:bookmarkStart w:id="118" w:name="Bookmark_I68T3XJD2D6NHS0010000400"/>
      <w:bookmarkEnd w:id="118"/>
      <w:hyperlink r:id="rId1" w:history="1">
        <w:r>
          <w:rPr>
            <w:rFonts w:ascii="arial" w:eastAsia="arial" w:hAnsi="arial" w:cs="arial"/>
            <w:b w:val="0"/>
            <w:i/>
            <w:strike w:val="0"/>
            <w:noProof w:val="0"/>
            <w:color w:val="0077CC"/>
            <w:position w:val="0"/>
            <w:sz w:val="18"/>
            <w:u w:val="single"/>
            <w:vertAlign w:val="baseline"/>
          </w:rPr>
          <w:t>Mynatt v. United States</w:t>
        </w:r>
      </w:hyperlink>
      <w:hyperlink r:id="rId1" w:history="1">
        <w:r>
          <w:rPr>
            <w:rFonts w:ascii="arial" w:eastAsia="arial" w:hAnsi="arial" w:cs="arial"/>
            <w:b w:val="0"/>
            <w:i/>
            <w:strike w:val="0"/>
            <w:noProof w:val="0"/>
            <w:color w:val="0077CC"/>
            <w:position w:val="0"/>
            <w:sz w:val="18"/>
            <w:u w:val="single"/>
            <w:vertAlign w:val="baseline"/>
          </w:rPr>
          <w:t>, 45 F.4th 889, 895 (6th Cir. 2022)</w:t>
        </w:r>
      </w:hyperlink>
      <w:r>
        <w:rPr>
          <w:rFonts w:ascii="arial" w:eastAsia="arial" w:hAnsi="arial" w:cs="arial"/>
          <w:b w:val="0"/>
          <w:i w:val="0"/>
          <w:strike w:val="0"/>
          <w:noProof w:val="0"/>
          <w:color w:val="000000"/>
          <w:position w:val="0"/>
          <w:sz w:val="18"/>
          <w:u w:val="none"/>
          <w:vertAlign w:val="baseline"/>
        </w:rPr>
        <w:t xml:space="preserve">; </w:t>
      </w:r>
      <w:bookmarkStart w:id="119" w:name="Bookmark_I68T3XJD2D6NHS0030000400"/>
      <w:bookmarkEnd w:id="119"/>
      <w:hyperlink r:id="rId2" w:history="1">
        <w:r>
          <w:rPr>
            <w:rFonts w:ascii="arial" w:eastAsia="arial" w:hAnsi="arial" w:cs="arial"/>
            <w:b w:val="0"/>
            <w:i/>
            <w:strike w:val="0"/>
            <w:noProof w:val="0"/>
            <w:color w:val="0077CC"/>
            <w:position w:val="0"/>
            <w:sz w:val="18"/>
            <w:u w:val="single"/>
            <w:vertAlign w:val="baseline"/>
          </w:rPr>
          <w:t>Garling v. United States Env't Prot. Agency</w:t>
        </w:r>
      </w:hyperlink>
      <w:hyperlink r:id="rId2" w:history="1">
        <w:r>
          <w:rPr>
            <w:rFonts w:ascii="arial" w:eastAsia="arial" w:hAnsi="arial" w:cs="arial"/>
            <w:b w:val="0"/>
            <w:i/>
            <w:strike w:val="0"/>
            <w:noProof w:val="0"/>
            <w:color w:val="0077CC"/>
            <w:position w:val="0"/>
            <w:sz w:val="18"/>
            <w:u w:val="single"/>
            <w:vertAlign w:val="baseline"/>
          </w:rPr>
          <w:t>, 849 F.3d 1289, 1297-98 n.5 (10th Cir. 2017)</w:t>
        </w:r>
      </w:hyperlink>
      <w:r>
        <w:rPr>
          <w:rFonts w:ascii="arial" w:eastAsia="arial" w:hAnsi="arial" w:cs="arial"/>
          <w:b w:val="0"/>
          <w:i w:val="0"/>
          <w:strike w:val="0"/>
          <w:noProof w:val="0"/>
          <w:color w:val="000000"/>
          <w:position w:val="0"/>
          <w:sz w:val="18"/>
          <w:u w:val="none"/>
          <w:vertAlign w:val="baseline"/>
        </w:rPr>
        <w:t>.</w:t>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Jarrott v. United States, 2023 U.S. Dist. LEXIS 128020</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footnotePr>
    <w:footnote w:id="0"/>
    <w:footnote w:id="1"/>
  </w:footnotePr>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footnotes" Target="footnotes.xml" /><Relationship Id="rId10" Type="http://schemas.openxmlformats.org/officeDocument/2006/relationships/hyperlink" Target="https://advance.lexis.com/api/document?collection=statutes-legislation&amp;id=urn:contentItem:8SG9-5HW2-D6RV-H109-00000-00&amp;context=1519360" TargetMode="External" /><Relationship Id="rId11" Type="http://schemas.openxmlformats.org/officeDocument/2006/relationships/hyperlink" Target="https://advance.lexis.com/api/document?collection=statutes-legislation&amp;id=urn:contentItem:8SG9-5HW2-D6RV-H10M-00000-00&amp;context=1519360" TargetMode="External" /><Relationship Id="rId12" Type="http://schemas.openxmlformats.org/officeDocument/2006/relationships/hyperlink" Target="https://advance.lexis.com/api/document?collection=cases&amp;id=urn:contentItem:3S4X-H280-001T-D29W-00000-00&amp;context=1519360" TargetMode="External" /><Relationship Id="rId13" Type="http://schemas.openxmlformats.org/officeDocument/2006/relationships/hyperlink" Target="https://advance.lexis.com/api/document?collection=cases&amp;id=urn:contentItem:3XC2-6N70-0038-X1XJ-00000-00&amp;context=1519360" TargetMode="External" /><Relationship Id="rId14" Type="http://schemas.openxmlformats.org/officeDocument/2006/relationships/hyperlink" Target="https://advance.lexis.com/api/document?collection=statutes-legislation&amp;id=urn:contentItem:5GYC-2421-6N19-F165-00000-00&amp;context=1519360" TargetMode="External" /><Relationship Id="rId15" Type="http://schemas.openxmlformats.org/officeDocument/2006/relationships/hyperlink" Target="https://advance.lexis.com/api/document?collection=cases&amp;id=urn:contentItem:7YN2-WG41-2RHT-1002-00000-00&amp;context=1519360" TargetMode="External" /><Relationship Id="rId16" Type="http://schemas.openxmlformats.org/officeDocument/2006/relationships/hyperlink" Target="https://advance.lexis.com/api/document?collection=cases&amp;id=urn:contentItem:3S4X-9WN0-003B-S2J2-00000-00&amp;context=1519360" TargetMode="External" /><Relationship Id="rId17" Type="http://schemas.openxmlformats.org/officeDocument/2006/relationships/hyperlink" Target="https://advance.lexis.com/api/document?collection=statutes-legislation&amp;id=urn:contentItem:8SG9-5HW2-D6RV-H0GM-00000-00&amp;context=1519360" TargetMode="External" /><Relationship Id="rId18" Type="http://schemas.openxmlformats.org/officeDocument/2006/relationships/hyperlink" Target="https://advance.lexis.com/api/document?collection=cases&amp;id=urn:contentItem:5N1N-XN51-F04K-W01M-00000-00&amp;context=1519360" TargetMode="External" /><Relationship Id="rId19" Type="http://schemas.openxmlformats.org/officeDocument/2006/relationships/hyperlink" Target="https://advance.lexis.com/api/document?collection=cases&amp;id=urn:contentItem:3S65-KV20-003B-R2J3-00000-00&amp;context=1519360" TargetMode="External" /><Relationship Id="rId2" Type="http://schemas.openxmlformats.org/officeDocument/2006/relationships/settings" Target="settings.xml" /><Relationship Id="rId20" Type="http://schemas.openxmlformats.org/officeDocument/2006/relationships/hyperlink" Target="https://advance.lexis.com/api/document?collection=cases&amp;id=urn:contentItem:3S4X-F1N0-003B-43DY-00000-00&amp;context=1519360" TargetMode="External" /><Relationship Id="rId21" Type="http://schemas.openxmlformats.org/officeDocument/2006/relationships/hyperlink" Target="https://advance.lexis.com/api/document?collection=cases&amp;id=urn:contentItem:60CJ-3FV1-JYYX-62MP-00000-00&amp;context=1519360" TargetMode="External" /><Relationship Id="rId22" Type="http://schemas.openxmlformats.org/officeDocument/2006/relationships/hyperlink" Target="https://advance.lexis.com/api/document?collection=cases&amp;id=urn:contentItem:5M43-RCS1-F04K-W007-00000-00&amp;context=1519360" TargetMode="External" /><Relationship Id="rId23" Type="http://schemas.openxmlformats.org/officeDocument/2006/relationships/hyperlink" Target="https://advance.lexis.com/api/document?collection=cases&amp;id=urn:contentItem:3T14-W150-0038-X3XD-00000-00&amp;context=1519360" TargetMode="External" /><Relationship Id="rId24" Type="http://schemas.openxmlformats.org/officeDocument/2006/relationships/hyperlink" Target="https://advance.lexis.com/api/document?collection=cases&amp;id=urn:contentItem:47CJ-K0X0-0038-X0M8-00000-00&amp;context=1519360" TargetMode="External" /><Relationship Id="rId25" Type="http://schemas.openxmlformats.org/officeDocument/2006/relationships/hyperlink" Target="https://advance.lexis.com/api/document?collection=cases&amp;id=urn:contentItem:5YMM-YFY1-DYV0-G2PH-00000-00&amp;context=1519360" TargetMode="External" /><Relationship Id="rId26" Type="http://schemas.openxmlformats.org/officeDocument/2006/relationships/hyperlink" Target="https://advance.lexis.com/api/document?collection=cases&amp;id=urn:contentItem:4SBR-JTJ0-TXFX-F33W-00000-00&amp;context=1519360" TargetMode="External" /><Relationship Id="rId27" Type="http://schemas.openxmlformats.org/officeDocument/2006/relationships/hyperlink" Target="https://advance.lexis.com/api/document?collection=cases&amp;id=urn:contentItem:5W01-19K1-JPGX-S0PC-00000-00&amp;context=1519360" TargetMode="External" /><Relationship Id="rId28" Type="http://schemas.openxmlformats.org/officeDocument/2006/relationships/hyperlink" Target="https://advance.lexis.com/api/document?collection=cases&amp;id=urn:contentItem:5X12-0991-FJM6-612D-00000-00&amp;context=1519360" TargetMode="External" /><Relationship Id="rId29" Type="http://schemas.openxmlformats.org/officeDocument/2006/relationships/hyperlink" Target="https://advance.lexis.com/api/document?collection=cases&amp;id=urn:contentItem:51XH-7X21-652R-6001-00000-00&amp;context=1519360" TargetMode="External" /><Relationship Id="rId3" Type="http://schemas.openxmlformats.org/officeDocument/2006/relationships/webSettings" Target="webSettings.xml" /><Relationship Id="rId30" Type="http://schemas.openxmlformats.org/officeDocument/2006/relationships/hyperlink" Target="https://advance.lexis.com/api/document?collection=cases&amp;id=urn:contentItem:3RHM-PPG0-0038-X3M7-00000-00&amp;context=1519360" TargetMode="External" /><Relationship Id="rId31" Type="http://schemas.openxmlformats.org/officeDocument/2006/relationships/hyperlink" Target="https://advance.lexis.com/api/document?collection=cases&amp;id=urn:contentItem:3S4X-FCS0-0039-P0Y7-00000-00&amp;context=1519360" TargetMode="External" /><Relationship Id="rId32" Type="http://schemas.openxmlformats.org/officeDocument/2006/relationships/hyperlink" Target="https://advance.lexis.com/api/document?collection=cases&amp;id=urn:contentItem:60GH-P1W1-F8KH-X44K-00000-00&amp;context=1519360" TargetMode="External" /><Relationship Id="rId33" Type="http://schemas.openxmlformats.org/officeDocument/2006/relationships/hyperlink" Target="https://advance.lexis.com/api/document?collection=cases&amp;id=urn:contentItem:4JKC-CMG0-0038-X299-00000-00&amp;context=1519360" TargetMode="External" /><Relationship Id="rId34" Type="http://schemas.openxmlformats.org/officeDocument/2006/relationships/hyperlink" Target="https://advance.lexis.com/api/document?collection=cases&amp;id=urn:contentItem:3SBV-R660-0038-X2TF-00000-00&amp;context=1519360" TargetMode="External" /><Relationship Id="rId35" Type="http://schemas.openxmlformats.org/officeDocument/2006/relationships/hyperlink" Target="https://advance.lexis.com/api/document?collection=cases&amp;id=urn:contentItem:4VJ9-BD60-TXFX-G2SK-00000-00&amp;context=1519360" TargetMode="External" /><Relationship Id="rId36" Type="http://schemas.openxmlformats.org/officeDocument/2006/relationships/hyperlink" Target="https://advance.lexis.com/api/document?collection=cases&amp;id=urn:contentItem:5YJ9-JVD1-F1WF-M01C-00000-00&amp;context=1519360" TargetMode="External" /><Relationship Id="rId37" Type="http://schemas.openxmlformats.org/officeDocument/2006/relationships/hyperlink" Target="https://advance.lexis.com/api/document?collection=cases&amp;id=urn:contentItem:5S5W-3C11-JWJ0-G4RF-00000-00&amp;context=1519360" TargetMode="External" /><Relationship Id="rId38" Type="http://schemas.openxmlformats.org/officeDocument/2006/relationships/hyperlink" Target="https://advance.lexis.com/api/document?collection=cases&amp;id=urn:contentItem:43MD-2XX0-0038-X2PT-00000-00&amp;context=1519360" TargetMode="External" /><Relationship Id="rId39" Type="http://schemas.openxmlformats.org/officeDocument/2006/relationships/hyperlink" Target="https://advance.lexis.com/api/document?collection=cases&amp;id=urn:contentItem:3S4X-1D70-003B-P2VP-00000-00&amp;context=1519360" TargetMode="External" /><Relationship Id="rId4" Type="http://schemas.openxmlformats.org/officeDocument/2006/relationships/fontTable" Target="fontTable.xml" /><Relationship Id="rId40" Type="http://schemas.openxmlformats.org/officeDocument/2006/relationships/hyperlink" Target="https://advance.lexis.com/api/document?collection=cases&amp;id=urn:contentItem:3S4X-0100-003B-G32W-00000-00&amp;context=1519360" TargetMode="External" /><Relationship Id="rId41" Type="http://schemas.openxmlformats.org/officeDocument/2006/relationships/hyperlink" Target="https://advance.lexis.com/api/document?collection=cases&amp;id=urn:contentItem:3S4X-3YN0-003B-G237-00000-00&amp;context=1519360" TargetMode="External" /><Relationship Id="rId42" Type="http://schemas.openxmlformats.org/officeDocument/2006/relationships/hyperlink" Target="https://advance.lexis.com/api/document?collection=cases&amp;id=urn:contentItem:3S4X-7TK0-0039-P0SG-00000-00&amp;context=1519360" TargetMode="External" /><Relationship Id="rId43" Type="http://schemas.openxmlformats.org/officeDocument/2006/relationships/hyperlink" Target="https://advance.lexis.com/api/document?collection=cases&amp;id=urn:contentItem:582C-DKR1-F04K-F1Y8-00000-00&amp;context=1519360" TargetMode="External" /><Relationship Id="rId44" Type="http://schemas.openxmlformats.org/officeDocument/2006/relationships/hyperlink" Target="https://advance.lexis.com/api/document?collection=cases&amp;id=urn:contentItem:5YRJ-DR51-F27X-62BS-00000-00&amp;context=1519360" TargetMode="External" /><Relationship Id="rId45" Type="http://schemas.openxmlformats.org/officeDocument/2006/relationships/hyperlink" Target="https://advance.lexis.com/api/document?collection=statutes-legislation&amp;id=urn:contentItem:8SG9-5HW2-D6RV-H10F-00000-00&amp;context=1519360" TargetMode="External" /><Relationship Id="rId46" Type="http://schemas.openxmlformats.org/officeDocument/2006/relationships/hyperlink" Target="https://advance.lexis.com/api/document?collection=cases&amp;id=urn:contentItem:4FDF-J8W0-0038-X4WY-00000-00&amp;context=1519360" TargetMode="External" /><Relationship Id="rId47" Type="http://schemas.openxmlformats.org/officeDocument/2006/relationships/hyperlink" Target="https://advance.lexis.com/api/document?collection=cases&amp;id=urn:contentItem:5JV8-4SJ1-F04K-W02J-00000-00&amp;context=1519360" TargetMode="External" /><Relationship Id="rId48" Type="http://schemas.openxmlformats.org/officeDocument/2006/relationships/hyperlink" Target="https://advance.lexis.com/api/document?collection=cases&amp;id=urn:contentItem:5PBS-P201-F04K-W060-00000-00&amp;context=1519360" TargetMode="External" /><Relationship Id="rId49" Type="http://schemas.openxmlformats.org/officeDocument/2006/relationships/hyperlink" Target="https://advance.lexis.com/api/document?collection=cases&amp;id=urn:contentItem:472S-2W60-0038-X2YJ-00000-00&amp;context=1519360" TargetMode="External" /><Relationship Id="rId5" Type="http://schemas.openxmlformats.org/officeDocument/2006/relationships/header" Target="header1.xml" /><Relationship Id="rId50" Type="http://schemas.openxmlformats.org/officeDocument/2006/relationships/hyperlink" Target="https://advance.lexis.com/api/document?collection=cases&amp;id=urn:contentItem:5JTR-V5V1-F04D-X042-00000-00&amp;context=1519360" TargetMode="External" /><Relationship Id="rId51" Type="http://schemas.openxmlformats.org/officeDocument/2006/relationships/hyperlink" Target="https://advance.lexis.com/api/document?collection=cases&amp;id=urn:contentItem:5NTV-VHN1-F04J-500K-00000-00&amp;context=1519360" TargetMode="External" /><Relationship Id="rId52" Type="http://schemas.openxmlformats.org/officeDocument/2006/relationships/hyperlink" Target="https://advance.lexis.com/api/document?collection=cases&amp;id=urn:contentItem:4H4C-0NR0-0039-44R3-00000-00&amp;context=1519360" TargetMode="External" /><Relationship Id="rId53" Type="http://schemas.openxmlformats.org/officeDocument/2006/relationships/hyperlink" Target="https://advance.lexis.com/api/document?collection=cases&amp;id=urn:contentItem:83KS-DB01-652N-K2S6-00000-00&amp;context=1519360" TargetMode="External" /><Relationship Id="rId54" Type="http://schemas.openxmlformats.org/officeDocument/2006/relationships/theme" Target="theme/theme1.xml" /><Relationship Id="rId55" Type="http://schemas.openxmlformats.org/officeDocument/2006/relationships/styles" Target="styles.xml" /><Relationship Id="rId6" Type="http://schemas.openxmlformats.org/officeDocument/2006/relationships/footer" Target="footer1.xml" /><Relationship Id="rId7" Type="http://schemas.openxmlformats.org/officeDocument/2006/relationships/footer" Target="footer2.xml" /><Relationship Id="rId8" Type="http://schemas.openxmlformats.org/officeDocument/2006/relationships/image" Target="media/image1.png" /><Relationship Id="rId9" Type="http://schemas.openxmlformats.org/officeDocument/2006/relationships/hyperlink" Target="https://advance.lexis.com/api/document?collection=cases&amp;id=urn:contentItem:68SN-D0R1-F57G-S2W5-00000-00&amp;context=1519360" TargetMode="External" /></Relationships>
</file>

<file path=word/_rels/footnotes.xml.rels><?xml version="1.0" encoding="utf-8" standalone="yes"?><Relationships xmlns="http://schemas.openxmlformats.org/package/2006/relationships"><Relationship Id="rId1" Type="http://schemas.openxmlformats.org/officeDocument/2006/relationships/hyperlink" Target="https://advance.lexis.com/api/document?collection=cases&amp;id=urn:contentItem:664S-W081-F8D9-M0NY-00000-00&amp;context=1519360" TargetMode="External" /><Relationship Id="rId2" Type="http://schemas.openxmlformats.org/officeDocument/2006/relationships/hyperlink" Target="https://advance.lexis.com/api/document?collection=cases&amp;id=urn:contentItem:5N1N-XN51-F04K-W01M-00000-00&amp;context=1519360"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Jarrott v. United States, 2023 U.S. Dist. LEXIS 128020</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59</vt:lpwstr>
  </property>
  <property fmtid="{D5CDD505-2E9C-101B-9397-08002B2CF9AE}" pid="3" name="LADocCount">
    <vt:lpwstr>1</vt:lpwstr>
  </property>
  <property fmtid="{D5CDD505-2E9C-101B-9397-08002B2CF9AE}" pid="4" name="LADocumentID:59">
    <vt:lpwstr>Doc::urn:hlct:5|contextualFeaturePermID::1519360</vt:lpwstr>
  </property>
  <property fmtid="{D5CDD505-2E9C-101B-9397-08002B2CF9AE}" pid="5" name="UserPermID">
    <vt:lpwstr>urn:user:PA186186283</vt:lpwstr>
  </property>
</Properties>
</file>