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Kerch v. Jones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Georgia, Columbus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Decided; December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4:22-cv-82-CDL-MSH</w:t>
      </w:r>
    </w:p>
    <w:p>
      <w:pPr>
        <w:keepNext w:val="0"/>
        <w:spacing w:after="0" w:line="240" w:lineRule="atLeast"/>
        <w:ind w:right="0"/>
        <w:jc w:val="both"/>
      </w:pPr>
      <w:bookmarkStart w:id="0" w:name="Bookmark_5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238542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11814170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PHILLIP NATHAN KERCH, Plaintiff, v. Warden JONES,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cell, protective custody, recommendation, threats, administrative segregation, summary judgment, prison, placement, grievances, one-man, deliberate indifference, causal connection, substantial risk, Classification, transferred, contraband, quotation, marks, retaliation, alleges, rights, hit, per curiam, indifferent, housing, summary judgment motion, evidence show, material fact, deliberately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Deputy Warden BURKS, Defendant: JASON R GRAVES, Augusta, GA; DANIEL W HAMILTON, Augusta,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DEPUTY WARDEN MARTIN, Warden Jones, Defendants: DANIEL W HAMILTON, Augusta,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PHILLIP NATHAN KERCH, Plaintiff, Pro se, Abbeville,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DEPUTY WARDEN MARTIN, Warden Jones, Defendants: JASON R GRAVES, Augusta, GA.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Stephen Hyles,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Stephen Hyles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AND RECOMMENDATION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Pending before the Court is Defendants' motion for summary judgment (ECF No. 106). For the reasons explained below, it is recommended that Defendants' motion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The present action is brought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initially arose out of Plaintiff Phillip Kerch's confinement at Rutledge State Prison ("RSP") in Columbus, Georgia. Am. Compl. 2, ECF No. 12. In his amended complaint, Kerch alleges that in September 2021, he witnessed a kitchen staff member and an inmate exchange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 result, Kerch states that a "hit" was put out on him, meaning that inmates involved in contraband transactions would pay to have him harmed.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Because of threats made against him, Kerch complained and wrote grievances, requesting that he be placed in protective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3-4. In response, Defendants Warden Jones and Deputy Warden Burks told Kerch to stop writing grievances or he would be transferred to a more dangerous prison where he would not be safe.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Then, after Kerch filed his suit in this case and requested an injunction, Burks came to Kerch's cell and told him that he was going to wish he had not discussed her in his statements because she had friends where he was going.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The following Tuesday—June 7, 2022—Kerch was transferred to Baldwin State Prison ("BSP"). Am. Compl. 5.</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When he arrived at BSP, Kerch spoke to Defendant Deputy Warden Martin and explained his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Martin told Kerch that he would put him into isolation/segregation for his protection.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Kerch, however, was placed in a cell with another inmate who was much bigger than him and was a known gang member.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Two days later, that inmate raped Kerch.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 Court received Kerch's original complaint (ECF No. 1) on May 3, 2022, and his amended complaint (ECF No. 12)—which raised allegations about the events at BSP—on July 15, 2022. Following preliminary review, Kerch's deliberate indifference to safety claims against Jones, Burks, and Martin—in connection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his transfer and subsequent sexual assault—and retaliation claim against Jones and Burks were allowed to proceed for further factual development. Order &amp; R. 17-18, Aug. 24, 2022, ECF No. 15; Order, Oct. 18, 2022, ECF No. 29 (adopting recommendation). Defendants answered on November 17, 2022 (ECF No. 41). On July 17, 2023, Defendants moved for summary judgment (ECF No. 106). After Kerch was given an extension of time to respond (ECF Nos. 113, 115), the Court received his response (ECF No. 117) on November 27, 2023.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Defendants' motion is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Summary Judgment Standard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Summary judgment may be granted only "if the movant shows that there is no genuine dispute as to any material fact and the movant is entitled to judgment as a matter of law." </w:t>
      </w:r>
      <w:hyperlink r:id="rId11"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In determining whether a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dispute of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fact exists to defeat a motion for summary judgment, the evidence is viewed in the light most favorable to the party opposing summary judgment, drawing all justifiable inferences in the opposing party's favor. </w:t>
      </w:r>
      <w:hyperlink r:id="rId12" w:history="1">
        <w:r>
          <w:rPr>
            <w:rFonts w:ascii="arial" w:eastAsia="arial" w:hAnsi="arial" w:cs="arial"/>
            <w:b w:val="0"/>
            <w:i/>
            <w:strike w:val="0"/>
            <w:noProof w:val="0"/>
            <w:color w:val="0077CC"/>
            <w:position w:val="0"/>
            <w:sz w:val="20"/>
            <w:u w:val="single"/>
            <w:vertAlign w:val="baseline"/>
          </w:rPr>
          <w:t>Anderson v. Liberty Lobby, Inc.</w:t>
        </w:r>
      </w:hyperlink>
      <w:hyperlink r:id="rId12" w:history="1">
        <w:r>
          <w:rPr>
            <w:rFonts w:ascii="arial" w:eastAsia="arial" w:hAnsi="arial" w:cs="arial"/>
            <w:b w:val="0"/>
            <w:i/>
            <w:strike w:val="0"/>
            <w:noProof w:val="0"/>
            <w:color w:val="0077CC"/>
            <w:position w:val="0"/>
            <w:sz w:val="20"/>
            <w:u w:val="single"/>
            <w:vertAlign w:val="baseline"/>
          </w:rPr>
          <w:t>, 477 U.S. 242, 248, 255 (1986)</w:t>
        </w:r>
      </w:hyperlink>
      <w:r>
        <w:rPr>
          <w:rFonts w:ascii="arial" w:eastAsia="arial" w:hAnsi="arial" w:cs="arial"/>
          <w:b w:val="0"/>
          <w:i w:val="0"/>
          <w:strike w:val="0"/>
          <w:noProof w:val="0"/>
          <w:color w:val="000000"/>
          <w:position w:val="0"/>
          <w:sz w:val="20"/>
          <w:u w:val="none"/>
          <w:vertAlign w:val="baseline"/>
        </w:rPr>
        <w:t xml:space="preserve">. A fact is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if it is relevant or necessary to the outcome of the suit. </w:t>
      </w:r>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A factual dispute is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if the evidence would allow a reasonable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jury to return a verdict for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party seeking summary judgment "always bears the initial responsibility of informing the district court of the basis for its motion, and identifying those portions of the pleadings, depositions, answers to interrogatories, and admissions on file, together with the affidavits, if any, which it believes demonstrate the absence of a genuine issue of material fact." </w:t>
      </w:r>
      <w:hyperlink r:id="rId13" w:history="1">
        <w:r>
          <w:rPr>
            <w:rFonts w:ascii="arial" w:eastAsia="arial" w:hAnsi="arial" w:cs="arial"/>
            <w:b w:val="0"/>
            <w:i/>
            <w:strike w:val="0"/>
            <w:noProof w:val="0"/>
            <w:color w:val="0077CC"/>
            <w:position w:val="0"/>
            <w:sz w:val="20"/>
            <w:u w:val="single"/>
            <w:vertAlign w:val="baseline"/>
          </w:rPr>
          <w:t>Celotex Corp. v. Catrett</w:t>
        </w:r>
      </w:hyperlink>
      <w:hyperlink r:id="rId13" w:history="1">
        <w:r>
          <w:rPr>
            <w:rFonts w:ascii="arial" w:eastAsia="arial" w:hAnsi="arial" w:cs="arial"/>
            <w:b w:val="0"/>
            <w:i/>
            <w:strike w:val="0"/>
            <w:noProof w:val="0"/>
            <w:color w:val="0077CC"/>
            <w:position w:val="0"/>
            <w:sz w:val="20"/>
            <w:u w:val="single"/>
            <w:vertAlign w:val="baseline"/>
          </w:rPr>
          <w:t>, 477 U.S. 317, 323 (1986)</w:t>
        </w:r>
      </w:hyperlink>
      <w:r>
        <w:rPr>
          <w:rFonts w:ascii="arial" w:eastAsia="arial" w:hAnsi="arial" w:cs="arial"/>
          <w:b w:val="0"/>
          <w:i w:val="0"/>
          <w:strike w:val="0"/>
          <w:noProof w:val="0"/>
          <w:color w:val="000000"/>
          <w:position w:val="0"/>
          <w:sz w:val="20"/>
          <w:u w:val="none"/>
          <w:vertAlign w:val="baseline"/>
        </w:rPr>
        <w:t xml:space="preserve"> (internal quotation marks omitted). If the movant meets this burden, the burden shifts to the party opposing summary judgment to go beyond the pleadings and present specific evidence showing that there is a genuine issue of material fact, or that the movant is not entitled to judgment as a matter of law. </w:t>
      </w:r>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324-26</w:t>
        </w:r>
      </w:hyperlink>
      <w:r>
        <w:rPr>
          <w:rFonts w:ascii="arial" w:eastAsia="arial" w:hAnsi="arial" w:cs="arial"/>
          <w:b w:val="0"/>
          <w:i w:val="0"/>
          <w:strike w:val="0"/>
          <w:noProof w:val="0"/>
          <w:color w:val="000000"/>
          <w:position w:val="0"/>
          <w:sz w:val="20"/>
          <w:u w:val="none"/>
          <w:vertAlign w:val="baseline"/>
        </w:rPr>
        <w:t xml:space="preserve">. This evidence must consist of more than conclusory allegations.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Avirgan v. Hull</w:t>
        </w:r>
      </w:hyperlink>
      <w:hyperlink r:id="rId14" w:history="1">
        <w:r>
          <w:rPr>
            <w:rFonts w:ascii="arial" w:eastAsia="arial" w:hAnsi="arial" w:cs="arial"/>
            <w:b w:val="0"/>
            <w:i/>
            <w:strike w:val="0"/>
            <w:noProof w:val="0"/>
            <w:color w:val="0077CC"/>
            <w:position w:val="0"/>
            <w:sz w:val="20"/>
            <w:u w:val="single"/>
            <w:vertAlign w:val="baseline"/>
          </w:rPr>
          <w:t>, 932 F.2d 1572, 1577 (11th Cir. 1991)</w:t>
        </w:r>
      </w:hyperlink>
      <w:r>
        <w:rPr>
          <w:rFonts w:ascii="arial" w:eastAsia="arial" w:hAnsi="arial" w:cs="arial"/>
          <w:b w:val="0"/>
          <w:i w:val="0"/>
          <w:strike w:val="0"/>
          <w:noProof w:val="0"/>
          <w:color w:val="000000"/>
          <w:position w:val="0"/>
          <w:sz w:val="20"/>
          <w:u w:val="none"/>
          <w:vertAlign w:val="baseline"/>
        </w:rPr>
        <w:t xml:space="preserve">. In sum, summary judgment must be entered "against a party who fails to make a showing sufficient to establish the existence of an element essential to that party's case, and on which that party will bear the burden of proof at trial." </w:t>
      </w:r>
      <w:hyperlink r:id="rId13" w:history="1">
        <w:r>
          <w:rPr>
            <w:rFonts w:ascii="arial" w:eastAsia="arial" w:hAnsi="arial" w:cs="arial"/>
            <w:b w:val="0"/>
            <w:i/>
            <w:strike w:val="0"/>
            <w:noProof w:val="0"/>
            <w:color w:val="0077CC"/>
            <w:position w:val="0"/>
            <w:sz w:val="20"/>
            <w:u w:val="single"/>
            <w:vertAlign w:val="baseline"/>
          </w:rPr>
          <w:t>Celotex</w:t>
        </w:r>
      </w:hyperlink>
      <w:hyperlink r:id="rId13"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Undisputed Material Facts</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Kerch's troubles at RSP began in September 2021 when he witnessed an exchange of illicit contraband between prison staff and inmates.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Pl.'s Dep. 17:8-14, ECF No. 106-2. A member of prison staff purportedly expressed concern with Kerch witnessing the contraband exchange to the inmates involved, and those inmates began threatening Kerch.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18:22-19:2. According to Kerch, a "hit" was put out on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8:16-17. When he found out about the hit, Kerch refused to return to his general population housing and on September 30, 2021, he was placed in administrative segregation as a disciplinary sanction for the refusal.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8:20-9:2; Jones Decl. ¶ 9, ECF No. 106-4; Jones Ex. 1, at 1, ECF No. 106-5. Kerch was initially housed in a two-man cell with another inmate. Pl.'s Dep. 12:10-13. However, after Kerch spoke to a prison investigator about the contraband exchange and the threats he had received, the prison investigator recommended Kerch be placed in protective custody and spoke to a captain about placing Kerch in a one-man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13:1-21; Jones Decl. ¶ 13; Jones Ex. 4, at 1, ECF No. 106-8. On January 5, 2022, the RSP Classification Committed rejected the request for protective custody, but despite the Classification Committee's recommendation, Jones authorized Kerch's placement in a one-man cell in administrative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segregation on January 12, 2022. Jones Decl. ¶ 14; Jones Ex. 1, at 1; Jones Ex. 4, at 1; Pl.'s Dep. 12:20, 14:3-8. Physically, placement in a one-man cell in administrative segregation was practically the same as protective custody, except that prisoners in protective custody are given two-man escorts when they leave the cell. Pl.'s Dep. 65:20-66:11; Jones Decl. ¶ 14. Moreover, unlike protective custody, Kerch's classification status as "refused housing/failure to follow" did not change by the placement. Pl.'s Dep. 65:23-25; Pl.'s Decl. ¶ 16, ECF No. 117-1; Jones Decl. ¶ 14. Kerch remained in a single-man cell at RSP until he was transferred to BSP on June 7, 2022. Jones Decl. ¶ 15; Jones Ex. 1, at 1.</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While Kerch was in RSP administrative segregation, he filed various grievances and submitted statements on various subjects, including the threats against him and contraband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but also on other issues such as religion and access to the law library. Pl.'s Dep. 26:8-17, 60:1-21. Jones and Burks threatened to transfer him to another facility in response to his filing grievances.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55:7-24, 59:17-21, 97:3-5. Additionally, Burks stated if he did not stop filing grievances, 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would be sent somewhere where he would be "dealt with."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55:17-24; Pl.'s Exs. 76, ECF No. 117-2. Jones made his threat of transfer around February or March 2022. Pl.'s Dep. 62:19-24. Burks told Kerch about the transfer shortly before it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66:17-21.</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At the time Kerch was at RSP, the facility had four one-man cells in administrative segregation. Pl.'s Dep. 12:6-9, 21-25. Two of the cells—referred to as "ACU" cells for acute care unit—were reserved for those with high mental health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12:6-8; Sharpe Decl. ¶ 5, ECF No. 106-21. Although Kerch was classified as a mental health offender, he was classified as level two and not entitled to an ACU cell, which was for inmates with a level three classification. Sharpe Decl. ¶ 6; Pl.'s Dep. 14:14-21. Audrey Sharpe was the mental health director at RSP, and on June 6, 2022, he requested Kerch be reassigned from his cell in administrative segregation at RSP to make an ACU cell available. Sharpe Decl. ¶ 7; Sharpe Ex. 1, ECF No. 106-22. The reassignment was approved by the Georgia Department of Corrections ("GDC") Offender Administration, and on June 7, 2022, Kerch was transferred to BSP as a level two mental health offender.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Sharpe Decl. ¶ 8; Sharpe Ex. 1; Jones Ex. 1, at 1.</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When Kerch arrived at BSP, he was not placed in a one-man cell because he was not classified as a protective custody inmate. Martin Decl. ¶ 9, ECF No. 106-14. Kerch, however, showed Martin documents related to his complaint against Jones and Burks and told him about the threats he had received.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Pl.'s Dep. 15:8-16. Martin told Kerch he would place him in a one-man cell for his protection. Pl.'s Dep. 15:16-18, 107:20-108:1, 112:18-23. Instead, though, Kerch was placed in administrative segregation with a roommate who was much larger than Kerch and gang-affiliated.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15:19-21, 67:13-17, 108:2-8, 112:25-113:2. Two days later, the inmate raped Kerch.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Retaliation</w:t>
      </w:r>
    </w:p>
    <w:p>
      <w:pPr>
        <w:keepNext w:val="0"/>
        <w:spacing w:before="24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Kerch contends Jones and Burks transferred him to BSP in retaliation for filing grievances in violation of his First Amendment rights.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Am. Compl. 7. "It is an established principle of constitutional law that an inmate is considered to be exercising his First Amendment right of freedom of speech when he complains to the prison's administrators about the conditions of his confinement." </w:t>
      </w:r>
      <w:hyperlink r:id="rId15" w:history="1">
        <w:r>
          <w:rPr>
            <w:rFonts w:ascii="arial" w:eastAsia="arial" w:hAnsi="arial" w:cs="arial"/>
            <w:b w:val="0"/>
            <w:i/>
            <w:strike w:val="0"/>
            <w:noProof w:val="0"/>
            <w:color w:val="0077CC"/>
            <w:position w:val="0"/>
            <w:sz w:val="20"/>
            <w:u w:val="single"/>
            <w:vertAlign w:val="baseline"/>
          </w:rPr>
          <w:t>Smith v. Mosley</w:t>
        </w:r>
      </w:hyperlink>
      <w:hyperlink r:id="rId15" w:history="1">
        <w:r>
          <w:rPr>
            <w:rFonts w:ascii="arial" w:eastAsia="arial" w:hAnsi="arial" w:cs="arial"/>
            <w:b w:val="0"/>
            <w:i/>
            <w:strike w:val="0"/>
            <w:noProof w:val="0"/>
            <w:color w:val="0077CC"/>
            <w:position w:val="0"/>
            <w:sz w:val="20"/>
            <w:u w:val="single"/>
            <w:vertAlign w:val="baseline"/>
          </w:rPr>
          <w:t>, 532 F.3d 1270, 1276 (11th Cir. 2008)</w:t>
        </w:r>
      </w:hyperlink>
      <w:r>
        <w:rPr>
          <w:rFonts w:ascii="arial" w:eastAsia="arial" w:hAnsi="arial" w:cs="arial"/>
          <w:b w:val="0"/>
          <w:i w:val="0"/>
          <w:strike w:val="0"/>
          <w:noProof w:val="0"/>
          <w:color w:val="000000"/>
          <w:position w:val="0"/>
          <w:sz w:val="20"/>
          <w:u w:val="none"/>
          <w:vertAlign w:val="baseline"/>
        </w:rPr>
        <w:t xml:space="preserve">. A transfer in retaliation for exercising such rights violates the inmate's First Amendment rights.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Bridges v. Russell</w:t>
        </w:r>
      </w:hyperlink>
      <w:hyperlink r:id="rId16" w:history="1">
        <w:r>
          <w:rPr>
            <w:rFonts w:ascii="arial" w:eastAsia="arial" w:hAnsi="arial" w:cs="arial"/>
            <w:b w:val="0"/>
            <w:i/>
            <w:strike w:val="0"/>
            <w:noProof w:val="0"/>
            <w:color w:val="0077CC"/>
            <w:position w:val="0"/>
            <w:sz w:val="20"/>
            <w:u w:val="single"/>
            <w:vertAlign w:val="baseline"/>
          </w:rPr>
          <w:t>, 757 F.2d 1155, 1156 (11th Cir. 1985)</w:t>
        </w:r>
      </w:hyperlink>
      <w:r>
        <w:rPr>
          <w:rFonts w:ascii="arial" w:eastAsia="arial" w:hAnsi="arial" w:cs="arial"/>
          <w:b w:val="0"/>
          <w:i w:val="0"/>
          <w:strike w:val="0"/>
          <w:noProof w:val="0"/>
          <w:color w:val="000000"/>
          <w:position w:val="0"/>
          <w:sz w:val="20"/>
          <w:u w:val="none"/>
          <w:vertAlign w:val="baseline"/>
        </w:rPr>
        <w:t>.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establish retaliation, a plaintiff must prove "(1) his speech or act was constitutionally protected; (2) the defendant's retaliatory conduct adversely affected the protected speech; and (3) there is a causal connection between the retaliatory actions and the adverse effect on speech." </w:t>
      </w:r>
      <w:hyperlink r:id="rId17" w:history="1">
        <w:r>
          <w:rPr>
            <w:rFonts w:ascii="arial" w:eastAsia="arial" w:hAnsi="arial" w:cs="arial"/>
            <w:b w:val="0"/>
            <w:i/>
            <w:strike w:val="0"/>
            <w:noProof w:val="0"/>
            <w:color w:val="0077CC"/>
            <w:position w:val="0"/>
            <w:sz w:val="20"/>
            <w:u w:val="single"/>
            <w:vertAlign w:val="baseline"/>
          </w:rPr>
          <w:t>Moton v. Cowart</w:t>
        </w:r>
      </w:hyperlink>
      <w:hyperlink r:id="rId17" w:history="1">
        <w:r>
          <w:rPr>
            <w:rFonts w:ascii="arial" w:eastAsia="arial" w:hAnsi="arial" w:cs="arial"/>
            <w:b w:val="0"/>
            <w:i/>
            <w:strike w:val="0"/>
            <w:noProof w:val="0"/>
            <w:color w:val="0077CC"/>
            <w:position w:val="0"/>
            <w:sz w:val="20"/>
            <w:u w:val="single"/>
            <w:vertAlign w:val="baseline"/>
          </w:rPr>
          <w:t>, 631 F.3d 1337, 1341 (11th Cir. 2011)</w:t>
        </w:r>
      </w:hyperlink>
      <w:r>
        <w:rPr>
          <w:rFonts w:ascii="arial" w:eastAsia="arial" w:hAnsi="arial" w:cs="arial"/>
          <w:b w:val="0"/>
          <w:i w:val="0"/>
          <w:strike w:val="0"/>
          <w:noProof w:val="0"/>
          <w:color w:val="000000"/>
          <w:position w:val="0"/>
          <w:sz w:val="20"/>
          <w:u w:val="none"/>
          <w:vertAlign w:val="baseline"/>
        </w:rPr>
        <w:t xml:space="preserve"> (internal quotation marks omitted). Whether the defendant's conduct adversely affected the protected conduct is an objective test as opposed to a subjective one requiring plaintiffs to prove the exercise of their First Amendment rights was "actually chilled." </w:t>
      </w:r>
      <w:hyperlink r:id="rId18" w:history="1">
        <w:r>
          <w:rPr>
            <w:rFonts w:ascii="arial" w:eastAsia="arial" w:hAnsi="arial" w:cs="arial"/>
            <w:b w:val="0"/>
            <w:i/>
            <w:strike w:val="0"/>
            <w:noProof w:val="0"/>
            <w:color w:val="0077CC"/>
            <w:position w:val="0"/>
            <w:sz w:val="20"/>
            <w:u w:val="single"/>
            <w:vertAlign w:val="baseline"/>
          </w:rPr>
          <w:t>Bennett v. Hendrix</w:t>
        </w:r>
      </w:hyperlink>
      <w:hyperlink r:id="rId18" w:history="1">
        <w:r>
          <w:rPr>
            <w:rFonts w:ascii="arial" w:eastAsia="arial" w:hAnsi="arial" w:cs="arial"/>
            <w:b w:val="0"/>
            <w:i/>
            <w:strike w:val="0"/>
            <w:noProof w:val="0"/>
            <w:color w:val="0077CC"/>
            <w:position w:val="0"/>
            <w:sz w:val="20"/>
            <w:u w:val="single"/>
            <w:vertAlign w:val="baseline"/>
          </w:rPr>
          <w:t>, 423 F.3d 1247, 1250-51 (11th Cir. 2005)</w:t>
        </w:r>
      </w:hyperlink>
      <w:r>
        <w:rPr>
          <w:rFonts w:ascii="arial" w:eastAsia="arial" w:hAnsi="arial" w:cs="arial"/>
          <w:b w:val="0"/>
          <w:i w:val="0"/>
          <w:strike w:val="0"/>
          <w:noProof w:val="0"/>
          <w:color w:val="000000"/>
          <w:position w:val="0"/>
          <w:sz w:val="20"/>
          <w:u w:val="none"/>
          <w:vertAlign w:val="baseline"/>
        </w:rPr>
        <w:t xml:space="preserve">. Instead, the Court applies an "ordinary firmness test," meaning the Court looks at whether the "retaliatory conduct would likely deter a person of ordinary firmness from the exercise of First Amendment rights." </w:t>
      </w:r>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1250</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"To establish causation, the plaintiff must show that the defendant was subjectively motivated to discipline the plaintiff for exercising his First Amendment rights." </w:t>
      </w:r>
      <w:hyperlink r:id="rId17" w:history="1">
        <w:r>
          <w:rPr>
            <w:rFonts w:ascii="arial" w:eastAsia="arial" w:hAnsi="arial" w:cs="arial"/>
            <w:b w:val="0"/>
            <w:i/>
            <w:strike w:val="0"/>
            <w:noProof w:val="0"/>
            <w:color w:val="0077CC"/>
            <w:position w:val="0"/>
            <w:sz w:val="20"/>
            <w:u w:val="single"/>
            <w:vertAlign w:val="baseline"/>
          </w:rPr>
          <w:t>Moton</w:t>
        </w:r>
      </w:hyperlink>
      <w:hyperlink r:id="rId17" w:history="1">
        <w:r>
          <w:rPr>
            <w:rFonts w:ascii="arial" w:eastAsia="arial" w:hAnsi="arial" w:cs="arial"/>
            <w:b w:val="0"/>
            <w:i/>
            <w:strike w:val="0"/>
            <w:noProof w:val="0"/>
            <w:color w:val="0077CC"/>
            <w:position w:val="0"/>
            <w:sz w:val="20"/>
            <w:u w:val="single"/>
            <w:vertAlign w:val="baseline"/>
          </w:rPr>
          <w:t>, 631 F.3d at 1341</w:t>
        </w:r>
      </w:hyperlink>
      <w:r>
        <w:rPr>
          <w:rFonts w:ascii="arial" w:eastAsia="arial" w:hAnsi="arial" w:cs="arial"/>
          <w:b w:val="0"/>
          <w:i w:val="0"/>
          <w:strike w:val="0"/>
          <w:noProof w:val="0"/>
          <w:color w:val="000000"/>
          <w:position w:val="0"/>
          <w:sz w:val="20"/>
          <w:u w:val="none"/>
          <w:vertAlign w:val="baseline"/>
        </w:rPr>
        <w:t xml:space="preserve"> (internal quotation marks omitted). The defendant's subjective motivation is determined by applying a "burden-shifting formula." </w:t>
      </w:r>
      <w:hyperlink r:id="rId19" w:history="1">
        <w:r>
          <w:rPr>
            <w:rFonts w:ascii="arial" w:eastAsia="arial" w:hAnsi="arial" w:cs="arial"/>
            <w:b w:val="0"/>
            <w:i/>
            <w:strike w:val="0"/>
            <w:noProof w:val="0"/>
            <w:color w:val="0077CC"/>
            <w:position w:val="0"/>
            <w:sz w:val="20"/>
            <w:u w:val="single"/>
            <w:vertAlign w:val="baseline"/>
          </w:rPr>
          <w:t>O'Bryant v. Finch</w:t>
        </w:r>
      </w:hyperlink>
      <w:hyperlink r:id="rId19" w:history="1">
        <w:r>
          <w:rPr>
            <w:rFonts w:ascii="arial" w:eastAsia="arial" w:hAnsi="arial" w:cs="arial"/>
            <w:b w:val="0"/>
            <w:i/>
            <w:strike w:val="0"/>
            <w:noProof w:val="0"/>
            <w:color w:val="0077CC"/>
            <w:position w:val="0"/>
            <w:sz w:val="20"/>
            <w:u w:val="single"/>
            <w:vertAlign w:val="baseline"/>
          </w:rPr>
          <w:t>, 637 F.3d 1207, 1217 (11th Cir. 2011)</w:t>
        </w:r>
      </w:hyperlink>
      <w:r>
        <w:rPr>
          <w:rFonts w:ascii="arial" w:eastAsia="arial" w:hAnsi="arial" w:cs="arial"/>
          <w:b w:val="0"/>
          <w:i w:val="0"/>
          <w:strike w:val="0"/>
          <w:noProof w:val="0"/>
          <w:color w:val="000000"/>
          <w:position w:val="0"/>
          <w:sz w:val="20"/>
          <w:u w:val="none"/>
          <w:vertAlign w:val="baseline"/>
        </w:rPr>
        <w:t xml:space="preserve"> (per curiam) (citing </w:t>
      </w:r>
      <w:hyperlink r:id="rId20" w:history="1">
        <w:r>
          <w:rPr>
            <w:rFonts w:ascii="arial" w:eastAsia="arial" w:hAnsi="arial" w:cs="arial"/>
            <w:b w:val="0"/>
            <w:i/>
            <w:strike w:val="0"/>
            <w:noProof w:val="0"/>
            <w:color w:val="0077CC"/>
            <w:position w:val="0"/>
            <w:sz w:val="20"/>
            <w:u w:val="single"/>
            <w:vertAlign w:val="baseline"/>
          </w:rPr>
          <w:t>Mt. Healthy City Sch. Dist. Bd. of Educ. v. Doyle</w:t>
        </w:r>
      </w:hyperlink>
      <w:hyperlink r:id="rId20" w:history="1">
        <w:r>
          <w:rPr>
            <w:rFonts w:ascii="arial" w:eastAsia="arial" w:hAnsi="arial" w:cs="arial"/>
            <w:b w:val="0"/>
            <w:i/>
            <w:strike w:val="0"/>
            <w:noProof w:val="0"/>
            <w:color w:val="0077CC"/>
            <w:position w:val="0"/>
            <w:sz w:val="20"/>
            <w:u w:val="single"/>
            <w:vertAlign w:val="baseline"/>
          </w:rPr>
          <w:t>, 429 U.S. 274 (1977)</w:t>
        </w:r>
      </w:hyperlink>
      <w:r>
        <w:rPr>
          <w:rFonts w:ascii="arial" w:eastAsia="arial" w:hAnsi="arial" w:cs="arial"/>
          <w:b w:val="0"/>
          <w:i w:val="0"/>
          <w:strike w:val="0"/>
          <w:noProof w:val="0"/>
          <w:color w:val="000000"/>
          <w:position w:val="0"/>
          <w:sz w:val="20"/>
          <w:u w:val="none"/>
          <w:vertAlign w:val="baseline"/>
        </w:rPr>
        <w:t>). "Once the plaintiff has met his burden of establishing that his protected conduct was a motivating factor behind any harm,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burden of production shifts to the defendant." </w:t>
      </w:r>
      <w:hyperlink r:id="rId15" w:history="1">
        <w:r>
          <w:rPr>
            <w:rFonts w:ascii="arial" w:eastAsia="arial" w:hAnsi="arial" w:cs="arial"/>
            <w:b w:val="0"/>
            <w:i/>
            <w:strike w:val="0"/>
            <w:noProof w:val="0"/>
            <w:color w:val="0077CC"/>
            <w:position w:val="0"/>
            <w:sz w:val="20"/>
            <w:u w:val="single"/>
            <w:vertAlign w:val="baseline"/>
          </w:rPr>
          <w:t>Mosley</w:t>
        </w:r>
      </w:hyperlink>
      <w:hyperlink r:id="rId15" w:history="1">
        <w:r>
          <w:rPr>
            <w:rFonts w:ascii="arial" w:eastAsia="arial" w:hAnsi="arial" w:cs="arial"/>
            <w:b w:val="0"/>
            <w:i/>
            <w:strike w:val="0"/>
            <w:noProof w:val="0"/>
            <w:color w:val="0077CC"/>
            <w:position w:val="0"/>
            <w:sz w:val="20"/>
            <w:u w:val="single"/>
            <w:vertAlign w:val="baseline"/>
          </w:rPr>
          <w:t>, 532 F.3d at 1278</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Thaddeus—X v. Blatter</w:t>
        </w:r>
      </w:hyperlink>
      <w:hyperlink r:id="rId21" w:history="1">
        <w:r>
          <w:rPr>
            <w:rFonts w:ascii="arial" w:eastAsia="arial" w:hAnsi="arial" w:cs="arial"/>
            <w:b w:val="0"/>
            <w:i/>
            <w:strike w:val="0"/>
            <w:noProof w:val="0"/>
            <w:color w:val="0077CC"/>
            <w:position w:val="0"/>
            <w:sz w:val="20"/>
            <w:u w:val="single"/>
            <w:vertAlign w:val="baseline"/>
          </w:rPr>
          <w:t>, 175 F.3d 378, 399 (6th Cir.1999)</w:t>
        </w:r>
      </w:hyperlink>
      <w:r>
        <w:rPr>
          <w:rFonts w:ascii="arial" w:eastAsia="arial" w:hAnsi="arial" w:cs="arial"/>
          <w:b w:val="0"/>
          <w:i w:val="0"/>
          <w:strike w:val="0"/>
          <w:noProof w:val="0"/>
          <w:color w:val="000000"/>
          <w:position w:val="0"/>
          <w:sz w:val="20"/>
          <w:u w:val="none"/>
          <w:vertAlign w:val="baseline"/>
        </w:rPr>
        <w:t xml:space="preserve">). "Then, 'if the defendant can show that he would have taken the same action in the absence of the protected activity, he is entitled to prevail on his motion for summary judgment as a matter of law or prior to trial on summary judgment.'" </w:t>
      </w:r>
      <w:hyperlink r:id="rId19" w:history="1">
        <w:r>
          <w:rPr>
            <w:rFonts w:ascii="arial" w:eastAsia="arial" w:hAnsi="arial" w:cs="arial"/>
            <w:b w:val="0"/>
            <w:i/>
            <w:strike w:val="0"/>
            <w:noProof w:val="0"/>
            <w:color w:val="0077CC"/>
            <w:position w:val="0"/>
            <w:sz w:val="20"/>
            <w:u w:val="single"/>
            <w:vertAlign w:val="baseline"/>
          </w:rPr>
          <w:t>O'Bryant</w:t>
        </w:r>
      </w:hyperlink>
      <w:hyperlink r:id="rId19" w:history="1">
        <w:r>
          <w:rPr>
            <w:rFonts w:ascii="arial" w:eastAsia="arial" w:hAnsi="arial" w:cs="arial"/>
            <w:b w:val="0"/>
            <w:i/>
            <w:strike w:val="0"/>
            <w:noProof w:val="0"/>
            <w:color w:val="0077CC"/>
            <w:position w:val="0"/>
            <w:sz w:val="20"/>
            <w:u w:val="single"/>
            <w:vertAlign w:val="baseline"/>
          </w:rPr>
          <w:t>, 637 F.3d at 1217</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Mosley</w:t>
        </w:r>
      </w:hyperlink>
      <w:hyperlink r:id="rId15" w:history="1">
        <w:r>
          <w:rPr>
            <w:rFonts w:ascii="arial" w:eastAsia="arial" w:hAnsi="arial" w:cs="arial"/>
            <w:b w:val="0"/>
            <w:i/>
            <w:strike w:val="0"/>
            <w:noProof w:val="0"/>
            <w:color w:val="0077CC"/>
            <w:position w:val="0"/>
            <w:sz w:val="20"/>
            <w:u w:val="single"/>
            <w:vertAlign w:val="baseline"/>
          </w:rPr>
          <w:t>, 532 F.3d at 1278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The Court recommends granting Jones and Burks summary judgment on the retaliation claim because Kerch cannot show a causal connection between his grievances and his transfer. The evidence establishes the decision to transfer Kerch to BSP was not made by Jones and Burks but by GDC Offender Administration in response to Sharpe's request Kerch be reassigned to open up an ACU cell. Sharpe Decl. ¶¶ 8-9; Sharpe Ex. 1. This is critical because Kerch cannot show a causal connection if Jones and Burks were not the ones who decided to transfer him.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Smith v. Campbell</w:t>
        </w:r>
      </w:hyperlink>
      <w:hyperlink r:id="rId22" w:history="1">
        <w:r>
          <w:rPr>
            <w:rFonts w:ascii="arial" w:eastAsia="arial" w:hAnsi="arial" w:cs="arial"/>
            <w:b w:val="0"/>
            <w:i/>
            <w:strike w:val="0"/>
            <w:noProof w:val="0"/>
            <w:color w:val="0077CC"/>
            <w:position w:val="0"/>
            <w:sz w:val="20"/>
            <w:u w:val="single"/>
            <w:vertAlign w:val="baseline"/>
          </w:rPr>
          <w:t>, 250 F.3d 1032, 1038 (6th Cir. 2001)</w:t>
        </w:r>
      </w:hyperlink>
      <w:r>
        <w:rPr>
          <w:rFonts w:ascii="arial" w:eastAsia="arial" w:hAnsi="arial" w:cs="arial"/>
          <w:b w:val="0"/>
          <w:i w:val="0"/>
          <w:strike w:val="0"/>
          <w:noProof w:val="0"/>
          <w:color w:val="000000"/>
          <w:position w:val="0"/>
          <w:sz w:val="20"/>
          <w:u w:val="none"/>
          <w:vertAlign w:val="baseline"/>
        </w:rPr>
        <w:t xml:space="preserve"> (affirming summary judgment where the uncontroverted evidence showed defendants were not the decision makers behind the inmate's transfer); </w:t>
      </w:r>
      <w:hyperlink r:id="rId23" w:history="1">
        <w:r>
          <w:rPr>
            <w:rFonts w:ascii="arial" w:eastAsia="arial" w:hAnsi="arial" w:cs="arial"/>
            <w:b w:val="0"/>
            <w:i/>
            <w:strike w:val="0"/>
            <w:noProof w:val="0"/>
            <w:color w:val="0077CC"/>
            <w:position w:val="0"/>
            <w:sz w:val="20"/>
            <w:u w:val="single"/>
            <w:vertAlign w:val="baseline"/>
          </w:rPr>
          <w:t>Slater v. Webb</w:t>
        </w:r>
      </w:hyperlink>
      <w:hyperlink r:id="rId23" w:history="1">
        <w:r>
          <w:rPr>
            <w:rFonts w:ascii="arial" w:eastAsia="arial" w:hAnsi="arial" w:cs="arial"/>
            <w:b w:val="0"/>
            <w:i/>
            <w:strike w:val="0"/>
            <w:noProof w:val="0"/>
            <w:color w:val="0077CC"/>
            <w:position w:val="0"/>
            <w:sz w:val="20"/>
            <w:u w:val="single"/>
            <w:vertAlign w:val="baseline"/>
          </w:rPr>
          <w:t>, No. 7:20-cv-182-HL, 2022 WL 794715, at *6 (M.D. Ga. Feb. 10, 2022)</w:t>
        </w:r>
      </w:hyperlink>
      <w:r>
        <w:rPr>
          <w:rFonts w:ascii="arial" w:eastAsia="arial" w:hAnsi="arial" w:cs="arial"/>
          <w:b w:val="0"/>
          <w:i w:val="0"/>
          <w:strike w:val="0"/>
          <w:noProof w:val="0"/>
          <w:color w:val="000000"/>
          <w:position w:val="0"/>
          <w:sz w:val="20"/>
          <w:u w:val="none"/>
          <w:vertAlign w:val="baseline"/>
        </w:rPr>
        <w:t xml:space="preserve"> ("Where the defendant is not the decision-maker, there is no causal connection between the filing of lawsuits and the subsequent transfer." (quoting </w:t>
      </w:r>
      <w:hyperlink r:id="rId24" w:history="1">
        <w:r>
          <w:rPr>
            <w:rFonts w:ascii="arial" w:eastAsia="arial" w:hAnsi="arial" w:cs="arial"/>
            <w:b w:val="0"/>
            <w:i/>
            <w:strike w:val="0"/>
            <w:noProof w:val="0"/>
            <w:color w:val="0077CC"/>
            <w:position w:val="0"/>
            <w:sz w:val="20"/>
            <w:u w:val="single"/>
            <w:vertAlign w:val="baseline"/>
          </w:rPr>
          <w:t>Goins v. Weilenman</w:t>
        </w:r>
      </w:hyperlink>
      <w:hyperlink r:id="rId24" w:history="1">
        <w:r>
          <w:rPr>
            <w:rFonts w:ascii="arial" w:eastAsia="arial" w:hAnsi="arial" w:cs="arial"/>
            <w:b w:val="0"/>
            <w:i/>
            <w:strike w:val="0"/>
            <w:noProof w:val="0"/>
            <w:color w:val="0077CC"/>
            <w:position w:val="0"/>
            <w:sz w:val="20"/>
            <w:u w:val="single"/>
            <w:vertAlign w:val="baseline"/>
          </w:rPr>
          <w:t>, No. CV408-150, 2009 WL 2224637, at *4 (S.D. Ga. July 24,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recommendation adopted by</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2022 WL 794714 (M.D. Ga. Mar. 12,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While Kerch asserts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he believes Jones and Burks "conspired" with Sharpe to request his transfer, he offers no evidence to support this. Pl.'s Resp. to Mot. for Summ. J. 5. Moreover, the evidence shows Sharpe did not request Kerch's transfer, only his reassignment from administrative segregation. Sharpe Decl. ¶ 7; Sharpe Ex. 1. The order for Kerch's transfer came from GDC Offender Administration, and Kerch does not even attempt to argue it was somehow part of an alleged conspiracy.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Sharpe Decl. ¶ 8; Sharpe Ex. 1. Further, while Kerch testified at his deposition he believed his transfer was retaliatory because Burks told him about the transfer shortly before it happened, that only shows Burks was aware of the transfer, not that she had any role in ordering it. Pl.'s Dep. 66:17-21.</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Finally, even if there was sufficient circumstantial evidence to show Jones and Burks played some role in Kerch's transfer and were improperly motivated by Kerch's grievances, the evidence shows Kerch would have been transferred even in the absence of grievances to free up an ACU cell. Thus, Jones and Burks are entitled to summary judgment on the retaliation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Failure to Protect</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Kerch alleges Jones, Burks, and Martin violated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his Eighth Amendment rights by failing to protect him from the attack by his cellmate at BSP. Am. Compl. 6. Specifically, he alleges Jones and Burks failed to protect him by denying him protective custody and transferring him to BSP despite being aware of BSP's reputation for violence and the threats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Pl.'s Dep. 97:12-14, 104:21-105:8. Kerch alleges Martin failed to protect him by ignoring his reports of the threats against him and placing him in a cell with a larger inmate who was a known gang member. Am. Compl. 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Failure to Protect Standard</w:t>
      </w:r>
    </w:p>
    <w:p>
      <w:pPr>
        <w:keepNext w:val="0"/>
        <w:spacing w:before="24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The Eleventh Circuit has held the Eighth Amendment "impose[s] a duty on prison officials to 'take reasonable measures to guarantee the safety of the inmates.'" </w:t>
      </w:r>
      <w:hyperlink r:id="rId26" w:history="1">
        <w:r>
          <w:rPr>
            <w:rFonts w:ascii="arial" w:eastAsia="arial" w:hAnsi="arial" w:cs="arial"/>
            <w:b w:val="0"/>
            <w:i/>
            <w:strike w:val="0"/>
            <w:noProof w:val="0"/>
            <w:color w:val="0077CC"/>
            <w:position w:val="0"/>
            <w:sz w:val="20"/>
            <w:u w:val="single"/>
            <w:vertAlign w:val="baseline"/>
          </w:rPr>
          <w:t>Mosley v. Zachery</w:t>
        </w:r>
      </w:hyperlink>
      <w:hyperlink r:id="rId26" w:history="1">
        <w:r>
          <w:rPr>
            <w:rFonts w:ascii="arial" w:eastAsia="arial" w:hAnsi="arial" w:cs="arial"/>
            <w:b w:val="0"/>
            <w:i/>
            <w:strike w:val="0"/>
            <w:noProof w:val="0"/>
            <w:color w:val="0077CC"/>
            <w:position w:val="0"/>
            <w:sz w:val="20"/>
            <w:u w:val="single"/>
            <w:vertAlign w:val="baseline"/>
          </w:rPr>
          <w:t>, 966 F.3d 1265, at 1270 (11th Cir. 2020)</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Farmer v. Brennan</w:t>
        </w:r>
      </w:hyperlink>
      <w:hyperlink r:id="rId27" w:history="1">
        <w:r>
          <w:rPr>
            <w:rFonts w:ascii="arial" w:eastAsia="arial" w:hAnsi="arial" w:cs="arial"/>
            <w:b w:val="0"/>
            <w:i/>
            <w:strike w:val="0"/>
            <w:noProof w:val="0"/>
            <w:color w:val="0077CC"/>
            <w:position w:val="0"/>
            <w:sz w:val="20"/>
            <w:u w:val="single"/>
            <w:vertAlign w:val="baseline"/>
          </w:rPr>
          <w:t>, 511 U.S. 825, 832 (1994)</w:t>
        </w:r>
      </w:hyperlink>
      <w:r>
        <w:rPr>
          <w:rFonts w:ascii="arial" w:eastAsia="arial" w:hAnsi="arial" w:cs="arial"/>
          <w:b w:val="0"/>
          <w:i w:val="0"/>
          <w:strike w:val="0"/>
          <w:noProof w:val="0"/>
          <w:color w:val="000000"/>
          <w:position w:val="0"/>
          <w:sz w:val="20"/>
          <w:u w:val="none"/>
          <w:vertAlign w:val="baseline"/>
        </w:rPr>
        <w:t xml:space="preserve">). This "includes 'protecting prisoners from violence at the hands of other prisoners.'"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Farmer</w:t>
        </w:r>
      </w:hyperlink>
      <w:hyperlink r:id="rId27" w:history="1">
        <w:r>
          <w:rPr>
            <w:rFonts w:ascii="arial" w:eastAsia="arial" w:hAnsi="arial" w:cs="arial"/>
            <w:b w:val="0"/>
            <w:i/>
            <w:strike w:val="0"/>
            <w:noProof w:val="0"/>
            <w:color w:val="0077CC"/>
            <w:position w:val="0"/>
            <w:sz w:val="20"/>
            <w:u w:val="single"/>
            <w:vertAlign w:val="baseline"/>
          </w:rPr>
          <w:t>, 511 U.S. at 833</w:t>
        </w:r>
      </w:hyperlink>
      <w:r>
        <w:rPr>
          <w:rFonts w:ascii="arial" w:eastAsia="arial" w:hAnsi="arial" w:cs="arial"/>
          <w:b w:val="0"/>
          <w:i w:val="0"/>
          <w:strike w:val="0"/>
          <w:noProof w:val="0"/>
          <w:color w:val="000000"/>
          <w:position w:val="0"/>
          <w:sz w:val="20"/>
          <w:u w:val="none"/>
          <w:vertAlign w:val="baseline"/>
        </w:rPr>
        <w:t xml:space="preserve">). To establish a failure-to-protect claim, a prisoner must show (1) a substantial risk of serious harm; (2) the prison officials' deliberate indifference to that risk; and (3) causation. </w:t>
      </w:r>
      <w:hyperlink r:id="rId28" w:history="1">
        <w:r>
          <w:rPr>
            <w:rFonts w:ascii="arial" w:eastAsia="arial" w:hAnsi="arial" w:cs="arial"/>
            <w:b w:val="0"/>
            <w:i/>
            <w:strike w:val="0"/>
            <w:noProof w:val="0"/>
            <w:color w:val="0077CC"/>
            <w:position w:val="0"/>
            <w:sz w:val="20"/>
            <w:u w:val="single"/>
            <w:vertAlign w:val="baseline"/>
          </w:rPr>
          <w:t>Marbury v. Warden</w:t>
        </w:r>
      </w:hyperlink>
      <w:hyperlink r:id="rId28" w:history="1">
        <w:r>
          <w:rPr>
            <w:rFonts w:ascii="arial" w:eastAsia="arial" w:hAnsi="arial" w:cs="arial"/>
            <w:b w:val="0"/>
            <w:i/>
            <w:strike w:val="0"/>
            <w:noProof w:val="0"/>
            <w:color w:val="0077CC"/>
            <w:position w:val="0"/>
            <w:sz w:val="20"/>
            <w:u w:val="single"/>
            <w:vertAlign w:val="baseline"/>
          </w:rPr>
          <w:t>, 936 F.3d 1227, 1233 (11th Cir. 2019)</w:t>
        </w:r>
      </w:hyperlink>
      <w:r>
        <w:rPr>
          <w:rFonts w:ascii="arial" w:eastAsia="arial" w:hAnsi="arial" w:cs="arial"/>
          <w:b w:val="0"/>
          <w:i w:val="0"/>
          <w:strike w:val="0"/>
          <w:noProof w:val="0"/>
          <w:color w:val="000000"/>
          <w:position w:val="0"/>
          <w:sz w:val="20"/>
          <w:u w:val="none"/>
          <w:vertAlign w:val="baseline"/>
        </w:rPr>
        <w:t xml:space="preserve"> (per curiam). "Merely negligent failure to protect an inmate from attack does not justify liability under Section 1983[.]" </w:t>
      </w:r>
      <w:hyperlink r:id="rId29" w:history="1">
        <w:r>
          <w:rPr>
            <w:rFonts w:ascii="arial" w:eastAsia="arial" w:hAnsi="arial" w:cs="arial"/>
            <w:b w:val="0"/>
            <w:i/>
            <w:strike w:val="0"/>
            <w:noProof w:val="0"/>
            <w:color w:val="0077CC"/>
            <w:position w:val="0"/>
            <w:sz w:val="20"/>
            <w:u w:val="single"/>
            <w:vertAlign w:val="baseline"/>
          </w:rPr>
          <w:t>Brown v. Hughes</w:t>
        </w:r>
      </w:hyperlink>
      <w:hyperlink r:id="rId29" w:history="1">
        <w:r>
          <w:rPr>
            <w:rFonts w:ascii="arial" w:eastAsia="arial" w:hAnsi="arial" w:cs="arial"/>
            <w:b w:val="0"/>
            <w:i/>
            <w:strike w:val="0"/>
            <w:noProof w:val="0"/>
            <w:color w:val="0077CC"/>
            <w:position w:val="0"/>
            <w:sz w:val="20"/>
            <w:u w:val="single"/>
            <w:vertAlign w:val="baseline"/>
          </w:rPr>
          <w:t>, 894 F.2d 1533, 1537 (11th Cir. 1990)</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When examining the first element—a substantial risk of serious harm—courts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use an objective standard.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Marsh v. Butler Cnty., Ala.</w:t>
        </w:r>
      </w:hyperlink>
      <w:hyperlink r:id="rId30" w:history="1">
        <w:r>
          <w:rPr>
            <w:rFonts w:ascii="arial" w:eastAsia="arial" w:hAnsi="arial" w:cs="arial"/>
            <w:b w:val="0"/>
            <w:i/>
            <w:strike w:val="0"/>
            <w:noProof w:val="0"/>
            <w:color w:val="0077CC"/>
            <w:position w:val="0"/>
            <w:sz w:val="20"/>
            <w:u w:val="single"/>
            <w:vertAlign w:val="baseline"/>
          </w:rPr>
          <w:t>, 268 F.3d 1014, 1028-29 (11th Cir. 2001)</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 xml:space="preserve">abrogated on other grounds by </w:t>
      </w:r>
      <w:hyperlink r:id="rId31" w:history="1">
        <w:r>
          <w:rPr>
            <w:rFonts w:ascii="arial" w:eastAsia="arial" w:hAnsi="arial" w:cs="arial"/>
            <w:b w:val="0"/>
            <w:i/>
            <w:strike w:val="0"/>
            <w:noProof w:val="0"/>
            <w:color w:val="0077CC"/>
            <w:position w:val="0"/>
            <w:sz w:val="20"/>
            <w:u w:val="single"/>
            <w:vertAlign w:val="baseline"/>
          </w:rPr>
          <w:t>Bell Atl. Corp. v. Twombly</w:t>
        </w:r>
      </w:hyperlink>
      <w:hyperlink r:id="rId31" w:history="1">
        <w:r>
          <w:rPr>
            <w:rFonts w:ascii="arial" w:eastAsia="arial" w:hAnsi="arial" w:cs="arial"/>
            <w:b w:val="0"/>
            <w:i/>
            <w:strike w:val="0"/>
            <w:noProof w:val="0"/>
            <w:color w:val="0077CC"/>
            <w:position w:val="0"/>
            <w:sz w:val="20"/>
            <w:u w:val="single"/>
            <w:vertAlign w:val="baseline"/>
          </w:rPr>
          <w:t>, 550 U.S. 544, 561-63 (2007)</w:t>
        </w:r>
      </w:hyperlink>
      <w:r>
        <w:rPr>
          <w:rFonts w:ascii="arial" w:eastAsia="arial" w:hAnsi="arial" w:cs="arial"/>
          <w:b w:val="0"/>
          <w:i w:val="0"/>
          <w:strike w:val="0"/>
          <w:noProof w:val="0"/>
          <w:color w:val="000000"/>
          <w:position w:val="0"/>
          <w:sz w:val="20"/>
          <w:u w:val="none"/>
          <w:vertAlign w:val="baseline"/>
        </w:rPr>
        <w:t xml:space="preserve">. A plaintiff must "show conditions that were extreme and posed an unreasonable risk of serious injury to his future health or safety." </w:t>
      </w:r>
      <w:hyperlink r:id="rId28" w:history="1">
        <w:r>
          <w:rPr>
            <w:rFonts w:ascii="arial" w:eastAsia="arial" w:hAnsi="arial" w:cs="arial"/>
            <w:b w:val="0"/>
            <w:i/>
            <w:strike w:val="0"/>
            <w:noProof w:val="0"/>
            <w:color w:val="0077CC"/>
            <w:position w:val="0"/>
            <w:sz w:val="20"/>
            <w:u w:val="single"/>
            <w:vertAlign w:val="baseline"/>
          </w:rPr>
          <w:t>Marbury</w:t>
        </w:r>
      </w:hyperlink>
      <w:hyperlink r:id="rId28" w:history="1">
        <w:r>
          <w:rPr>
            <w:rFonts w:ascii="arial" w:eastAsia="arial" w:hAnsi="arial" w:cs="arial"/>
            <w:b w:val="0"/>
            <w:i/>
            <w:strike w:val="0"/>
            <w:noProof w:val="0"/>
            <w:color w:val="0077CC"/>
            <w:position w:val="0"/>
            <w:sz w:val="20"/>
            <w:u w:val="single"/>
            <w:vertAlign w:val="baseline"/>
          </w:rPr>
          <w:t>, 936 F.3d at 1233</w:t>
        </w:r>
      </w:hyperlink>
      <w:r>
        <w:rPr>
          <w:rFonts w:ascii="arial" w:eastAsia="arial" w:hAnsi="arial" w:cs="arial"/>
          <w:b w:val="0"/>
          <w:i w:val="0"/>
          <w:strike w:val="0"/>
          <w:noProof w:val="0"/>
          <w:color w:val="000000"/>
          <w:position w:val="0"/>
          <w:sz w:val="20"/>
          <w:u w:val="none"/>
          <w:vertAlign w:val="baseline"/>
        </w:rPr>
        <w:t xml:space="preserve"> (internal quotation marks omitted). "A substantial risk to a prisoner's safety may arise not only out of his individual situation, but out of an environment of longstanding and pervasive attacks to which all prisoners in his situation are exposed, and it may come from single or multiple sources." </w:t>
      </w:r>
      <w:hyperlink r:id="rId32" w:history="1">
        <w:r>
          <w:rPr>
            <w:rFonts w:ascii="arial" w:eastAsia="arial" w:hAnsi="arial" w:cs="arial"/>
            <w:b w:val="0"/>
            <w:i/>
            <w:strike w:val="0"/>
            <w:noProof w:val="0"/>
            <w:color w:val="0077CC"/>
            <w:position w:val="0"/>
            <w:sz w:val="20"/>
            <w:u w:val="single"/>
            <w:vertAlign w:val="baseline"/>
          </w:rPr>
          <w:t>Staley v. Owens</w:t>
        </w:r>
      </w:hyperlink>
      <w:hyperlink r:id="rId32" w:history="1">
        <w:r>
          <w:rPr>
            <w:rFonts w:ascii="arial" w:eastAsia="arial" w:hAnsi="arial" w:cs="arial"/>
            <w:b w:val="0"/>
            <w:i/>
            <w:strike w:val="0"/>
            <w:noProof w:val="0"/>
            <w:color w:val="0077CC"/>
            <w:position w:val="0"/>
            <w:sz w:val="20"/>
            <w:u w:val="single"/>
            <w:vertAlign w:val="baseline"/>
          </w:rPr>
          <w:t>, 367 F. App'x 102, 107 (11th Cir. 2010)</w:t>
        </w:r>
      </w:hyperlink>
      <w:r>
        <w:rPr>
          <w:rFonts w:ascii="arial" w:eastAsia="arial" w:hAnsi="arial" w:cs="arial"/>
          <w:b w:val="0"/>
          <w:i w:val="0"/>
          <w:strike w:val="0"/>
          <w:noProof w:val="0"/>
          <w:color w:val="000000"/>
          <w:position w:val="0"/>
          <w:sz w:val="20"/>
          <w:u w:val="none"/>
          <w:vertAlign w:val="baseline"/>
        </w:rPr>
        <w:t xml:space="preserve"> (per curiam) (citing </w:t>
      </w:r>
      <w:hyperlink r:id="rId27" w:history="1">
        <w:r>
          <w:rPr>
            <w:rFonts w:ascii="arial" w:eastAsia="arial" w:hAnsi="arial" w:cs="arial"/>
            <w:b w:val="0"/>
            <w:i/>
            <w:strike w:val="0"/>
            <w:noProof w:val="0"/>
            <w:color w:val="0077CC"/>
            <w:position w:val="0"/>
            <w:sz w:val="20"/>
            <w:u w:val="single"/>
            <w:vertAlign w:val="baseline"/>
          </w:rPr>
          <w:t>Farmer</w:t>
        </w:r>
      </w:hyperlink>
      <w:hyperlink r:id="rId27" w:history="1">
        <w:r>
          <w:rPr>
            <w:rFonts w:ascii="arial" w:eastAsia="arial" w:hAnsi="arial" w:cs="arial"/>
            <w:b w:val="0"/>
            <w:i/>
            <w:strike w:val="0"/>
            <w:noProof w:val="0"/>
            <w:color w:val="0077CC"/>
            <w:position w:val="0"/>
            <w:sz w:val="20"/>
            <w:u w:val="single"/>
            <w:vertAlign w:val="baseline"/>
          </w:rPr>
          <w:t>, 511 U.S. at 842-43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xml:space="preserve">The second element—the defendant's deliberate indifference to the risk—has two components: one subjective and one objective. </w:t>
      </w:r>
      <w:hyperlink r:id="rId28" w:history="1">
        <w:r>
          <w:rPr>
            <w:rFonts w:ascii="arial" w:eastAsia="arial" w:hAnsi="arial" w:cs="arial"/>
            <w:b w:val="0"/>
            <w:i/>
            <w:strike w:val="0"/>
            <w:noProof w:val="0"/>
            <w:color w:val="0077CC"/>
            <w:position w:val="0"/>
            <w:sz w:val="20"/>
            <w:u w:val="single"/>
            <w:vertAlign w:val="baseline"/>
          </w:rPr>
          <w:t>Marbury</w:t>
        </w:r>
      </w:hyperlink>
      <w:hyperlink r:id="rId28" w:history="1">
        <w:r>
          <w:rPr>
            <w:rFonts w:ascii="arial" w:eastAsia="arial" w:hAnsi="arial" w:cs="arial"/>
            <w:b w:val="0"/>
            <w:i/>
            <w:strike w:val="0"/>
            <w:noProof w:val="0"/>
            <w:color w:val="0077CC"/>
            <w:position w:val="0"/>
            <w:sz w:val="20"/>
            <w:u w:val="single"/>
            <w:vertAlign w:val="baseline"/>
          </w:rPr>
          <w:t>, 936 F.3d at 1233</w:t>
        </w:r>
      </w:hyperlink>
      <w:r>
        <w:rPr>
          <w:rFonts w:ascii="arial" w:eastAsia="arial" w:hAnsi="arial" w:cs="arial"/>
          <w:b w:val="0"/>
          <w:i w:val="0"/>
          <w:strike w:val="0"/>
          <w:noProof w:val="0"/>
          <w:color w:val="000000"/>
          <w:position w:val="0"/>
          <w:sz w:val="20"/>
          <w:u w:val="none"/>
          <w:vertAlign w:val="baseline"/>
        </w:rPr>
        <w:t xml:space="preserve">. To satisfy the subjective component, a plaintiff must show that the defendant was "both [] aware of facts from which the inference could be drawn that a substantial risk of serious harm exists, and also dr[ew] the inference."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"Whether prison officials had the requisite awareness of the risk 'is a question of fact subject to demonstration in the usual ways, including inference from circumstantial evidence, and a factfinder may conclude that a prison official knew of a substantial risk from the very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fact that the risk was obvious.'" </w:t>
      </w:r>
      <w:hyperlink r:id="rId33" w:history="1">
        <w:r>
          <w:rPr>
            <w:rFonts w:ascii="arial" w:eastAsia="arial" w:hAnsi="arial" w:cs="arial"/>
            <w:b w:val="0"/>
            <w:i/>
            <w:strike w:val="0"/>
            <w:noProof w:val="0"/>
            <w:color w:val="0077CC"/>
            <w:position w:val="0"/>
            <w:sz w:val="20"/>
            <w:u w:val="single"/>
            <w:vertAlign w:val="baseline"/>
          </w:rPr>
          <w:t>Goodman v. Kimbrough</w:t>
        </w:r>
      </w:hyperlink>
      <w:hyperlink r:id="rId33" w:history="1">
        <w:r>
          <w:rPr>
            <w:rFonts w:ascii="arial" w:eastAsia="arial" w:hAnsi="arial" w:cs="arial"/>
            <w:b w:val="0"/>
            <w:i/>
            <w:strike w:val="0"/>
            <w:noProof w:val="0"/>
            <w:color w:val="0077CC"/>
            <w:position w:val="0"/>
            <w:sz w:val="20"/>
            <w:u w:val="single"/>
            <w:vertAlign w:val="baseline"/>
          </w:rPr>
          <w:t>, 718 F.3d 1325, 1332 (11th Cir. 2013)</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Farmer</w:t>
        </w:r>
      </w:hyperlink>
      <w:hyperlink r:id="rId27" w:history="1">
        <w:r>
          <w:rPr>
            <w:rFonts w:ascii="arial" w:eastAsia="arial" w:hAnsi="arial" w:cs="arial"/>
            <w:b w:val="0"/>
            <w:i/>
            <w:strike w:val="0"/>
            <w:noProof w:val="0"/>
            <w:color w:val="0077CC"/>
            <w:position w:val="0"/>
            <w:sz w:val="20"/>
            <w:u w:val="single"/>
            <w:vertAlign w:val="baseline"/>
          </w:rPr>
          <w:t>, 511 U.S. at 842</w:t>
        </w:r>
      </w:hyperlink>
      <w:r>
        <w:rPr>
          <w:rFonts w:ascii="arial" w:eastAsia="arial" w:hAnsi="arial" w:cs="arial"/>
          <w:b w:val="0"/>
          <w:i w:val="0"/>
          <w:strike w:val="0"/>
          <w:noProof w:val="0"/>
          <w:color w:val="000000"/>
          <w:position w:val="0"/>
          <w:sz w:val="20"/>
          <w:u w:val="none"/>
          <w:vertAlign w:val="baseline"/>
        </w:rPr>
        <w:t xml:space="preserve">). Showing prison officials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have known of a substantial risk is insufficient because were the Court "to accept that theory of liability, the deliberate indifference standard would be silently metamorphosed into a font of tort law—a brand of negligence redux—which the Supreme Court has made abundantly clear it is not."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1334</w:t>
        </w:r>
      </w:hyperlink>
      <w:r>
        <w:rPr>
          <w:rFonts w:ascii="arial" w:eastAsia="arial" w:hAnsi="arial" w:cs="arial"/>
          <w:b w:val="0"/>
          <w:i w:val="0"/>
          <w:strike w:val="0"/>
          <w:noProof w:val="0"/>
          <w:color w:val="000000"/>
          <w:position w:val="0"/>
          <w:sz w:val="20"/>
          <w:u w:val="none"/>
          <w:vertAlign w:val="baseline"/>
        </w:rPr>
        <w:t xml:space="preserve"> (citing </w:t>
      </w:r>
      <w:hyperlink r:id="rId27" w:history="1">
        <w:r>
          <w:rPr>
            <w:rFonts w:ascii="arial" w:eastAsia="arial" w:hAnsi="arial" w:cs="arial"/>
            <w:b w:val="0"/>
            <w:i/>
            <w:strike w:val="0"/>
            <w:noProof w:val="0"/>
            <w:color w:val="0077CC"/>
            <w:position w:val="0"/>
            <w:sz w:val="20"/>
            <w:u w:val="single"/>
            <w:vertAlign w:val="baseline"/>
          </w:rPr>
          <w:t>Farmer</w:t>
        </w:r>
      </w:hyperlink>
      <w:hyperlink r:id="rId27" w:history="1">
        <w:r>
          <w:rPr>
            <w:rFonts w:ascii="arial" w:eastAsia="arial" w:hAnsi="arial" w:cs="arial"/>
            <w:b w:val="0"/>
            <w:i/>
            <w:strike w:val="0"/>
            <w:noProof w:val="0"/>
            <w:color w:val="0077CC"/>
            <w:position w:val="0"/>
            <w:sz w:val="20"/>
            <w:u w:val="single"/>
            <w:vertAlign w:val="baseline"/>
          </w:rPr>
          <w:t>, 511 U.S. at 838</w:t>
        </w:r>
      </w:hyperlink>
      <w:r>
        <w:rPr>
          <w:rFonts w:ascii="arial" w:eastAsia="arial" w:hAnsi="arial" w:cs="arial"/>
          <w:b w:val="0"/>
          <w:i w:val="0"/>
          <w:strike w:val="0"/>
          <w:noProof w:val="0"/>
          <w:color w:val="000000"/>
          <w:position w:val="0"/>
          <w:sz w:val="20"/>
          <w:u w:val="none"/>
          <w:vertAlign w:val="baseline"/>
        </w:rPr>
        <w:t xml:space="preserve">). "As such, imputed or collective knowledge cannot serve as the basis for a claim of deliberate indifference. Each individual Defendant must be judged separately and on the basis of what that person knows." </w:t>
      </w:r>
      <w:hyperlink r:id="rId34" w:history="1">
        <w:r>
          <w:rPr>
            <w:rFonts w:ascii="arial" w:eastAsia="arial" w:hAnsi="arial" w:cs="arial"/>
            <w:b w:val="0"/>
            <w:i/>
            <w:strike w:val="0"/>
            <w:noProof w:val="0"/>
            <w:color w:val="0077CC"/>
            <w:position w:val="0"/>
            <w:sz w:val="20"/>
            <w:u w:val="single"/>
            <w:vertAlign w:val="baseline"/>
          </w:rPr>
          <w:t>Burnette v. Taylor</w:t>
        </w:r>
      </w:hyperlink>
      <w:hyperlink r:id="rId34" w:history="1">
        <w:r>
          <w:rPr>
            <w:rFonts w:ascii="arial" w:eastAsia="arial" w:hAnsi="arial" w:cs="arial"/>
            <w:b w:val="0"/>
            <w:i/>
            <w:strike w:val="0"/>
            <w:noProof w:val="0"/>
            <w:color w:val="0077CC"/>
            <w:position w:val="0"/>
            <w:sz w:val="20"/>
            <w:u w:val="single"/>
            <w:vertAlign w:val="baseline"/>
          </w:rPr>
          <w:t>, 533 F.3d 1325, 1331 (11th Cir. 2008)</w:t>
        </w:r>
      </w:hyperlink>
      <w:r>
        <w:rPr>
          <w:rFonts w:ascii="arial" w:eastAsia="arial" w:hAnsi="arial" w:cs="arial"/>
          <w:b w:val="0"/>
          <w:i w:val="0"/>
          <w:strike w:val="0"/>
          <w:noProof w:val="0"/>
          <w:color w:val="000000"/>
          <w:position w:val="0"/>
          <w:sz w:val="20"/>
          <w:u w:val="none"/>
          <w:vertAlign w:val="baseline"/>
        </w:rPr>
        <w:t xml:space="preserve"> (internal citations omitted). Further, in cases relying on the threat posed by a particular inmate, "[g]eneral knowledge about [the] inmate's violent tendencies, without more specific information about the risk, does not constitute deliberate indifference." </w:t>
      </w:r>
      <w:hyperlink r:id="rId35" w:history="1">
        <w:r>
          <w:rPr>
            <w:rFonts w:ascii="arial" w:eastAsia="arial" w:hAnsi="arial" w:cs="arial"/>
            <w:b w:val="0"/>
            <w:i/>
            <w:strike w:val="0"/>
            <w:noProof w:val="0"/>
            <w:color w:val="0077CC"/>
            <w:position w:val="0"/>
            <w:sz w:val="20"/>
            <w:u w:val="single"/>
            <w:vertAlign w:val="baseline"/>
          </w:rPr>
          <w:t>Lavender v. Kearney</w:t>
        </w:r>
      </w:hyperlink>
      <w:hyperlink r:id="rId35" w:history="1">
        <w:r>
          <w:rPr>
            <w:rFonts w:ascii="arial" w:eastAsia="arial" w:hAnsi="arial" w:cs="arial"/>
            <w:b w:val="0"/>
            <w:i/>
            <w:strike w:val="0"/>
            <w:noProof w:val="0"/>
            <w:color w:val="0077CC"/>
            <w:position w:val="0"/>
            <w:sz w:val="20"/>
            <w:u w:val="single"/>
            <w:vertAlign w:val="baseline"/>
          </w:rPr>
          <w:t>, 206 F. App'x 860, 863 (11th Cir. 2006)</w:t>
        </w:r>
      </w:hyperlink>
      <w:r>
        <w:rPr>
          <w:rFonts w:ascii="arial" w:eastAsia="arial" w:hAnsi="arial" w:cs="arial"/>
          <w:b w:val="0"/>
          <w:i w:val="0"/>
          <w:strike w:val="0"/>
          <w:noProof w:val="0"/>
          <w:color w:val="000000"/>
          <w:position w:val="0"/>
          <w:sz w:val="20"/>
          <w:u w:val="none"/>
          <w:vertAlign w:val="baseline"/>
        </w:rPr>
        <w:t xml:space="preserve"> (per curiam) (citing </w:t>
      </w:r>
      <w:hyperlink r:id="rId36" w:history="1">
        <w:r>
          <w:rPr>
            <w:rFonts w:ascii="arial" w:eastAsia="arial" w:hAnsi="arial" w:cs="arial"/>
            <w:b w:val="0"/>
            <w:i/>
            <w:strike w:val="0"/>
            <w:noProof w:val="0"/>
            <w:color w:val="0077CC"/>
            <w:position w:val="0"/>
            <w:sz w:val="20"/>
            <w:u w:val="single"/>
            <w:vertAlign w:val="baseline"/>
          </w:rPr>
          <w:t>Carter v. Galloway</w:t>
        </w:r>
      </w:hyperlink>
      <w:hyperlink r:id="rId36" w:history="1">
        <w:r>
          <w:rPr>
            <w:rFonts w:ascii="arial" w:eastAsia="arial" w:hAnsi="arial" w:cs="arial"/>
            <w:b w:val="0"/>
            <w:i/>
            <w:strike w:val="0"/>
            <w:noProof w:val="0"/>
            <w:color w:val="0077CC"/>
            <w:position w:val="0"/>
            <w:sz w:val="20"/>
            <w:u w:val="single"/>
            <w:vertAlign w:val="baseline"/>
          </w:rPr>
          <w:t>, 352 F.3d 1346, 1349-50 (11th Cir. 2003)</w:t>
        </w:r>
      </w:hyperlink>
      <w:r>
        <w:rPr>
          <w:rFonts w:ascii="arial" w:eastAsia="arial" w:hAnsi="arial" w:cs="arial"/>
          <w:b w:val="0"/>
          <w:i w:val="0"/>
          <w:strike w:val="0"/>
          <w:noProof w:val="0"/>
          <w:color w:val="000000"/>
          <w:position w:val="0"/>
          <w:sz w:val="20"/>
          <w:u w:val="none"/>
          <w:vertAlign w:val="baseline"/>
        </w:rPr>
        <w:t xml:space="preserve">). In a case relying on the threat of violence in a prison environment generally, the inmate must show "confinement in a prison where violence and terror reign." </w:t>
      </w:r>
      <w:hyperlink r:id="rId37" w:history="1">
        <w:r>
          <w:rPr>
            <w:rFonts w:ascii="arial" w:eastAsia="arial" w:hAnsi="arial" w:cs="arial"/>
            <w:b w:val="0"/>
            <w:i/>
            <w:strike w:val="0"/>
            <w:noProof w:val="0"/>
            <w:color w:val="0077CC"/>
            <w:position w:val="0"/>
            <w:sz w:val="20"/>
            <w:u w:val="single"/>
            <w:vertAlign w:val="baseline"/>
          </w:rPr>
          <w:t>Harrison v. Culliver</w:t>
        </w:r>
      </w:hyperlink>
      <w:hyperlink r:id="rId37" w:history="1">
        <w:r>
          <w:rPr>
            <w:rFonts w:ascii="arial" w:eastAsia="arial" w:hAnsi="arial" w:cs="arial"/>
            <w:b w:val="0"/>
            <w:i/>
            <w:strike w:val="0"/>
            <w:noProof w:val="0"/>
            <w:color w:val="0077CC"/>
            <w:position w:val="0"/>
            <w:sz w:val="20"/>
            <w:u w:val="single"/>
            <w:vertAlign w:val="baseline"/>
          </w:rPr>
          <w:t>, 746 F.3d 1288, 1299 (11th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To satisfy the objective component, a plaintiff must show that the defendant "responded to the known risk in an unreasonable manner, in that he or she knew of ways to reduce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harm but knowingly or recklessly declined to act." </w:t>
      </w:r>
      <w:hyperlink r:id="rId28" w:history="1">
        <w:r>
          <w:rPr>
            <w:rFonts w:ascii="arial" w:eastAsia="arial" w:hAnsi="arial" w:cs="arial"/>
            <w:b w:val="0"/>
            <w:i/>
            <w:strike w:val="0"/>
            <w:noProof w:val="0"/>
            <w:color w:val="0077CC"/>
            <w:position w:val="0"/>
            <w:sz w:val="20"/>
            <w:u w:val="single"/>
            <w:vertAlign w:val="baseline"/>
          </w:rPr>
          <w:t>Marbury</w:t>
        </w:r>
      </w:hyperlink>
      <w:hyperlink r:id="rId28" w:history="1">
        <w:r>
          <w:rPr>
            <w:rFonts w:ascii="arial" w:eastAsia="arial" w:hAnsi="arial" w:cs="arial"/>
            <w:b w:val="0"/>
            <w:i/>
            <w:strike w:val="0"/>
            <w:noProof w:val="0"/>
            <w:color w:val="0077CC"/>
            <w:position w:val="0"/>
            <w:sz w:val="20"/>
            <w:u w:val="single"/>
            <w:vertAlign w:val="baseline"/>
          </w:rPr>
          <w:t>, 936 F.3d at 1233</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 xml:space="preserve">Regarding causation, a "plaintiff must show a necessary causal link between the [defendant's] failure to act reasonably and the plaintiff's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Applying the above framework, the Court concludes Defendants are entitled to summary judgment. Assuming the threats made against Kerch in connection with the introduction of contraband at RSP constituted a substantial risk to his safety, he cannot show Defendants' deliberate indifference to the risk or a causal connection between their alleged failure to act and his injuries.</w:t>
      </w:r>
    </w:p>
    <w:p>
      <w:pPr>
        <w:keepNext w:val="0"/>
        <w:spacing w:before="24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Regarding Jones and Burks, Kerch contends they should have placed him in protective custody in response to the threats. The Classification Committee, however, rejected Kerch's request for protective custody. Jones Decl. ¶ 13; Jones Ex. 4, at 1. Despite this, Jones ordered Kerch housed in a one-man cell in administrative segregation. Jones Decl. ¶ 14; Jones Ex. 1, at 1. Kerch argues that was not equivalent to protective custody, but insofar as it protected Kerch at RSP, it was. </w:t>
      </w:r>
      <w:r>
        <w:rPr>
          <w:rFonts w:ascii="arial" w:eastAsia="arial" w:hAnsi="arial" w:cs="arial"/>
          <w:b w:val="0"/>
          <w:i/>
          <w:strike w:val="0"/>
          <w:noProof w:val="0"/>
          <w:color w:val="000000"/>
          <w:position w:val="0"/>
          <w:sz w:val="20"/>
          <w:u w:val="non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Walker v. Smokes</w:t>
        </w:r>
      </w:hyperlink>
      <w:hyperlink r:id="rId38" w:history="1">
        <w:r>
          <w:rPr>
            <w:rFonts w:ascii="arial" w:eastAsia="arial" w:hAnsi="arial" w:cs="arial"/>
            <w:b w:val="0"/>
            <w:i/>
            <w:strike w:val="0"/>
            <w:noProof w:val="0"/>
            <w:color w:val="0077CC"/>
            <w:position w:val="0"/>
            <w:sz w:val="20"/>
            <w:u w:val="single"/>
            <w:vertAlign w:val="baseline"/>
          </w:rPr>
          <w:t>, No. 6:15-cv-57, 2019 WL 3919064, at *4 (S.D. Ga. Aug. 19, 2019)</w:t>
        </w:r>
      </w:hyperlink>
      <w:r>
        <w:rPr>
          <w:rFonts w:ascii="arial" w:eastAsia="arial" w:hAnsi="arial" w:cs="arial"/>
          <w:b w:val="0"/>
          <w:i w:val="0"/>
          <w:strike w:val="0"/>
          <w:noProof w:val="0"/>
          <w:color w:val="000000"/>
          <w:position w:val="0"/>
          <w:sz w:val="20"/>
          <w:u w:val="none"/>
          <w:vertAlign w:val="baseline"/>
        </w:rPr>
        <w:t xml:space="preserve"> (noting that although there were differences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between protective custody and Tier II confinement, the plaintiff had "failed to put forth any evidence to suggest that there is a meaningful difference between those programs for purposes of Plaintiff's Eighth Amendment protection from deliberate indifference"), </w:t>
      </w:r>
      <w:r>
        <w:rPr>
          <w:rFonts w:ascii="arial" w:eastAsia="arial" w:hAnsi="arial" w:cs="arial"/>
          <w:b w:val="0"/>
          <w:i/>
          <w:strike w:val="0"/>
          <w:noProof w:val="0"/>
          <w:color w:val="000000"/>
          <w:position w:val="0"/>
          <w:sz w:val="20"/>
          <w:u w:val="none"/>
          <w:vertAlign w:val="baseline"/>
        </w:rPr>
        <w:t>recommendation adopted by</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2019 WL 4437816 (S.D. Ga. Sept. 16, 2019)</w:t>
        </w:r>
      </w:hyperlink>
      <w:r>
        <w:rPr>
          <w:rFonts w:ascii="arial" w:eastAsia="arial" w:hAnsi="arial" w:cs="arial"/>
          <w:b w:val="0"/>
          <w:i w:val="0"/>
          <w:strike w:val="0"/>
          <w:noProof w:val="0"/>
          <w:color w:val="000000"/>
          <w:position w:val="0"/>
          <w:sz w:val="20"/>
          <w:u w:val="none"/>
          <w:vertAlign w:val="baseline"/>
        </w:rPr>
        <w:t>. Thus, Jones was not deliberately indifferent to the risk against Kerch, but instead, he took affirmative action to protect him.</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This effort was successful because Kerch was not attacked at RSP. Pl.'s Dep. 54:20-55:6. Further, the evidence shows Burks was not a member of the Classification Committee that denied protective custody, nor did she have any role in his placement in administrative segregation. Burks Decl. ¶¶ 14-15.</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As for Kerch's transfer to BSP and placement in a two-man cell, the evidence demonstrates Jones and Burks did not order his transfer, decide where he would be sent upon leaving RSP, or assign his housing at the new facility. Sharpe Decl. ¶ 8; Sharpe Ex. 1; Jones Decl. ¶ 26; Burks Decl. ¶ 13. Nevertheless, Kerch argues Jones and Burks had the authority to place him on "involuntary protective custody" at RSP, which he suggests would have prevented his transfer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a "worse prison" and allowed his placement in isolation or segregation immediately upon arrival at a new prison. Pl.'s Decl. ¶¶ 7, 16, 21, 23, 31; Pl's Dep. 104:21-105:8. Even assuming Jones and Burks had such authority—and such action would affect transfers and housing assignments—Defendants were not deliberately indifferent by refusing to engage in a fiction, since Kerch's placement in protective custody would certainly not have been "involuntary."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&amp; R. 8-9, </w:t>
      </w:r>
      <w:r>
        <w:rPr>
          <w:rFonts w:ascii="arial" w:eastAsia="arial" w:hAnsi="arial" w:cs="arial"/>
          <w:b w:val="0"/>
          <w:i/>
          <w:strike w:val="0"/>
          <w:noProof w:val="0"/>
          <w:color w:val="000000"/>
          <w:position w:val="0"/>
          <w:sz w:val="20"/>
          <w:u w:val="none"/>
          <w:vertAlign w:val="baseline"/>
        </w:rPr>
        <w:t>Kerch v. Dozier</w:t>
      </w:r>
      <w:r>
        <w:rPr>
          <w:rFonts w:ascii="arial" w:eastAsia="arial" w:hAnsi="arial" w:cs="arial"/>
          <w:b w:val="0"/>
          <w:i w:val="0"/>
          <w:strike w:val="0"/>
          <w:noProof w:val="0"/>
          <w:color w:val="000000"/>
          <w:position w:val="0"/>
          <w:sz w:val="20"/>
          <w:u w:val="none"/>
          <w:vertAlign w:val="baseline"/>
        </w:rPr>
        <w:t>, 5:19-cv-11-MTT-MSH (M.D. Ga. Feb. 22, 2019) (ECF No. 6) (outlining Kerch's previous allegations of a statewide "hit" by other inmates, continuing threats and assaults by other inmates at numerous different prisons, and his continuing requests for protective custody).</w:t>
      </w:r>
    </w:p>
    <w:p>
      <w:pPr>
        <w:keepNext w:val="0"/>
        <w:spacing w:before="24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Additionally, even if Jones and Burks were deliberately indifferent by allowing Kerch's transfer to BSP without protective custody status—which is not supported by the evidence—Kerch cannot show a causal connection between their indifference and his injuries. The threats against Kerch at RSP—which he contends triggered the substantial risk to his safety—arose from his witnessing a contraband exchange at RSP and hit purportedly put out in response. Pl.'s Dep. 17:8-14, 18:2-20:5, 50:11-51:13. Kerch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admitted at his deposition, however, it was not until approximately a month after his arrival that the inmate population at BSP became aware of the hit on him, though he speculated it could have been earlier.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116:5-18. Kerch has presented no evidence his attacker at BSP knew about the events at RSP or the hit. Kerch also specifically admitted Jones had nothing to do with the assault at BSP.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103:10-17. Kerch suggests a causal connection can be found based on Burks' statement she had "friends" at BSP and Kerch's theory that maybe she and Martin "schemed out"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105:9-15, 136:21-137:4. However, "'inferences based upon speculation are not reasonable,' and may not defeat a motion for summary judgment." </w:t>
      </w:r>
      <w:hyperlink r:id="rId40" w:history="1">
        <w:r>
          <w:rPr>
            <w:rFonts w:ascii="arial" w:eastAsia="arial" w:hAnsi="arial" w:cs="arial"/>
            <w:b w:val="0"/>
            <w:i/>
            <w:strike w:val="0"/>
            <w:noProof w:val="0"/>
            <w:color w:val="0077CC"/>
            <w:position w:val="0"/>
            <w:sz w:val="20"/>
            <w:u w:val="single"/>
            <w:vertAlign w:val="baseline"/>
          </w:rPr>
          <w:t>Martinez v. Burns</w:t>
        </w:r>
      </w:hyperlink>
      <w:hyperlink r:id="rId40" w:history="1">
        <w:r>
          <w:rPr>
            <w:rFonts w:ascii="arial" w:eastAsia="arial" w:hAnsi="arial" w:cs="arial"/>
            <w:b w:val="0"/>
            <w:i/>
            <w:strike w:val="0"/>
            <w:noProof w:val="0"/>
            <w:color w:val="0077CC"/>
            <w:position w:val="0"/>
            <w:sz w:val="20"/>
            <w:u w:val="single"/>
            <w:vertAlign w:val="baseline"/>
          </w:rPr>
          <w:t>, 459 F. App'x 849, 850 (11th Cir. 2012)</w:t>
        </w:r>
      </w:hyperlink>
      <w:r>
        <w:rPr>
          <w:rFonts w:ascii="arial" w:eastAsia="arial" w:hAnsi="arial" w:cs="arial"/>
          <w:b w:val="0"/>
          <w:i w:val="0"/>
          <w:strike w:val="0"/>
          <w:noProof w:val="0"/>
          <w:color w:val="000000"/>
          <w:position w:val="0"/>
          <w:sz w:val="20"/>
          <w:u w:val="none"/>
          <w:vertAlign w:val="baseline"/>
        </w:rPr>
        <w:t xml:space="preserve"> (per curiam) (quoting </w:t>
      </w:r>
      <w:hyperlink r:id="rId41" w:history="1">
        <w:r>
          <w:rPr>
            <w:rFonts w:ascii="arial" w:eastAsia="arial" w:hAnsi="arial" w:cs="arial"/>
            <w:b w:val="0"/>
            <w:i/>
            <w:strike w:val="0"/>
            <w:noProof w:val="0"/>
            <w:color w:val="0077CC"/>
            <w:position w:val="0"/>
            <w:sz w:val="20"/>
            <w:u w:val="single"/>
            <w:vertAlign w:val="baseline"/>
          </w:rPr>
          <w:t>Marshall v. City of Cape Coral, Fla.</w:t>
        </w:r>
      </w:hyperlink>
      <w:hyperlink r:id="rId41" w:history="1">
        <w:r>
          <w:rPr>
            <w:rFonts w:ascii="arial" w:eastAsia="arial" w:hAnsi="arial" w:cs="arial"/>
            <w:b w:val="0"/>
            <w:i/>
            <w:strike w:val="0"/>
            <w:noProof w:val="0"/>
            <w:color w:val="0077CC"/>
            <w:position w:val="0"/>
            <w:sz w:val="20"/>
            <w:u w:val="single"/>
            <w:vertAlign w:val="baseline"/>
          </w:rPr>
          <w:t>, 797 F.2d 1555, 1559 (11th Cir.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Regarding Martin, the evidence shows he was also not deliberately indifferent to the risk against Kerch. According to Martin, GDC policy prevented him from assigning Kerch to a one-man cell because he was not under protective custody status when he arrived, and the BSP Classification Committee had not designated him as being eligible for a one-man cell.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Martin Decl. ¶ 9. Nevertheless, because of the threats reported by Kerch, Martin requested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his placement in administrative segregation.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The unrebutted evidence shows the Classification Committed determined Kerch's placement within administrative segregation, including who his cellmate would be.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Pl.'s Decl. ¶ 25. And although the cellmate raped Kerch, there is no evidence the attack was related to the threats arising at RSP which Kerch claims necessitated his placement in protective custody. There is also no evidence that the inmate who attacked Kerch had a prior history of sexual assaults. Therefore, even assuming Martin was deliberately indifferent to the threats arising from Kerch's prior incarceration at RSP, there is no causal connection between those threats and the sexual assault.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9" w:name="Bookmark_para_27"/>
      <w:bookmarkEnd w:id="39"/>
      <w:r>
        <w:rPr>
          <w:rFonts w:ascii="arial" w:eastAsia="arial" w:hAnsi="arial" w:cs="arial"/>
          <w:b w:val="0"/>
          <w:i w:val="0"/>
          <w:strike w:val="0"/>
          <w:noProof w:val="0"/>
          <w:color w:val="000000"/>
          <w:position w:val="0"/>
          <w:sz w:val="20"/>
          <w:u w:val="none"/>
          <w:vertAlign w:val="baseline"/>
        </w:rPr>
        <w:t xml:space="preserve">For the reasons explained above, it is recommended that Defendants' motion for summary judgment (ECF No. 106) be granted. Pursuant to </w:t>
      </w:r>
      <w:hyperlink r:id="rId4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the parties may serve and file written objections to this Recommendation, or seek an extension of time to file objections,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after being served with a copy hereof. Any objection should be no longer than </w:t>
      </w:r>
      <w:r>
        <w:rPr>
          <w:rFonts w:ascii="arial" w:eastAsia="arial" w:hAnsi="arial" w:cs="arial"/>
          <w:b/>
          <w:i w:val="0"/>
          <w:strike w:val="0"/>
          <w:noProof w:val="0"/>
          <w:color w:val="000000"/>
          <w:position w:val="0"/>
          <w:sz w:val="20"/>
          <w:u w:val="none"/>
          <w:vertAlign w:val="baseline"/>
        </w:rPr>
        <w:t>TWENTY (20) PAGES</w:t>
      </w:r>
      <w:r>
        <w:rPr>
          <w:rFonts w:ascii="arial" w:eastAsia="arial" w:hAnsi="arial" w:cs="arial"/>
          <w:b w:val="0"/>
          <w:i w:val="0"/>
          <w:strike w:val="0"/>
          <w:noProof w:val="0"/>
          <w:color w:val="000000"/>
          <w:position w:val="0"/>
          <w:sz w:val="20"/>
          <w:u w:val="none"/>
          <w:vertAlign w:val="baseline"/>
        </w:rPr>
        <w:t xml:space="preserve"> in length. The district judge shall make a de novo determination of those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portions of the Recommendation to which objection is made. All other portions of the Recommendation may be reviewed for clear error.</w:t>
      </w:r>
    </w:p>
    <w:p>
      <w:pPr>
        <w:keepNext w:val="0"/>
        <w:spacing w:before="240" w:after="0" w:line="260" w:lineRule="atLeast"/>
        <w:ind w:left="0" w:right="0" w:firstLine="0"/>
        <w:jc w:val="both"/>
      </w:pPr>
      <w:bookmarkStart w:id="40" w:name="Bookmark_para_28"/>
      <w:bookmarkEnd w:id="40"/>
      <w:r>
        <w:rPr>
          <w:rFonts w:ascii="arial" w:eastAsia="arial" w:hAnsi="arial" w:cs="arial"/>
          <w:b w:val="0"/>
          <w:i w:val="0"/>
          <w:strike w:val="0"/>
          <w:noProof w:val="0"/>
          <w:color w:val="000000"/>
          <w:position w:val="0"/>
          <w:sz w:val="20"/>
          <w:u w:val="none"/>
          <w:vertAlign w:val="baseline"/>
        </w:rPr>
        <w:t xml:space="preserve">The parties are hereby notified that, pursuant to Eleventh Circuit Rule 3-1, "[a] party failing to object to a magistrate judge's findings or recommendations contained in a report and recommendation in accordance with the provisions of </w:t>
      </w:r>
      <w:hyperlink r:id="rId4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waives the right to challenge on appeal the district court's order based on unobjected-to factual and legal conclusions if the party was informed of the time period for objecting and the consequences on appeal for failing to object. In the absence of a proper objection, however, the court may review on appeal for plain error if necessary in the interests of justice."</w:t>
      </w:r>
    </w:p>
    <w:p>
      <w:pPr>
        <w:keepNext w:val="0"/>
        <w:spacing w:before="200" w:after="0" w:line="260" w:lineRule="atLeast"/>
        <w:ind w:left="0" w:right="0" w:firstLine="0"/>
        <w:jc w:val="both"/>
      </w:pPr>
      <w:bookmarkStart w:id="41" w:name="Bookmark_para_29"/>
      <w:bookmarkEnd w:id="41"/>
      <w:r>
        <w:rPr>
          <w:rFonts w:ascii="arial" w:eastAsia="arial" w:hAnsi="arial" w:cs="arial"/>
          <w:b/>
          <w:i w:val="0"/>
          <w:strike w:val="0"/>
          <w:noProof w:val="0"/>
          <w:color w:val="000000"/>
          <w:position w:val="0"/>
          <w:sz w:val="20"/>
          <w:u w:val="none"/>
          <w:vertAlign w:val="baseline"/>
        </w:rPr>
        <w:t>SO ORDERED and RECOMMENDED</w:t>
      </w:r>
      <w:r>
        <w:rPr>
          <w:rFonts w:ascii="arial" w:eastAsia="arial" w:hAnsi="arial" w:cs="arial"/>
          <w:b w:val="0"/>
          <w:i w:val="0"/>
          <w:strike w:val="0"/>
          <w:noProof w:val="0"/>
          <w:color w:val="000000"/>
          <w:position w:val="0"/>
          <w:sz w:val="20"/>
          <w:u w:val="none"/>
          <w:vertAlign w:val="baseline"/>
        </w:rPr>
        <w:t>, this 19th day of December, 2023.</w:t>
      </w:r>
    </w:p>
    <w:p>
      <w:pPr>
        <w:keepNext w:val="0"/>
        <w:spacing w:before="200" w:after="0" w:line="260" w:lineRule="atLeast"/>
        <w:ind w:left="0" w:right="0" w:firstLine="0"/>
        <w:jc w:val="both"/>
      </w:pPr>
      <w:bookmarkStart w:id="42" w:name="Bookmark_para_30"/>
      <w:bookmarkEnd w:id="42"/>
      <w:r>
        <w:rPr>
          <w:rFonts w:ascii="arial" w:eastAsia="arial" w:hAnsi="arial" w:cs="arial"/>
          <w:b w:val="0"/>
          <w:i w:val="0"/>
          <w:strike w:val="0"/>
          <w:noProof w:val="0"/>
          <w:color w:val="000000"/>
          <w:position w:val="0"/>
          <w:sz w:val="20"/>
          <w:u w:val="none"/>
          <w:vertAlign w:val="baseline"/>
        </w:rPr>
        <w:t>/s/ Stephen Hyles</w:t>
      </w:r>
    </w:p>
    <w:p>
      <w:pPr>
        <w:keepNext w:val="0"/>
        <w:spacing w:before="200" w:after="0" w:line="260" w:lineRule="atLeast"/>
        <w:ind w:left="0" w:right="0" w:firstLine="0"/>
        <w:jc w:val="both"/>
      </w:pPr>
      <w:bookmarkStart w:id="43" w:name="Bookmark_para_31"/>
      <w:bookmarkEnd w:id="4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Kerch was not able to respond to the summary judgment motion within the original deadline because of his placement in a crisis stabilization unit. In light of this, the Court granted him an extension of time to respond. Therefore, his motion to show excusable neglect (ECF No. 116), requesting he be allowed to continue his case, is </w:t>
      </w:r>
      <w:r>
        <w:rPr>
          <w:rFonts w:ascii="arial" w:eastAsia="arial" w:hAnsi="arial" w:cs="arial"/>
          <w:b/>
          <w:i w:val="0"/>
          <w:strike w:val="0"/>
          <w:noProof w:val="0"/>
          <w:color w:val="000000"/>
          <w:position w:val="0"/>
          <w:sz w:val="18"/>
          <w:u w:val="none"/>
          <w:vertAlign w:val="baseline"/>
        </w:rPr>
        <w:t>DENIED AS MOOT</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r>
        <w:rPr>
          <w:rFonts w:ascii="arial" w:eastAsia="arial" w:hAnsi="arial" w:cs="arial"/>
          <w:b w:val="0"/>
          <w:i w:val="0"/>
          <w:strike w:val="0"/>
          <w:noProof w:val="0"/>
          <w:color w:val="000000"/>
          <w:position w:val="0"/>
          <w:sz w:val="18"/>
          <w:u w:val="none"/>
          <w:vertAlign w:val="baseline"/>
        </w:rPr>
        <w:t xml:space="preserve">In his response to the motion for summary judgment, Kerch appears to assert a new claim of retaliation based in what he claims was a false disciplinary charge for having a knife in his possession. Pl.'s Resp. to Mot. for Summ. J. 3, ECF No. 117. Kerch claims Jones and Burks were responsible for the charge being written and alleges no knife was ever produced.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However, that is not a claim he asserted in his amended complaint. While he mentioned the allegedly false disciplinary report, he did not allege Jones and Burks were responsible for it, state any facts supporting a claim they were responsible for it, or list it as one of his legal claims against them. Am. Compl. 4, 6-7. Further, it was not a claim the Court allowed to proceed following preliminary screening. Order &amp; R. 17-18, Aug. 24, 2022. "A plaintiff may not amend [his] complaint through argument in a brief opposing summary judgment." </w:t>
      </w:r>
      <w:hyperlink r:id="rId1" w:history="1">
        <w:r>
          <w:rPr>
            <w:rFonts w:ascii="arial" w:eastAsia="arial" w:hAnsi="arial" w:cs="arial"/>
            <w:b w:val="0"/>
            <w:i/>
            <w:strike w:val="0"/>
            <w:noProof w:val="0"/>
            <w:color w:val="0077CC"/>
            <w:position w:val="0"/>
            <w:sz w:val="18"/>
            <w:u w:val="single"/>
            <w:vertAlign w:val="baseline"/>
          </w:rPr>
          <w:t>Gilmour v. Gates, McDonald and Co.</w:t>
        </w:r>
      </w:hyperlink>
      <w:hyperlink r:id="rId1" w:history="1">
        <w:r>
          <w:rPr>
            <w:rFonts w:ascii="arial" w:eastAsia="arial" w:hAnsi="arial" w:cs="arial"/>
            <w:b w:val="0"/>
            <w:i/>
            <w:strike w:val="0"/>
            <w:noProof w:val="0"/>
            <w:color w:val="0077CC"/>
            <w:position w:val="0"/>
            <w:sz w:val="18"/>
            <w:u w:val="single"/>
            <w:vertAlign w:val="baseline"/>
          </w:rPr>
          <w:t>, 382 F.3d 1312, 1315 (11th Cir. 2004)</w:t>
        </w:r>
      </w:hyperlink>
      <w:r>
        <w:rPr>
          <w:rFonts w:ascii="arial" w:eastAsia="arial" w:hAnsi="arial" w:cs="arial"/>
          <w:b w:val="0"/>
          <w:i w:val="0"/>
          <w:strike w:val="0"/>
          <w:noProof w:val="0"/>
          <w:color w:val="000000"/>
          <w:position w:val="0"/>
          <w:sz w:val="18"/>
          <w:u w:val="none"/>
          <w:vertAlign w:val="baseline"/>
        </w:rPr>
        <w:t xml:space="preserve"> (per curiam). Therefore, the Court will not allow Kerch to avoid summary judgment by assertion of facts in support of the new theory of liability.</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 w:name="Bookmark_fnpara_3"/>
      <w:bookmarkEnd w:id="23"/>
      <w:r>
        <w:rPr>
          <w:rFonts w:ascii="arial" w:eastAsia="arial" w:hAnsi="arial" w:cs="arial"/>
          <w:b w:val="0"/>
          <w:i w:val="0"/>
          <w:strike w:val="0"/>
          <w:noProof w:val="0"/>
          <w:color w:val="000000"/>
          <w:position w:val="0"/>
          <w:sz w:val="18"/>
          <w:u w:val="none"/>
          <w:vertAlign w:val="baseline"/>
        </w:rPr>
        <w:t>Kerch cites the GDC standard operating policy on inter-institutional transfers to argue Jones had to approve his transfer. Pl.'s Decl. ¶ 20; Pl.'s Exs. 102. The provision cited, however, does not state a warden has to approve a transfer to another facility. It only states that a warden's recommendation for a transfer should be forwarded to Offender Administration. Pl.'s Exs. 102. The provision actually confirms Offender Administration makes transfer decisions. Further, there is no evidence Jones recommended a transfer, only that Sharpe requested Kerch's reassignment.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 xml:space="preserve">Kerch argues Jones never believed his statements about a hit being put out on him. Pl.'s Resp. to Mot. for Summ. J. 6. Of course, if this is true, Kerch cannot satisfy the subjective component of the deliberate indifference element because Jones would not have actually drawn the inference of a substantial risk of serious harm. </w:t>
      </w:r>
      <w:r>
        <w:rPr>
          <w:rFonts w:ascii="arial" w:eastAsia="arial" w:hAnsi="arial" w:cs="arial"/>
          <w:b w:val="0"/>
          <w:i/>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vertAlign w:val="baseline"/>
          </w:rPr>
          <w:t>Goodman</w:t>
        </w:r>
      </w:hyperlink>
      <w:hyperlink r:id="rId2" w:history="1">
        <w:r>
          <w:rPr>
            <w:rFonts w:ascii="arial" w:eastAsia="arial" w:hAnsi="arial" w:cs="arial"/>
            <w:b w:val="0"/>
            <w:i/>
            <w:strike w:val="0"/>
            <w:noProof w:val="0"/>
            <w:color w:val="0077CC"/>
            <w:position w:val="0"/>
            <w:sz w:val="18"/>
            <w:u w:val="single"/>
            <w:vertAlign w:val="baseline"/>
          </w:rPr>
          <w:t>, 718 F.3d at 1332</w:t>
        </w:r>
      </w:hyperlink>
      <w:r>
        <w:rPr>
          <w:rFonts w:ascii="arial" w:eastAsia="arial" w:hAnsi="arial" w:cs="arial"/>
          <w:b w:val="0"/>
          <w:i w:val="0"/>
          <w:strike w:val="0"/>
          <w:noProof w:val="0"/>
          <w:color w:val="000000"/>
          <w:position w:val="0"/>
          <w:sz w:val="18"/>
          <w:u w:val="none"/>
          <w:vertAlign w:val="baseline"/>
        </w:rPr>
        <w:t xml:space="preserve"> ("[T]he official must both be aware of facts from which the inference could be drawn that a substantial risk of serious harm exists, </w:t>
      </w:r>
      <w:r>
        <w:rPr>
          <w:rFonts w:ascii="arial" w:eastAsia="arial" w:hAnsi="arial" w:cs="arial"/>
          <w:b w:val="0"/>
          <w:i/>
          <w:strike w:val="0"/>
          <w:noProof w:val="0"/>
          <w:color w:val="000000"/>
          <w:position w:val="0"/>
          <w:sz w:val="18"/>
          <w:u w:val="none"/>
          <w:vertAlign w:val="baseline"/>
        </w:rPr>
        <w:t>and he must also draw the inference</w:t>
      </w:r>
      <w:r>
        <w:rPr>
          <w:rFonts w:ascii="arial" w:eastAsia="arial" w:hAnsi="arial" w:cs="arial"/>
          <w:b w:val="0"/>
          <w:i w:val="0"/>
          <w:strike w:val="0"/>
          <w:noProof w:val="0"/>
          <w:color w:val="000000"/>
          <w:position w:val="0"/>
          <w:sz w:val="18"/>
          <w:u w:val="none"/>
          <w:vertAlign w:val="baseline"/>
        </w:rPr>
        <w:t xml:space="preserve">." (quoting </w:t>
      </w:r>
      <w:hyperlink r:id="rId3" w:history="1">
        <w:r>
          <w:rPr>
            <w:rFonts w:ascii="arial" w:eastAsia="arial" w:hAnsi="arial" w:cs="arial"/>
            <w:b w:val="0"/>
            <w:i/>
            <w:strike w:val="0"/>
            <w:noProof w:val="0"/>
            <w:color w:val="0077CC"/>
            <w:position w:val="0"/>
            <w:sz w:val="18"/>
            <w:u w:val="single"/>
            <w:vertAlign w:val="baseline"/>
          </w:rPr>
          <w:t>Purcell ex. rel. Est. of Morgan v. Toombs Cnty, Ga</w:t>
        </w:r>
      </w:hyperlink>
      <w:hyperlink r:id="rId3" w:history="1">
        <w:r>
          <w:rPr>
            <w:rFonts w:ascii="arial" w:eastAsia="arial" w:hAnsi="arial" w:cs="arial"/>
            <w:b w:val="0"/>
            <w:i/>
            <w:strike w:val="0"/>
            <w:noProof w:val="0"/>
            <w:color w:val="0077CC"/>
            <w:position w:val="0"/>
            <w:sz w:val="18"/>
            <w:u w:val="single"/>
            <w:vertAlign w:val="baseline"/>
          </w:rPr>
          <w:t>. 400 F.3d 1313, 1319-20 (11th Cir. 2005)</w:t>
        </w:r>
      </w:hyperlink>
      <w:r>
        <w:rPr>
          <w:rFonts w:ascii="arial" w:eastAsia="arial" w:hAnsi="arial" w:cs="arial"/>
          <w:b w:val="0"/>
          <w:i w:val="0"/>
          <w:strike w:val="0"/>
          <w:noProof w:val="0"/>
          <w:color w:val="000000"/>
          <w:position w:val="0"/>
          <w:sz w:val="18"/>
          <w:u w:val="none"/>
          <w:vertAlign w:val="baseline"/>
        </w:rPr>
        <w:t xml:space="preserve"> (emphasis in original))).</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7" w:name="Bookmark_fnpara_5"/>
      <w:bookmarkEnd w:id="37"/>
      <w:r>
        <w:rPr>
          <w:rFonts w:ascii="arial" w:eastAsia="arial" w:hAnsi="arial" w:cs="arial"/>
          <w:b w:val="0"/>
          <w:i w:val="0"/>
          <w:strike w:val="0"/>
          <w:noProof w:val="0"/>
          <w:color w:val="000000"/>
          <w:position w:val="0"/>
          <w:sz w:val="18"/>
          <w:u w:val="none"/>
          <w:vertAlign w:val="baseline"/>
        </w:rPr>
        <w:t>It is not entirely clear why Jones, as Warden at RSP, had the authority to place Kerch in a one-man cell in administrative segregation, but Martin, the Deputy Warden at BSP, did not have such authority. Defendants suggest it is related to Kerch being a new arrival at BSP. Jones Decl. ¶ 25. It is ultimately irrelevant though, because Martin's recommendation Kerch be placed in administrative segregation—even if not in a one-man cell—was a reasonable response to threats arising at RSP when there was no evidence at the time of a specific threat to Kerch at BSP.</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8" w:name="Bookmark_fnpara_6"/>
      <w:bookmarkEnd w:id="38"/>
      <w:r>
        <w:rPr>
          <w:rFonts w:ascii="arial" w:eastAsia="arial" w:hAnsi="arial" w:cs="arial"/>
          <w:b w:val="0"/>
          <w:i w:val="0"/>
          <w:strike w:val="0"/>
          <w:noProof w:val="0"/>
          <w:color w:val="000000"/>
          <w:position w:val="0"/>
          <w:sz w:val="18"/>
          <w:u w:val="none"/>
          <w:vertAlign w:val="baseline"/>
        </w:rPr>
        <w:t xml:space="preserve">Defendants also argue 1) Kerch cannot recover compensatory damages because he cannot show he suffered more than a </w:t>
      </w:r>
      <w:r>
        <w:rPr>
          <w:rFonts w:ascii="arial" w:eastAsia="arial" w:hAnsi="arial" w:cs="arial"/>
          <w:b w:val="0"/>
          <w:i/>
          <w:strike w:val="0"/>
          <w:noProof w:val="0"/>
          <w:color w:val="000000"/>
          <w:position w:val="0"/>
          <w:sz w:val="18"/>
          <w:u w:val="none"/>
          <w:vertAlign w:val="baseline"/>
        </w:rPr>
        <w:t>de minimis</w:t>
      </w:r>
      <w:r>
        <w:rPr>
          <w:rFonts w:ascii="arial" w:eastAsia="arial" w:hAnsi="arial" w:cs="arial"/>
          <w:b w:val="0"/>
          <w:i w:val="0"/>
          <w:strike w:val="0"/>
          <w:noProof w:val="0"/>
          <w:color w:val="000000"/>
          <w:position w:val="0"/>
          <w:sz w:val="18"/>
          <w:u w:val="none"/>
          <w:vertAlign w:val="baseline"/>
        </w:rPr>
        <w:t xml:space="preserve"> physical injury and 2) they are entitled to qualified immunity. Defs.' Br. in Supp. of Mot. for Summ. J. 18-20, ECF No. 106-26. Because the Court recommends granting their motion for summary judgment for the reasons stated herein, it will not address these other arguments.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Kerch v. Jones, 2023 U.S. Dist. LEXIS 238542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5GYC-2421-6N19-F165-00000-00&amp;context=1519360" TargetMode="External" /><Relationship Id="rId12" Type="http://schemas.openxmlformats.org/officeDocument/2006/relationships/hyperlink" Target="https://advance.lexis.com/api/document?collection=cases&amp;id=urn:contentItem:3S4X-6H80-0039-N37M-00000-00&amp;context=1519360" TargetMode="External" /><Relationship Id="rId13" Type="http://schemas.openxmlformats.org/officeDocument/2006/relationships/hyperlink" Target="https://advance.lexis.com/api/document?collection=cases&amp;id=urn:contentItem:3S4X-6HC0-0039-N37R-00000-00&amp;context=1519360" TargetMode="External" /><Relationship Id="rId14" Type="http://schemas.openxmlformats.org/officeDocument/2006/relationships/hyperlink" Target="https://advance.lexis.com/api/document?collection=cases&amp;id=urn:contentItem:3S4X-C4S0-008H-V4S8-00000-00&amp;context=1519360" TargetMode="External" /><Relationship Id="rId15" Type="http://schemas.openxmlformats.org/officeDocument/2006/relationships/hyperlink" Target="https://advance.lexis.com/api/document?collection=cases&amp;id=urn:contentItem:4SXR-CT40-TX4N-G095-00000-00&amp;context=1519360" TargetMode="External" /><Relationship Id="rId16" Type="http://schemas.openxmlformats.org/officeDocument/2006/relationships/hyperlink" Target="https://advance.lexis.com/api/document?collection=cases&amp;id=urn:contentItem:3S4X-HS40-0039-P205-00000-00&amp;context=1519360" TargetMode="External" /><Relationship Id="rId17" Type="http://schemas.openxmlformats.org/officeDocument/2006/relationships/hyperlink" Target="https://advance.lexis.com/api/document?collection=cases&amp;id=urn:contentItem:5237-B731-652R-B0S0-00000-00&amp;context=1519360" TargetMode="External" /><Relationship Id="rId18" Type="http://schemas.openxmlformats.org/officeDocument/2006/relationships/hyperlink" Target="https://advance.lexis.com/api/document?collection=cases&amp;id=urn:contentItem:4H2R-7K50-0038-X415-00000-00&amp;context=1519360" TargetMode="External" /><Relationship Id="rId19" Type="http://schemas.openxmlformats.org/officeDocument/2006/relationships/hyperlink" Target="https://advance.lexis.com/api/document?collection=cases&amp;id=urn:contentItem:52JM-H7S1-652R-B0D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9M30-003B-S4DR-00000-00&amp;context=1519360" TargetMode="External" /><Relationship Id="rId21" Type="http://schemas.openxmlformats.org/officeDocument/2006/relationships/hyperlink" Target="https://advance.lexis.com/api/document?collection=cases&amp;id=urn:contentItem:3VYT-J460-0038-X3J3-00000-00&amp;context=1519360" TargetMode="External" /><Relationship Id="rId22" Type="http://schemas.openxmlformats.org/officeDocument/2006/relationships/hyperlink" Target="https://advance.lexis.com/api/document?collection=cases&amp;id=urn:contentItem:4344-1NH0-0038-X03D-00000-00&amp;context=1519360" TargetMode="External" /><Relationship Id="rId23" Type="http://schemas.openxmlformats.org/officeDocument/2006/relationships/hyperlink" Target="https://advance.lexis.com/api/document?collection=cases&amp;id=urn:contentItem:6520-VDB1-FCK4-G2K1-00000-00&amp;context=1519360" TargetMode="External" /><Relationship Id="rId24" Type="http://schemas.openxmlformats.org/officeDocument/2006/relationships/hyperlink" Target="https://advance.lexis.com/api/document?collection=cases&amp;id=urn:contentItem:4WVW-KBF0-TXFP-M39W-00000-00&amp;context=1519360" TargetMode="External" /><Relationship Id="rId25" Type="http://schemas.openxmlformats.org/officeDocument/2006/relationships/hyperlink" Target="https://advance.lexis.com/api/document?collection=cases&amp;id=urn:contentItem:6520-VDB1-FCK4-G2K0-00000-00&amp;context=1519360" TargetMode="External" /><Relationship Id="rId26" Type="http://schemas.openxmlformats.org/officeDocument/2006/relationships/hyperlink" Target="https://advance.lexis.com/api/document?collection=cases&amp;id=urn:contentItem:60F2-0101-FCK4-G0X8-00000-00&amp;context=1519360" TargetMode="External" /><Relationship Id="rId27" Type="http://schemas.openxmlformats.org/officeDocument/2006/relationships/hyperlink" Target="https://advance.lexis.com/api/document?collection=cases&amp;id=urn:contentItem:3S65-JVR0-003B-R0HN-00000-00&amp;context=1519360" TargetMode="External" /><Relationship Id="rId28" Type="http://schemas.openxmlformats.org/officeDocument/2006/relationships/hyperlink" Target="https://advance.lexis.com/api/document?collection=cases&amp;id=urn:contentItem:5WXM-YCV1-F8KH-X0B2-00000-00&amp;context=1519360" TargetMode="External" /><Relationship Id="rId29" Type="http://schemas.openxmlformats.org/officeDocument/2006/relationships/hyperlink" Target="https://advance.lexis.com/api/document?collection=cases&amp;id=urn:contentItem:3S4X-6NJ0-003B-50J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42Y-JFG0-0038-X2F1-00000-00&amp;context=1519360" TargetMode="External" /><Relationship Id="rId31" Type="http://schemas.openxmlformats.org/officeDocument/2006/relationships/hyperlink" Target="https://advance.lexis.com/api/document?collection=cases&amp;id=urn:contentItem:4NSN-8840-004C-002M-00000-00&amp;context=1519360" TargetMode="External" /><Relationship Id="rId32" Type="http://schemas.openxmlformats.org/officeDocument/2006/relationships/hyperlink" Target="https://advance.lexis.com/api/document?collection=cases&amp;id=urn:contentItem:7XW4-M830-YB0V-S009-00000-00&amp;context=1519360" TargetMode="External" /><Relationship Id="rId33" Type="http://schemas.openxmlformats.org/officeDocument/2006/relationships/hyperlink" Target="https://advance.lexis.com/api/document?collection=cases&amp;id=urn:contentItem:58PR-53C1-F04K-X001-00000-00&amp;context=1519360" TargetMode="External" /><Relationship Id="rId34" Type="http://schemas.openxmlformats.org/officeDocument/2006/relationships/hyperlink" Target="https://advance.lexis.com/api/document?collection=cases&amp;id=urn:contentItem:4SYM-T0H0-TX4N-G179-00000-00&amp;context=1519360" TargetMode="External" /><Relationship Id="rId35" Type="http://schemas.openxmlformats.org/officeDocument/2006/relationships/hyperlink" Target="https://advance.lexis.com/api/document?collection=cases&amp;id=urn:contentItem:4M5F-J3J0-0038-X2KJ-00000-00&amp;context=1519360" TargetMode="External" /><Relationship Id="rId36" Type="http://schemas.openxmlformats.org/officeDocument/2006/relationships/hyperlink" Target="https://advance.lexis.com/api/document?collection=cases&amp;id=urn:contentItem:4B7H-MTH0-0038-X45V-00000-00&amp;context=1519360" TargetMode="External" /><Relationship Id="rId37" Type="http://schemas.openxmlformats.org/officeDocument/2006/relationships/hyperlink" Target="https://advance.lexis.com/api/document?collection=cases&amp;id=urn:contentItem:5BWH-6S61-F04K-X01S-00000-00&amp;context=1519360" TargetMode="External" /><Relationship Id="rId38" Type="http://schemas.openxmlformats.org/officeDocument/2006/relationships/hyperlink" Target="https://advance.lexis.com/api/document?collection=cases&amp;id=urn:contentItem:5WVH-N2F1-JP4G-6000-00000-00&amp;context=1519360" TargetMode="External" /><Relationship Id="rId39" Type="http://schemas.openxmlformats.org/officeDocument/2006/relationships/hyperlink" Target="https://advance.lexis.com/api/document?collection=cases&amp;id=urn:contentItem:5X2H-N6F1-JGPY-X00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530-THY1-F04K-X1RP-00000-00&amp;context=1519360" TargetMode="External" /><Relationship Id="rId41" Type="http://schemas.openxmlformats.org/officeDocument/2006/relationships/hyperlink" Target="https://advance.lexis.com/api/document?collection=cases&amp;id=urn:contentItem:3S4X-1FY0-0039-P1RV-00000-00&amp;context=1519360" TargetMode="External" /><Relationship Id="rId42" Type="http://schemas.openxmlformats.org/officeDocument/2006/relationships/hyperlink" Target="https://advance.lexis.com/api/document?collection=statutes-legislation&amp;id=urn:contentItem:8SG9-5HW2-D6RV-H0BK-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C8X-1NR3-SJ9Y-90M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D7M-4RM0-0038-X0JP-00000-00&amp;context=1519360" TargetMode="External" /><Relationship Id="rId2" Type="http://schemas.openxmlformats.org/officeDocument/2006/relationships/hyperlink" Target="https://advance.lexis.com/api/document?collection=cases&amp;id=urn:contentItem:58PR-53C1-F04K-X001-00000-00&amp;context=1519360" TargetMode="External" /><Relationship Id="rId3" Type="http://schemas.openxmlformats.org/officeDocument/2006/relationships/hyperlink" Target="https://advance.lexis.com/api/document?collection=cases&amp;id=urn:contentItem:4FJR-03C0-0038-X0V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Kerch v. Jones, 2023 U.S. Dist. LEXIS 238542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Doc::urn:hlct:5|contextualFeaturePermID::1519360</vt:lpwstr>
  </property>
  <property fmtid="{D5CDD505-2E9C-101B-9397-08002B2CF9AE}" pid="5" name="UserPermID">
    <vt:lpwstr>urn:user:PA186186283</vt:lpwstr>
  </property>
</Properties>
</file>