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Haigler v. Fischer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2023, Decided; May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17-CV-574-(RJA)(HKS)</w:t>
      </w:r>
    </w:p>
    <w:p>
      <w:pPr>
        <w:keepNext w:val="0"/>
        <w:spacing w:after="0" w:line="240" w:lineRule="atLeast"/>
        <w:ind w:right="0"/>
        <w:jc w:val="both"/>
      </w:pPr>
      <w:bookmarkStart w:id="0" w:name="Bookmark_2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76688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8114838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HAIGLER, Plaintiff, -v- B. FISCHER,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granted by, Dismissed by </w:t>
      </w:r>
      <w:hyperlink r:id="rId10" w:history="1">
        <w:r>
          <w:rPr>
            <w:rFonts w:ascii="arial" w:eastAsia="arial" w:hAnsi="arial" w:cs="arial"/>
            <w:b w:val="0"/>
            <w:i/>
            <w:strike w:val="0"/>
            <w:noProof w:val="0"/>
            <w:color w:val="0077CC"/>
            <w:position w:val="0"/>
            <w:sz w:val="20"/>
            <w:u w:val="single"/>
            <w:vertAlign w:val="baseline"/>
          </w:rPr>
          <w:t>Haigler v. Bradt, 2023 U.S. Dist. LEXIS 209445 (W.D.N.Y., Nov. 22,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People v. Haigler, 128 A.D.3d 1427, 6 N.Y.S.3d 528, 2015 N.Y. App. Div. LEXIS 3632 (May 1, 2015)</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prison, misbehavior, disciplinary hearing, allegations, equitable tolling, mailbox rule, motion to dismiss, charges, mail, malicious prosecution claim, statute of limitations, recommended, collateral estoppel, sur-reply, amended complaint, habeas proceeding, prison official, pro se, grounds, cases, probable cause, notice, lack of probable cause, malicious, lawsuits, tolling, inmate, documents, litigated, motion to strike</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Captain Coveny, Investigator Spengler, Officer Nolan, Sgt. Bartella, Superintendent Bradt, Defendants: Daniel Ryan Maguire, LEAD ATTORNEY, New York State Attorney General's Office, Buffalo, NY; Joel J. Terragnoli, LEAD ATTORNEY, Hodgson Russ LLP, Buffalo,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Haigler, Plaintiff, Pro se, Bronx, NY.</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 KENNETH SCHROEDER, JR.,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 KENNETH SCHROEDER, JR.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RECOMMENDATION AND ORDER</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This case was referred to the undersigned by the Hon. Richard A. Arcara, in accordance with </w:t>
      </w:r>
      <w:hyperlink r:id="rId12"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for all pretrial matters and to hear and report upon dispositive motions. Dkt. #20.</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Plaintiff Robert Haigler ("Plaintiff" or "Haigler") commenced this action,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bringing various </w:t>
      </w:r>
      <w:hyperlink r:id="rId13"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claims against B. Fischer ("Fischer"), Superintendent Bradt ("Bradt"), Captain Coveny ("Coveny"), Investigator Spengler ("Spengler"), Sgt. Bartella ("Bartella"), and Officer Nolan ("Nolan") (collectively, "Defendants").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 After an initial screening pursuant to </w:t>
      </w:r>
      <w:hyperlink r:id="rId14" w:history="1">
        <w:r>
          <w:rPr>
            <w:rFonts w:ascii="arial" w:eastAsia="arial" w:hAnsi="arial" w:cs="arial"/>
            <w:b w:val="0"/>
            <w:i/>
            <w:strike w:val="0"/>
            <w:noProof w:val="0"/>
            <w:color w:val="0077CC"/>
            <w:position w:val="0"/>
            <w:sz w:val="20"/>
            <w:u w:val="single"/>
            <w:vertAlign w:val="baseline"/>
          </w:rPr>
          <w:t>28 U.S.C. § 1915(e)(2)(B)</w:t>
        </w:r>
      </w:hyperlink>
      <w:r>
        <w:rPr>
          <w:rFonts w:ascii="arial" w:eastAsia="arial" w:hAnsi="arial" w:cs="arial"/>
          <w:b w:val="0"/>
          <w:i w:val="0"/>
          <w:strike w:val="0"/>
          <w:noProof w:val="0"/>
          <w:color w:val="000000"/>
          <w:position w:val="0"/>
          <w:sz w:val="20"/>
          <w:u w:val="none"/>
          <w:vertAlign w:val="baseline"/>
        </w:rPr>
        <w:t xml:space="preserve"> and § 1915A, Dkt. #8, Plaintiff filed an amended complaint, Dkt. #15. After a screening of the amended complaint, Plaintiff's remaining claims include: 1) an </w:t>
      </w:r>
      <w:hyperlink r:id="rId1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excessive force claim against Bartella ("Claim One"); 2) a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against Bartella ("Claim Two"); 3) an </w:t>
      </w:r>
      <w:hyperlink r:id="rId1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 to protect claim against Nolan ("Claim Three"); 4) a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against Nolan ("Claim Four"); 5) a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denial of visitation claim against Bradt ("Claim Five"); 6) a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malicious prosecution claim against Spengler ("Claim Six"); and 7) a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 against Coveny ("Claim Seven").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#16.</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Before this Court now is Defendants' motion to dismiss the amended complaint pursuant to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Dkt. #19. Defendants have also filed a motion to strike, Dkt. #34, in response to Plaintiff's sur-reply in opposition to their motion to dismiss, Dkt. #33. For the following reasons, it is recommended that the motion to strike be granted, and the motion to dismiss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 xml:space="preserve">The following facts are allegations from Plaintiff's amended complaint, Dkt. #15, and are accepted as true for purposes of this motion, </w:t>
      </w:r>
      <w:hyperlink r:id="rId19" w:history="1">
        <w:r>
          <w:rPr>
            <w:rFonts w:ascii="arial" w:eastAsia="arial" w:hAnsi="arial" w:cs="arial"/>
            <w:b w:val="0"/>
            <w:i/>
            <w:strike w:val="0"/>
            <w:noProof w:val="0"/>
            <w:color w:val="0077CC"/>
            <w:position w:val="0"/>
            <w:sz w:val="20"/>
            <w:u w:val="single"/>
            <w:vertAlign w:val="baseline"/>
          </w:rPr>
          <w:t>Ashcroft v. Iqbal</w:t>
        </w:r>
      </w:hyperlink>
      <w:hyperlink r:id="rId19"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Plaintiff was a prisoner at Attica Correctional Facility from November of 2011 to February of 2013. Dkt. #15 ¶ 1. On January 7, 2013, Plaintiff went to the prison's medical area to try and speak with someone about his current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Plaintiff was restrained and taken to another part of the facilities by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Bartella and Nolan.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Nolan began questioning Plaintiff about whether he was there to file a grievance about prison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Nolan and Bartella proceeded to beat Plaintiff to the point where he needed medical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has also subsequently claimed to suffer memory loss and other long term brain issues from the beating.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23. After the assault, Plaintiff told Nolan and Bartella that he would file a grievance against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Bartella told Nolan not to worry about the grievance, as long as they wrote up Plaintiff first.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Plaintiff subsequently received a "Tier-III M-Report" on January 7, 2013 (the "First Misbehavior Report"), charging him with drug possession,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visiting room violations. Dkt. #1 ¶ 2. On January 15, 2013, Plaintiff attended a disciplinary hearing for these charges (the "January 2013 Disciplinary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3. These charges were ultimately dismissed and expunged from Plaintiff's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January 30, 2013, Plaintiff received another Tier-III M-Report (the "Second Misbehavior Report") written by Spengler. Dkt. #15 ¶ 4. Plaintiff states that this report was false, contained few details about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alleged charges, and failed to comport with investigative procedures.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 xml:space="preserve">On February 12, 2013, Plaintiff attended the disciplinary hearing for these charges (the "February 2013 Disciplinary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Coveny was the designated hearing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There, Coveny informed Plaintiff that the previous charges from the First Misbehavior Report had been dismissed.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alleges several issues with the February 2013 Disciplinary Hearing. First, Coveny did not allow him to call witnesses and present certain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 Second, Coveny was biased by his knowledge of Plaintiff's January 2013 Disciplinary Hearing, and by being exposed to the contents of the First Misbehavior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Third, Spengler gave false testimony during the hearing about her investigation behind the Second Misbehavior Report and lied about her reliance on the First Misbehavior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fourth, Coveny ultimately found Plaintiff guilty despite a lack of evidence.</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 xml:space="preserve">Coveny instituted several punishments, including the loss of good time and visitation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Spengler also initiated criminal proceedings against Plaintiff in state court for the alleged conduct addressed in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Plaintiff pled guilty to the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plea was ultimately reversed on appeal, and the charges were dismissed.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People v. Haigler</w:t>
      </w:r>
      <w:r>
        <w:rPr>
          <w:rFonts w:ascii="arial" w:eastAsia="arial" w:hAnsi="arial" w:cs="arial"/>
          <w:b w:val="0"/>
          <w:i/>
          <w:strike w:val="0"/>
          <w:noProof w:val="0"/>
          <w:color w:val="000000"/>
          <w:position w:val="0"/>
          <w:sz w:val="20"/>
          <w:u w:val="none"/>
          <w:vertAlign w:val="baseline"/>
        </w:rPr>
        <w:t>, 128 A.D.3d 1427, 1427, 6 N.Y.S.3d 528 (4th Dep't 2015)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On November 7, 2013, Plaintiff attempted to file a complaint with this Court by delivering a complaint to the prison's law library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 However, the next day, Plaintiff was confronted by Coveny.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 Coveny showed Plaintiff that he had intercepted the complaint, and told him that he would ensure no legal material regarding the February 2013 Disciplinary Hearing or its subject matter would be able to be sent from the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was then targeted and harassed by officers in the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 He attempted to mail another complaint on March 31, 2014,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it was never received by this Court. After this, he was subjected to an assortment of mistreatment by prison officials, including the seizure of his various legal materials.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Plaintiff also claims that during this time his head injuries worsened, causing him to forget key facts from the incident, forget to send legal material in connection with his case, and physically preventing him from sending material.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21-23.</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Plaintiff was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eventually able to file a complaint with this Court on June 26, 2017, alleging an assortment of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 This Court subsequently screened the complaint and demanded Plaintiff file an amended complaint addressing why he failed to file within the statute of limitations period. Dkt. #8. Plaintiff's amended complaint, Dkt. #15, alleged enough additional facts regarding his failure to file within the statutory period to pass another screening, Dkt. #16. Defendants subsequently moved to dismiss the complaint on July 31, 2018. Dkt. #19. Plaintiff filed his opposition on February 12, 2019. Dkt. #30; Dkt. #31. Defendants filed their reply on February 28, 2019. Dkt. #32.</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Plaintiff filed a sur-reply on March 29, 2019, without requesting permission from the Court. Dkt. #33. Defendants subsequently moved to strike this sur-reply on April 9, 2019. Dkt. #34. Plaintiff filed his opposition to this motion on May 10, 2019. Dkt. #35. Before this Court now are Defendants' motion to dismiss and motion to strike.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STANDARDS</w:t>
      </w:r>
    </w:p>
    <w:p>
      <w:pPr>
        <w:keepNext w:val="0"/>
        <w:spacing w:before="24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To survive a motion to dismiss pursuant </w:t>
      </w:r>
      <w:r>
        <w:rPr>
          <w:rFonts w:ascii="arial" w:eastAsia="arial" w:hAnsi="arial" w:cs="arial"/>
          <w:b w:val="0"/>
          <w:i/>
          <w:strike w:val="0"/>
          <w:noProof w:val="0"/>
          <w:color w:val="000000"/>
          <w:position w:val="0"/>
          <w:sz w:val="20"/>
          <w:u w:val="none"/>
          <w:vertAlign w:val="baseline"/>
        </w:rPr>
        <w:t>Rule 12(b)(6) of the Federal Rules of Civil Procedure</w:t>
      </w:r>
      <w:r>
        <w:rPr>
          <w:rFonts w:ascii="arial" w:eastAsia="arial" w:hAnsi="arial" w:cs="arial"/>
          <w:b w:val="0"/>
          <w:i w:val="0"/>
          <w:strike w:val="0"/>
          <w:noProof w:val="0"/>
          <w:color w:val="000000"/>
          <w:position w:val="0"/>
          <w:sz w:val="20"/>
          <w:u w:val="none"/>
          <w:vertAlign w:val="baseline"/>
        </w:rPr>
        <w:t>, "a complaint must contain sufficient factual matter, accepted as true, to 'state a claim to relief that is plausible on its face.'"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Iqbal</w:t>
        </w:r>
      </w:hyperlink>
      <w:hyperlink r:id="rId19"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Bell Atlantic v. Twombly</w:t>
        </w:r>
      </w:hyperlink>
      <w:hyperlink r:id="rId20"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claim has facial plausibility when the plaintiff pleads factual content that allows the court to draw the reasonable inference that the defendant is liable for the misconduct alleged."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Application of this standard is "a context-specific task that requires the reviewing court to draw on its judicial experience and common sense." </w:t>
      </w:r>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Plausibility "depends on a host of considerations: the full factual picture presented by the complaint, the particular cause of action and its elements, and the existence of alternative explanations so obvious that they render plaintiff's inferences unreasonable." </w:t>
      </w:r>
      <w:hyperlink r:id="rId21" w:history="1">
        <w:r>
          <w:rPr>
            <w:rFonts w:ascii="arial" w:eastAsia="arial" w:hAnsi="arial" w:cs="arial"/>
            <w:b w:val="0"/>
            <w:i/>
            <w:strike w:val="0"/>
            <w:noProof w:val="0"/>
            <w:color w:val="0077CC"/>
            <w:position w:val="0"/>
            <w:sz w:val="20"/>
            <w:u w:val="single"/>
            <w:vertAlign w:val="baseline"/>
          </w:rPr>
          <w:t>L-7 Designs, Inc. v. Old Navy, LLC</w:t>
        </w:r>
      </w:hyperlink>
      <w:hyperlink r:id="rId21" w:history="1">
        <w:r>
          <w:rPr>
            <w:rFonts w:ascii="arial" w:eastAsia="arial" w:hAnsi="arial" w:cs="arial"/>
            <w:b w:val="0"/>
            <w:i/>
            <w:strike w:val="0"/>
            <w:noProof w:val="0"/>
            <w:color w:val="0077CC"/>
            <w:position w:val="0"/>
            <w:sz w:val="20"/>
            <w:u w:val="single"/>
            <w:vertAlign w:val="baseline"/>
          </w:rPr>
          <w:t>, 647 F.3d 419, 430 (2d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 xml:space="preserve">On a motion to dismiss, "[t]he court may also consider . . . documents of which it may take judicial notice." </w:t>
      </w:r>
      <w:hyperlink r:id="rId22" w:history="1">
        <w:r>
          <w:rPr>
            <w:rFonts w:ascii="arial" w:eastAsia="arial" w:hAnsi="arial" w:cs="arial"/>
            <w:b w:val="0"/>
            <w:i/>
            <w:strike w:val="0"/>
            <w:noProof w:val="0"/>
            <w:color w:val="0077CC"/>
            <w:position w:val="0"/>
            <w:sz w:val="20"/>
            <w:u w:val="single"/>
            <w:vertAlign w:val="baseline"/>
          </w:rPr>
          <w:t>Avgerinos v. Palmyra-Macedon Cent. Sch. Dist.</w:t>
        </w:r>
      </w:hyperlink>
      <w:hyperlink r:id="rId22" w:history="1">
        <w:r>
          <w:rPr>
            <w:rFonts w:ascii="arial" w:eastAsia="arial" w:hAnsi="arial" w:cs="arial"/>
            <w:b w:val="0"/>
            <w:i/>
            <w:strike w:val="0"/>
            <w:noProof w:val="0"/>
            <w:color w:val="0077CC"/>
            <w:position w:val="0"/>
            <w:sz w:val="20"/>
            <w:u w:val="single"/>
            <w:vertAlign w:val="baseline"/>
          </w:rPr>
          <w:t>, 690 F. Supp. 2d 115, 124 n.7 (W.D.N.Y. 2010)</w:t>
        </w:r>
      </w:hyperlink>
      <w:r>
        <w:rPr>
          <w:rFonts w:ascii="arial" w:eastAsia="arial" w:hAnsi="arial" w:cs="arial"/>
          <w:b w:val="0"/>
          <w:i w:val="0"/>
          <w:strike w:val="0"/>
          <w:noProof w:val="0"/>
          <w:color w:val="000000"/>
          <w:position w:val="0"/>
          <w:sz w:val="20"/>
          <w:u w:val="none"/>
          <w:vertAlign w:val="baseline"/>
        </w:rPr>
        <w:t xml:space="preserve">. "A court may take judicial notice of a document filed in another court not for the truth of the matters asserted in the other litigation, but rather to establish the fact of such litigation and related filings." </w:t>
      </w:r>
      <w:hyperlink r:id="rId23" w:history="1">
        <w:r>
          <w:rPr>
            <w:rFonts w:ascii="arial" w:eastAsia="arial" w:hAnsi="arial" w:cs="arial"/>
            <w:b w:val="0"/>
            <w:i/>
            <w:strike w:val="0"/>
            <w:noProof w:val="0"/>
            <w:color w:val="0077CC"/>
            <w:position w:val="0"/>
            <w:sz w:val="20"/>
            <w:u w:val="single"/>
            <w:vertAlign w:val="baseline"/>
          </w:rPr>
          <w:t>Int'l Star Class Yacht Racing Ass'n v. Tommy Hilfiger U.S.A., Inc.</w:t>
        </w:r>
      </w:hyperlink>
      <w:hyperlink r:id="rId23" w:history="1">
        <w:r>
          <w:rPr>
            <w:rFonts w:ascii="arial" w:eastAsia="arial" w:hAnsi="arial" w:cs="arial"/>
            <w:b w:val="0"/>
            <w:i/>
            <w:strike w:val="0"/>
            <w:noProof w:val="0"/>
            <w:color w:val="0077CC"/>
            <w:position w:val="0"/>
            <w:sz w:val="20"/>
            <w:u w:val="single"/>
            <w:vertAlign w:val="baseline"/>
          </w:rPr>
          <w:t>, 146 F.3d 66, 70 (2d Cir. 1998)</w:t>
        </w:r>
      </w:hyperlink>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While the Court is "obliged to construe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liberally, particularly when they allege civil rights violations," </w:t>
      </w:r>
      <w:hyperlink r:id="rId24" w:history="1">
        <w:r>
          <w:rPr>
            <w:rFonts w:ascii="arial" w:eastAsia="arial" w:hAnsi="arial" w:cs="arial"/>
            <w:b w:val="0"/>
            <w:i/>
            <w:strike w:val="0"/>
            <w:noProof w:val="0"/>
            <w:color w:val="0077CC"/>
            <w:position w:val="0"/>
            <w:sz w:val="20"/>
            <w:u w:val="single"/>
            <w:vertAlign w:val="baseline"/>
          </w:rPr>
          <w:t>McEachin v. McGuinnis</w:t>
        </w:r>
      </w:hyperlink>
      <w:hyperlink r:id="rId24" w:history="1">
        <w:r>
          <w:rPr>
            <w:rFonts w:ascii="arial" w:eastAsia="arial" w:hAnsi="arial" w:cs="arial"/>
            <w:b w:val="0"/>
            <w:i/>
            <w:strike w:val="0"/>
            <w:noProof w:val="0"/>
            <w:color w:val="0077CC"/>
            <w:position w:val="0"/>
            <w:sz w:val="20"/>
            <w:u w:val="single"/>
            <w:vertAlign w:val="baseline"/>
          </w:rPr>
          <w:t>, 357 F.3d 197, 200 (2d Cir. 2004)</w:t>
        </w:r>
      </w:hyperlink>
      <w:r>
        <w:rPr>
          <w:rFonts w:ascii="arial" w:eastAsia="arial" w:hAnsi="arial" w:cs="arial"/>
          <w:b w:val="0"/>
          <w:i w:val="0"/>
          <w:strike w:val="0"/>
          <w:noProof w:val="0"/>
          <w:color w:val="000000"/>
          <w:position w:val="0"/>
          <w:sz w:val="20"/>
          <w:u w:val="none"/>
          <w:vertAlign w:val="baseline"/>
        </w:rPr>
        <w:t xml:space="preserve">, even pleadings submitted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must satisfy the plausibility standard set forth in </w:t>
      </w:r>
      <w:hyperlink r:id="rId19"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5" w:history="1">
        <w:r>
          <w:rPr>
            <w:rFonts w:ascii="arial" w:eastAsia="arial" w:hAnsi="arial" w:cs="arial"/>
            <w:b w:val="0"/>
            <w:i/>
            <w:strike w:val="0"/>
            <w:noProof w:val="0"/>
            <w:color w:val="0077CC"/>
            <w:position w:val="0"/>
            <w:sz w:val="20"/>
            <w:u w:val="single"/>
            <w:vertAlign w:val="baseline"/>
          </w:rPr>
          <w:t>Harris v. Mills</w:t>
        </w:r>
      </w:hyperlink>
      <w:hyperlink r:id="rId25" w:history="1">
        <w:r>
          <w:rPr>
            <w:rFonts w:ascii="arial" w:eastAsia="arial" w:hAnsi="arial" w:cs="arial"/>
            <w:b w:val="0"/>
            <w:i/>
            <w:strike w:val="0"/>
            <w:noProof w:val="0"/>
            <w:color w:val="0077CC"/>
            <w:position w:val="0"/>
            <w:sz w:val="20"/>
            <w:u w:val="single"/>
            <w:vertAlign w:val="baseline"/>
          </w:rPr>
          <w:t>, 572 F.3d 66, 72 (2d Cir. 2009)</w:t>
        </w:r>
      </w:hyperlink>
      <w:r>
        <w:rPr>
          <w:rFonts w:ascii="arial" w:eastAsia="arial" w:hAnsi="arial" w:cs="arial"/>
          <w:b w:val="0"/>
          <w:i w:val="0"/>
          <w:strike w:val="0"/>
          <w:noProof w:val="0"/>
          <w:color w:val="000000"/>
          <w:position w:val="0"/>
          <w:sz w:val="20"/>
          <w:u w:val="none"/>
          <w:vertAlign w:val="baseline"/>
        </w:rPr>
        <w:t xml:space="preserve"> ("Even after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though, we remain obligated to construe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liberally."). "Specific facts are not necessary," and a plaintiff "need only 'give the defendant fair notice of what the . . . claim is and the grounds upon which it rests.'" </w:t>
      </w:r>
      <w:hyperlink r:id="rId26" w:history="1">
        <w:r>
          <w:rPr>
            <w:rFonts w:ascii="arial" w:eastAsia="arial" w:hAnsi="arial" w:cs="arial"/>
            <w:b w:val="0"/>
            <w:i/>
            <w:strike w:val="0"/>
            <w:noProof w:val="0"/>
            <w:color w:val="0077CC"/>
            <w:position w:val="0"/>
            <w:sz w:val="20"/>
            <w:u w:val="single"/>
            <w:vertAlign w:val="baseline"/>
          </w:rPr>
          <w:t>Erickson v. Pardus</w:t>
        </w:r>
      </w:hyperlink>
      <w:hyperlink r:id="rId26" w:history="1">
        <w:r>
          <w:rPr>
            <w:rFonts w:ascii="arial" w:eastAsia="arial" w:hAnsi="arial" w:cs="arial"/>
            <w:b w:val="0"/>
            <w:i/>
            <w:strike w:val="0"/>
            <w:noProof w:val="0"/>
            <w:color w:val="0077CC"/>
            <w:position w:val="0"/>
            <w:sz w:val="20"/>
            <w:u w:val="single"/>
            <w:vertAlign w:val="baseline"/>
          </w:rPr>
          <w:t>, 551 U.S. 89, 93, 127 S. Ct. 2197, 167 L. Ed. 2d 1081 (2007)</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Twombly</w:t>
        </w:r>
      </w:hyperlink>
      <w:hyperlink r:id="rId20"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7" w:history="1">
        <w:r>
          <w:rPr>
            <w:rFonts w:ascii="arial" w:eastAsia="arial" w:hAnsi="arial" w:cs="arial"/>
            <w:b w:val="0"/>
            <w:i/>
            <w:strike w:val="0"/>
            <w:noProof w:val="0"/>
            <w:color w:val="0077CC"/>
            <w:position w:val="0"/>
            <w:sz w:val="20"/>
            <w:u w:val="single"/>
            <w:vertAlign w:val="baseline"/>
          </w:rPr>
          <w:t>Boykin v. Keycorp</w:t>
        </w:r>
      </w:hyperlink>
      <w:hyperlink r:id="rId27" w:history="1">
        <w:r>
          <w:rPr>
            <w:rFonts w:ascii="arial" w:eastAsia="arial" w:hAnsi="arial" w:cs="arial"/>
            <w:b w:val="0"/>
            <w:i/>
            <w:strike w:val="0"/>
            <w:noProof w:val="0"/>
            <w:color w:val="0077CC"/>
            <w:position w:val="0"/>
            <w:sz w:val="20"/>
            <w:u w:val="single"/>
            <w:vertAlign w:val="baseline"/>
          </w:rPr>
          <w:t>, 521 F.3d 202, 213 (2d Cir. 2008)</w:t>
        </w:r>
      </w:hyperlink>
      <w:r>
        <w:rPr>
          <w:rFonts w:ascii="arial" w:eastAsia="arial" w:hAnsi="arial" w:cs="arial"/>
          <w:b w:val="0"/>
          <w:i w:val="0"/>
          <w:strike w:val="0"/>
          <w:noProof w:val="0"/>
          <w:color w:val="000000"/>
          <w:position w:val="0"/>
          <w:sz w:val="20"/>
          <w:u w:val="none"/>
          <w:vertAlign w:val="baseline"/>
        </w:rPr>
        <w:t xml:space="preserve"> (discussing pleading standard in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cases after </w:t>
      </w:r>
      <w:hyperlink r:id="rId20"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"even after </w:t>
      </w:r>
      <w:hyperlink r:id="rId20" w:history="1">
        <w:r>
          <w:rPr>
            <w:rFonts w:ascii="arial" w:eastAsia="arial" w:hAnsi="arial" w:cs="arial"/>
            <w:b w:val="0"/>
            <w:i/>
            <w:strike w:val="0"/>
            <w:noProof w:val="0"/>
            <w:color w:val="0077CC"/>
            <w:position w:val="0"/>
            <w:sz w:val="20"/>
            <w:u w:val="single"/>
            <w:vertAlign w:val="baseline"/>
          </w:rPr>
          <w:t>Twombly</w:t>
        </w:r>
      </w:hyperlink>
      <w:r>
        <w:rPr>
          <w:rFonts w:ascii="arial" w:eastAsia="arial" w:hAnsi="arial" w:cs="arial"/>
          <w:b w:val="0"/>
          <w:i w:val="0"/>
          <w:strike w:val="0"/>
          <w:noProof w:val="0"/>
          <w:color w:val="000000"/>
          <w:position w:val="0"/>
          <w:sz w:val="20"/>
          <w:u w:val="none"/>
          <w:vertAlign w:val="baseline"/>
        </w:rPr>
        <w:t xml:space="preserve">, dismissal of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claim as insufficiently pleaded is appropriate only in the most unsustainable of cases.").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 AND ANALYSIS</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This Court recommends granting Defendants' motion to strike because Plaintiff failed to request permission to file a sur-reply pursuant to Loc. R. Civ. P. 7(a)(6). Even if he had, the additional arguments raised in the sur-reply have no bearing on this Court's assessment of the motion to dismiss below.</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 xml:space="preserve">Defendants assert four grounds for dismissal. First, they argue that Claims One through Five must be dismissed because Plaintiff's June 26, 2017, complaint fails to fall within the statute of limitation period for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and no tolling grounds apply. Dkt. #19-1 at 6-12. Second, they argue that Claim Five must alternatively be dismissed because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 of association claims do not apply to prisoners when visitation rights are taken as a disciplinary measure.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Third, they argue that Claim Seven is precluded by collateral estoppel due to Plaintiff's prior habeas corpus proceeding.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12-16. And fourth, they argue that Claim Six must be dismissed because allegations of false misbehavior reports fail to establish a malicious prosecution claim, collateral estoppel bars Plaintiff from establishing a lack of probable cause, and/or Plaintiff fails to allege the elements of malicious prosecution.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17-24. These arguments are addressed in turn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Motion to Strike</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 xml:space="preserve">Defendants argue that Plaintiff's sur-reply in support of his opposition to their motion to dismiss was improper, since Plaintiff never properly sought permission from this Court to do so and Defendants did not raise any new arguments in their reply. Dkt. #34. The local rules state that "[a]bsent permission of the Judge hearing the motion, sur-reply papers are not permitted." Loc. R. Civ. P. 7(a)(6). Defendant never sought permission from this Court to file a sur-reply. Likewise, Defendants do not raise any new arguments in their reply that warrant granting permission to Plaintiff to file additional material.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#32. Plaintiff, in his opposition papers to the motion to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strike, Dkt. #35, merely attempts to further explain the facts he has already set forth in his opposition. Because he raises no explanation for why he failed to seek this Court's permission or why a sur-reply is necessary, Defendants motion to strike should be granted.</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xml:space="preserve">However, irrespective of whether the motion to strike is granted or denied, Plaintiff's sur-reply would have no bearing on this Court's analysis of the motion to dismiss. Plaintiff's sur-reply sets forth additional grounds for supporting the allegation that he attempted to mail a complaint in this case on November 7, 2013.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#33 at 2-6. For the reasons stated below, it cannot be disputed that Plaintiff attempted to mail a complaint on this date at the motion to dismiss stage.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 xml:space="preserve"> Section II(a). Additional evidence to support this point does nothing to address the inapplicability of the prison mailbox rule discussed below. Furthermore, the sur-reply argues additional evidence in support of Plaintiff's equitable tolling argument.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#33 at 6-10. However, these allegations regarding his medical condition and interference by Defendants are already asserted in his amended complaint, and fail to address how</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Plaintiff was capable of filing other lawsuits during the time period he is claiming equitable tolling. Accordingly, the sur-reply has no bearing on this Court's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Statute of Limitations</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Defendants argue that Claims One through Five are barred by the three-year statute of limitations period for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6-12. Furthermore, they assert that the equitable tolling grounds that Plaintiff invokes in the amended complaint do not apply.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Plaintiff's claims do not fall within the three-year statutory period because Plaintiff cannot invoke the "prison mailbox rule" under these circumstances. Furthermore, Plaintiff cannot invoke equitable tolling of his claims due to his numerous other court filings during the statutory period. Accordingly, it is recommended that Claims One through Five be dismissed for failing to comport with the statute of limitations.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Statutory Period</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 xml:space="preserve">Claims One through Five are all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which have a three-year statute of limitations period. </w:t>
      </w:r>
      <w:hyperlink r:id="rId28" w:history="1">
        <w:r>
          <w:rPr>
            <w:rFonts w:ascii="arial" w:eastAsia="arial" w:hAnsi="arial" w:cs="arial"/>
            <w:b w:val="0"/>
            <w:i/>
            <w:strike w:val="0"/>
            <w:noProof w:val="0"/>
            <w:color w:val="0077CC"/>
            <w:position w:val="0"/>
            <w:sz w:val="20"/>
            <w:u w:val="single"/>
            <w:vertAlign w:val="baseline"/>
          </w:rPr>
          <w:t>Hogan v. Fischer</w:t>
        </w:r>
      </w:hyperlink>
      <w:hyperlink r:id="rId28" w:history="1">
        <w:r>
          <w:rPr>
            <w:rFonts w:ascii="arial" w:eastAsia="arial" w:hAnsi="arial" w:cs="arial"/>
            <w:b w:val="0"/>
            <w:i/>
            <w:strike w:val="0"/>
            <w:noProof w:val="0"/>
            <w:color w:val="0077CC"/>
            <w:position w:val="0"/>
            <w:sz w:val="20"/>
            <w:u w:val="single"/>
            <w:vertAlign w:val="baseline"/>
          </w:rPr>
          <w:t>, 738 F.3d 509, 517 (2d Cir. 2013)</w:t>
        </w:r>
      </w:hyperlink>
      <w:r>
        <w:rPr>
          <w:rFonts w:ascii="arial" w:eastAsia="arial" w:hAnsi="arial" w:cs="arial"/>
          <w:b w:val="0"/>
          <w:i w:val="0"/>
          <w:strike w:val="0"/>
          <w:noProof w:val="0"/>
          <w:color w:val="000000"/>
          <w:position w:val="0"/>
          <w:sz w:val="20"/>
          <w:u w:val="none"/>
          <w:vertAlign w:val="baseline"/>
        </w:rPr>
        <w:t xml:space="preserve">. As this Court discussed previously, the conduct giving rise to Plaintiff's Claims One through Five occurred in January of 2013.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#16 at 5, 11, 12. Accordingly, without any tolling grounds, Plaintiff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required to file his claims in January of 2016 or earlier.</w:t>
      </w:r>
    </w:p>
    <w:p>
      <w:pPr>
        <w:keepNext w:val="0"/>
        <w:spacing w:before="200" w:after="0" w:line="260" w:lineRule="atLeast"/>
        <w:ind w:left="0" w:right="0" w:firstLine="0"/>
        <w:jc w:val="both"/>
      </w:pPr>
      <w:bookmarkStart w:id="29" w:name="Bookmark_para_20"/>
      <w:bookmarkEnd w:id="29"/>
      <w:bookmarkStart w:id="30" w:name="Bookmark_I685M9F528T3X60050000400"/>
      <w:bookmarkEnd w:id="30"/>
      <w:r>
        <w:rPr>
          <w:rFonts w:ascii="arial" w:eastAsia="arial" w:hAnsi="arial" w:cs="arial"/>
          <w:b w:val="0"/>
          <w:i w:val="0"/>
          <w:strike w:val="0"/>
          <w:noProof w:val="0"/>
          <w:color w:val="000000"/>
          <w:position w:val="0"/>
          <w:sz w:val="20"/>
          <w:u w:val="none"/>
          <w:vertAlign w:val="baseline"/>
        </w:rPr>
        <w:t xml:space="preserve">Ordinarily,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"is deemed filed for statute of limitations and similar purposes when received by the Court's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Office." </w:t>
      </w:r>
      <w:hyperlink r:id="rId29" w:history="1">
        <w:r>
          <w:rPr>
            <w:rFonts w:ascii="arial" w:eastAsia="arial" w:hAnsi="arial" w:cs="arial"/>
            <w:b w:val="0"/>
            <w:i/>
            <w:strike w:val="0"/>
            <w:noProof w:val="0"/>
            <w:color w:val="0077CC"/>
            <w:position w:val="0"/>
            <w:sz w:val="20"/>
            <w:u w:val="single"/>
            <w:vertAlign w:val="baseline"/>
          </w:rPr>
          <w:t>McAllister v. New York City Police Dep't</w:t>
        </w:r>
      </w:hyperlink>
      <w:hyperlink r:id="rId29" w:history="1">
        <w:r>
          <w:rPr>
            <w:rFonts w:ascii="arial" w:eastAsia="arial" w:hAnsi="arial" w:cs="arial"/>
            <w:b w:val="0"/>
            <w:i/>
            <w:strike w:val="0"/>
            <w:noProof w:val="0"/>
            <w:color w:val="0077CC"/>
            <w:position w:val="0"/>
            <w:sz w:val="20"/>
            <w:u w:val="single"/>
            <w:vertAlign w:val="baseline"/>
          </w:rPr>
          <w:t>, No. 97 CIV. 7420 KMW AJP, 1998 U.S. Dist. LEXIS 8847, 1998 WL 314732, at *1 (S.D.N.Y. June 15, 1998)</w:t>
        </w:r>
      </w:hyperlink>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Fletcher v. Runyon</w:t>
      </w:r>
      <w:r>
        <w:rPr>
          <w:rFonts w:ascii="arial" w:eastAsia="arial" w:hAnsi="arial" w:cs="arial"/>
          <w:b w:val="0"/>
          <w:i/>
          <w:strike w:val="0"/>
          <w:noProof w:val="0"/>
          <w:color w:val="000000"/>
          <w:position w:val="0"/>
          <w:sz w:val="20"/>
          <w:u w:val="none"/>
          <w:vertAlign w:val="baseline"/>
        </w:rPr>
        <w:t>, 980 F. Supp. 720, 721-22 (S.D.N.Y. 1997)</w:t>
      </w:r>
      <w:r>
        <w:rPr>
          <w:rFonts w:ascii="arial" w:eastAsia="arial" w:hAnsi="arial" w:cs="arial"/>
          <w:b w:val="0"/>
          <w:i w:val="0"/>
          <w:strike w:val="0"/>
          <w:noProof w:val="0"/>
          <w:color w:val="000000"/>
          <w:position w:val="0"/>
          <w:sz w:val="20"/>
          <w:u w:val="none"/>
          <w:vertAlign w:val="baseline"/>
        </w:rPr>
        <w:t xml:space="preserve">); </w:t>
      </w:r>
      <w:bookmarkStart w:id="31" w:name="Bookmark_I696TKSJ2SF8HW0010000400"/>
      <w:bookmarkEnd w:id="31"/>
      <w:hyperlink r:id="rId30" w:history="1">
        <w:r>
          <w:rPr>
            <w:rFonts w:ascii="arial" w:eastAsia="arial" w:hAnsi="arial" w:cs="arial"/>
            <w:b w:val="0"/>
            <w:i/>
            <w:strike w:val="0"/>
            <w:noProof w:val="0"/>
            <w:color w:val="0077CC"/>
            <w:position w:val="0"/>
            <w:sz w:val="20"/>
            <w:u w:val="single"/>
            <w:vertAlign w:val="baseline"/>
          </w:rPr>
          <w:t>Manley v. New York City Police Dep't</w:t>
        </w:r>
      </w:hyperlink>
      <w:hyperlink r:id="rId30" w:history="1">
        <w:r>
          <w:rPr>
            <w:rFonts w:ascii="arial" w:eastAsia="arial" w:hAnsi="arial" w:cs="arial"/>
            <w:b w:val="0"/>
            <w:i/>
            <w:strike w:val="0"/>
            <w:noProof w:val="0"/>
            <w:color w:val="0077CC"/>
            <w:position w:val="0"/>
            <w:sz w:val="20"/>
            <w:u w:val="single"/>
            <w:vertAlign w:val="baseline"/>
          </w:rPr>
          <w:t>, No. CV-05-679(FBLB), 2005 U.S. Dist. LEXIS 24379, 2005 WL 2664220, at *3 (E.D.N.Y. Oct. 19, 2005)</w:t>
        </w:r>
      </w:hyperlink>
      <w:r>
        <w:rPr>
          <w:rFonts w:ascii="arial" w:eastAsia="arial" w:hAnsi="arial" w:cs="arial"/>
          <w:b w:val="0"/>
          <w:i w:val="0"/>
          <w:strike w:val="0"/>
          <w:noProof w:val="0"/>
          <w:color w:val="000000"/>
          <w:position w:val="0"/>
          <w:sz w:val="20"/>
          <w:u w:val="none"/>
          <w:vertAlign w:val="baseline"/>
        </w:rPr>
        <w:t xml:space="preserve">. Plaintiff's complaint in this case was filed on June 26, 2017, after the three-year deadline in January of 2016 had passed.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 Accordingly, under the ordinary rule, Plaintiff's claims would be time-barred.</w:t>
      </w:r>
    </w:p>
    <w:p>
      <w:pPr>
        <w:keepNext w:val="0"/>
        <w:spacing w:before="240" w:after="0" w:line="260" w:lineRule="atLeast"/>
        <w:ind w:left="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 xml:space="preserve">However, prisoner filings are subject to a different rule. In </w:t>
      </w:r>
      <w:hyperlink r:id="rId31" w:history="1">
        <w:r>
          <w:rPr>
            <w:rFonts w:ascii="arial" w:eastAsia="arial" w:hAnsi="arial" w:cs="arial"/>
            <w:b w:val="0"/>
            <w:i/>
            <w:strike w:val="0"/>
            <w:noProof w:val="0"/>
            <w:color w:val="0077CC"/>
            <w:position w:val="0"/>
            <w:sz w:val="20"/>
            <w:u w:val="single"/>
            <w:vertAlign w:val="baseline"/>
          </w:rPr>
          <w:t>Houston v. Lack</w:t>
        </w:r>
      </w:hyperlink>
      <w:r>
        <w:rPr>
          <w:rFonts w:ascii="arial" w:eastAsia="arial" w:hAnsi="arial" w:cs="arial"/>
          <w:b w:val="0"/>
          <w:i w:val="0"/>
          <w:strike w:val="0"/>
          <w:noProof w:val="0"/>
          <w:color w:val="000000"/>
          <w:position w:val="0"/>
          <w:sz w:val="20"/>
          <w:u w:val="none"/>
          <w:vertAlign w:val="baseline"/>
        </w:rPr>
        <w:t xml:space="preserve">, the Supreme Court held that a prisoner's notice of appeal to a court is deemed filed when "delivered . . . to prison authorities for forwarding to the District Court," not when it is actually filed with the district court. </w:t>
      </w:r>
      <w:hyperlink r:id="rId31" w:history="1">
        <w:r>
          <w:rPr>
            <w:rFonts w:ascii="arial" w:eastAsia="arial" w:hAnsi="arial" w:cs="arial"/>
            <w:b w:val="0"/>
            <w:i/>
            <w:strike w:val="0"/>
            <w:noProof w:val="0"/>
            <w:color w:val="0077CC"/>
            <w:position w:val="0"/>
            <w:sz w:val="20"/>
            <w:u w:val="single"/>
            <w:vertAlign w:val="baseline"/>
          </w:rPr>
          <w:t>Houston v. Lack</w:t>
        </w:r>
      </w:hyperlink>
      <w:hyperlink r:id="rId31" w:history="1">
        <w:r>
          <w:rPr>
            <w:rFonts w:ascii="arial" w:eastAsia="arial" w:hAnsi="arial" w:cs="arial"/>
            <w:b w:val="0"/>
            <w:i/>
            <w:strike w:val="0"/>
            <w:noProof w:val="0"/>
            <w:color w:val="0077CC"/>
            <w:position w:val="0"/>
            <w:sz w:val="20"/>
            <w:u w:val="single"/>
            <w:vertAlign w:val="baseline"/>
          </w:rPr>
          <w:t>, 487 U.S. 266, 270, 108 S. Ct. 2379, 101 L. Ed. 2d 245 (1988)</w:t>
        </w:r>
      </w:hyperlink>
      <w:r>
        <w:rPr>
          <w:rFonts w:ascii="arial" w:eastAsia="arial" w:hAnsi="arial" w:cs="arial"/>
          <w:b w:val="0"/>
          <w:i w:val="0"/>
          <w:strike w:val="0"/>
          <w:noProof w:val="0"/>
          <w:color w:val="000000"/>
          <w:position w:val="0"/>
          <w:sz w:val="20"/>
          <w:u w:val="none"/>
          <w:vertAlign w:val="baseline"/>
        </w:rPr>
        <w:t>. The Supreme Court reasoned that:</w:t>
      </w:r>
    </w:p>
    <w:p>
      <w:pPr>
        <w:keepNext w:val="0"/>
        <w:spacing w:before="200" w:after="0" w:line="260" w:lineRule="atLeast"/>
        <w:ind w:left="40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 xml:space="preserve">[t]he situation of prisoners seeking to appeal without the aid of counsel is unique. Such prisoners cannot take the steps other litigants can take to monitor the processing of their notices of appeal and to ensure that the court clerk receives and stamps their notices of appeal before the 30-day deadline. Unlike other litigants,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prisoners cannot personally travel to the courthouse to see that the notice is stamped "filed" or to establish</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date on which the court received the notice. Other litigants may choose to entrust their appeals to the vagaries of the mail and the clerk's process for stamping incoming papers, but only the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prisoner is forced to do so by his situation.</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Id.</w:t>
        </w:r>
      </w:hyperlink>
      <w:hyperlink r:id="rId31" w:history="1">
        <w:r>
          <w:rPr>
            <w:rFonts w:ascii="arial" w:eastAsia="arial" w:hAnsi="arial" w:cs="arial"/>
            <w:b w:val="0"/>
            <w:i/>
            <w:strike w:val="0"/>
            <w:color w:val="0077CC"/>
            <w:sz w:val="20"/>
            <w:u w:val="single"/>
            <w:vertAlign w:val="baseline"/>
          </w:rPr>
          <w:t xml:space="preserve"> at 270-71</w:t>
        </w:r>
      </w:hyperlink>
      <w:r>
        <w:rPr>
          <w:rFonts w:ascii="arial" w:eastAsia="arial" w:hAnsi="arial" w:cs="arial"/>
          <w:b w:val="0"/>
          <w:i w:val="0"/>
          <w:strike w:val="0"/>
          <w:noProof w:val="0"/>
          <w:color w:val="000000"/>
          <w:position w:val="0"/>
          <w:sz w:val="20"/>
          <w:u w:val="none"/>
          <w:vertAlign w:val="baseline"/>
        </w:rPr>
        <w:t xml:space="preserve">. This "prison mailbox rule" has since been applied to prisoners who file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complaints.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Dory v. Ryan</w:t>
        </w:r>
      </w:hyperlink>
      <w:hyperlink r:id="rId32" w:history="1">
        <w:r>
          <w:rPr>
            <w:rFonts w:ascii="arial" w:eastAsia="arial" w:hAnsi="arial" w:cs="arial"/>
            <w:b w:val="0"/>
            <w:i/>
            <w:strike w:val="0"/>
            <w:noProof w:val="0"/>
            <w:color w:val="0077CC"/>
            <w:position w:val="0"/>
            <w:sz w:val="20"/>
            <w:u w:val="single"/>
            <w:vertAlign w:val="baseline"/>
          </w:rPr>
          <w:t>, 999 F.2d 679, 682 (2d Cir. 1993)</w:t>
        </w:r>
      </w:hyperlink>
      <w:r>
        <w:rPr>
          <w:rFonts w:ascii="arial" w:eastAsia="arial" w:hAnsi="arial" w:cs="arial"/>
          <w:b w:val="0"/>
          <w:i w:val="0"/>
          <w:strike w:val="0"/>
          <w:noProof w:val="0"/>
          <w:color w:val="000000"/>
          <w:position w:val="0"/>
          <w:sz w:val="20"/>
          <w:u w:val="none"/>
          <w:vertAlign w:val="baseline"/>
        </w:rPr>
        <w:t xml:space="preserve">. Absent other evidence, there is a presumption that a complaint was given to prison officials for mailing on the date that the prisoner signed it. </w:t>
      </w:r>
      <w:hyperlink r:id="rId33" w:history="1">
        <w:r>
          <w:rPr>
            <w:rFonts w:ascii="arial" w:eastAsia="arial" w:hAnsi="arial" w:cs="arial"/>
            <w:b w:val="0"/>
            <w:i/>
            <w:strike w:val="0"/>
            <w:noProof w:val="0"/>
            <w:color w:val="0077CC"/>
            <w:position w:val="0"/>
            <w:sz w:val="20"/>
            <w:u w:val="single"/>
            <w:vertAlign w:val="baseline"/>
          </w:rPr>
          <w:t>Hardy v. Conway</w:t>
        </w:r>
      </w:hyperlink>
      <w:hyperlink r:id="rId33" w:history="1">
        <w:r>
          <w:rPr>
            <w:rFonts w:ascii="arial" w:eastAsia="arial" w:hAnsi="arial" w:cs="arial"/>
            <w:b w:val="0"/>
            <w:i/>
            <w:strike w:val="0"/>
            <w:noProof w:val="0"/>
            <w:color w:val="0077CC"/>
            <w:position w:val="0"/>
            <w:sz w:val="20"/>
            <w:u w:val="single"/>
            <w:vertAlign w:val="baseline"/>
          </w:rPr>
          <w:t>, 162 F. App'x 61, 62 (2d Cir. 2006)</w:t>
        </w:r>
      </w:hyperlink>
      <w:r>
        <w:rPr>
          <w:rFonts w:ascii="arial" w:eastAsia="arial" w:hAnsi="arial" w:cs="arial"/>
          <w:b w:val="0"/>
          <w:i w:val="0"/>
          <w:strike w:val="0"/>
          <w:noProof w:val="0"/>
          <w:color w:val="000000"/>
          <w:position w:val="0"/>
          <w:sz w:val="20"/>
          <w:u w:val="none"/>
          <w:vertAlign w:val="baseline"/>
        </w:rPr>
        <w:t xml:space="preserve"> ("[I]n the absence of contrary evidence, district courts in this circuit have tended to assume that prisoners' papers were given to prison officials on the date of their signing.") (collecting cases); </w:t>
      </w:r>
      <w:r>
        <w:rPr>
          <w:rFonts w:ascii="arial" w:eastAsia="arial" w:hAnsi="arial" w:cs="arial"/>
          <w:b w:val="0"/>
          <w:i/>
          <w:strike w:val="0"/>
          <w:noProof w:val="0"/>
          <w:color w:val="000000"/>
          <w:position w:val="0"/>
          <w:sz w:val="20"/>
          <w:u w:val="none"/>
          <w:vertAlign w:val="baseline"/>
        </w:rPr>
        <w:t xml:space="preserve">but see </w:t>
      </w:r>
      <w:hyperlink r:id="rId34" w:history="1">
        <w:r>
          <w:rPr>
            <w:rFonts w:ascii="arial" w:eastAsia="arial" w:hAnsi="arial" w:cs="arial"/>
            <w:b w:val="0"/>
            <w:i/>
            <w:strike w:val="0"/>
            <w:noProof w:val="0"/>
            <w:color w:val="0077CC"/>
            <w:position w:val="0"/>
            <w:sz w:val="20"/>
            <w:u w:val="single"/>
            <w:vertAlign w:val="baseline"/>
          </w:rPr>
          <w:t>Evans v. Miller</w:t>
        </w:r>
      </w:hyperlink>
      <w:hyperlink r:id="rId34" w:history="1">
        <w:r>
          <w:rPr>
            <w:rFonts w:ascii="arial" w:eastAsia="arial" w:hAnsi="arial" w:cs="arial"/>
            <w:b w:val="0"/>
            <w:i/>
            <w:strike w:val="0"/>
            <w:noProof w:val="0"/>
            <w:color w:val="0077CC"/>
            <w:position w:val="0"/>
            <w:sz w:val="20"/>
            <w:u w:val="single"/>
            <w:vertAlign w:val="baseline"/>
          </w:rPr>
          <w:t>, No. 04 Civ. 9494(DAB)(DFE), 2008 U.S. Dist. LEXIS 22572, 2008 WL 759357, at *2 (S.D.N.Y. Mar. 21, 2008)</w:t>
        </w:r>
      </w:hyperlink>
      <w:r>
        <w:rPr>
          <w:rFonts w:ascii="arial" w:eastAsia="arial" w:hAnsi="arial" w:cs="arial"/>
          <w:b w:val="0"/>
          <w:i w:val="0"/>
          <w:strike w:val="0"/>
          <w:noProof w:val="0"/>
          <w:color w:val="000000"/>
          <w:position w:val="0"/>
          <w:sz w:val="20"/>
          <w:u w:val="none"/>
          <w:vertAlign w:val="baseline"/>
        </w:rPr>
        <w:t xml:space="preserve"> ("Even where a prisoner has properly declared a timely filing, application of the mailbox rule can be denied in the face of evidence to the contrary.").</w:t>
      </w:r>
    </w:p>
    <w:p>
      <w:pPr>
        <w:keepNext w:val="0"/>
        <w:spacing w:before="200" w:after="0" w:line="260" w:lineRule="atLeast"/>
        <w:ind w:left="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Plaintiff's amended complaint sets forth three acts which could potentially serve as filing dates under the prison mailbox rule: 1) Plaintiff's alleged delivery of a complaint to the Attica prison law clerk in November of 2013, which Plaintiff claims was intercepted by Defendants, Dkt. #15 ¶¶ 11, 12 (the "November 2013 Complaint"); 2) Plaintiff's direct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mailing of a complaint to this Court in March of 2014, allegedly "through paid regular 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 (the "March 2014 Complaint"); and 3) an unspecified filing that Plaintiff was "in the process of sending" in October of 2016, which Plaintiff does not say was ever actually 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 (the "October 2016 Complaint"). The third alleged attempt to file certainly does not satisfy the statute of limitations, since regardless of whether the prison mailbox rule applies, it still falls outside the statutory period. Dkt. #15 ¶ 20.</w:t>
      </w:r>
    </w:p>
    <w:p>
      <w:pPr>
        <w:keepNext w:val="0"/>
        <w:spacing w:before="200" w:after="0" w:line="260" w:lineRule="atLeast"/>
        <w:ind w:left="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 xml:space="preserve">Plaintiff's attempts to mail the November 2013 and March 2014 Complaints also do not satisfy the statute of limitations because the prison mailbox rule does not apply to them. It is unsettled whether courts may apply the prison mailbox rule to establish that an attempted filing is timely even if the filing is never delivered to the court. In </w:t>
      </w:r>
      <w:hyperlink r:id="rId31" w:history="1">
        <w:r>
          <w:rPr>
            <w:rFonts w:ascii="arial" w:eastAsia="arial" w:hAnsi="arial" w:cs="arial"/>
            <w:b w:val="0"/>
            <w:i/>
            <w:strike w:val="0"/>
            <w:noProof w:val="0"/>
            <w:color w:val="0077CC"/>
            <w:position w:val="0"/>
            <w:sz w:val="20"/>
            <w:u w:val="single"/>
            <w:vertAlign w:val="baseline"/>
          </w:rPr>
          <w:t>Houston</w:t>
        </w:r>
      </w:hyperlink>
      <w:r>
        <w:rPr>
          <w:rFonts w:ascii="arial" w:eastAsia="arial" w:hAnsi="arial" w:cs="arial"/>
          <w:b w:val="0"/>
          <w:i w:val="0"/>
          <w:strike w:val="0"/>
          <w:noProof w:val="0"/>
          <w:color w:val="000000"/>
          <w:position w:val="0"/>
          <w:sz w:val="20"/>
          <w:u w:val="none"/>
          <w:vertAlign w:val="baseline"/>
        </w:rPr>
        <w:t xml:space="preserve">, the Supreme Court created the prison mailbox rule in order to compensate for a potentially slow prison delivery process, since unlike other plaintiffs, prisoners are physically incapable of ensuring the speedy delivery of their own filings.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Houston</w:t>
        </w:r>
      </w:hyperlink>
      <w:hyperlink r:id="rId31" w:history="1">
        <w:r>
          <w:rPr>
            <w:rFonts w:ascii="arial" w:eastAsia="arial" w:hAnsi="arial" w:cs="arial"/>
            <w:b w:val="0"/>
            <w:i/>
            <w:strike w:val="0"/>
            <w:noProof w:val="0"/>
            <w:color w:val="0077CC"/>
            <w:position w:val="0"/>
            <w:sz w:val="20"/>
            <w:u w:val="single"/>
            <w:vertAlign w:val="baseline"/>
          </w:rPr>
          <w:t>, 487 U.S. at 270-71</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Noble v. Kelly</w:t>
        </w:r>
      </w:hyperlink>
      <w:hyperlink r:id="rId35" w:history="1">
        <w:r>
          <w:rPr>
            <w:rFonts w:ascii="arial" w:eastAsia="arial" w:hAnsi="arial" w:cs="arial"/>
            <w:b w:val="0"/>
            <w:i/>
            <w:strike w:val="0"/>
            <w:noProof w:val="0"/>
            <w:color w:val="0077CC"/>
            <w:position w:val="0"/>
            <w:sz w:val="20"/>
            <w:u w:val="single"/>
            <w:vertAlign w:val="baseline"/>
          </w:rPr>
          <w:t>, 246 F.3d 93, 97 (2d Cir. 2001)</w:t>
        </w:r>
      </w:hyperlink>
      <w:r>
        <w:rPr>
          <w:rFonts w:ascii="arial" w:eastAsia="arial" w:hAnsi="arial" w:cs="arial"/>
          <w:b w:val="0"/>
          <w:i w:val="0"/>
          <w:strike w:val="0"/>
          <w:noProof w:val="0"/>
          <w:color w:val="000000"/>
          <w:position w:val="0"/>
          <w:sz w:val="20"/>
          <w:u w:val="none"/>
          <w:vertAlign w:val="baseline"/>
        </w:rPr>
        <w:t xml:space="preserve"> ("This 'prison mailbox' rule is justified by the litigant's dependence on</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prison mail system and lack of counsel to assure timely filing with the court."). Applying </w:t>
      </w:r>
      <w:r>
        <w:rPr>
          <w:rFonts w:ascii="arial" w:eastAsia="arial" w:hAnsi="arial" w:cs="arial"/>
          <w:b w:val="0"/>
          <w:i/>
          <w:strike w:val="0"/>
          <w:noProof w:val="0"/>
          <w:color w:val="000000"/>
          <w:position w:val="0"/>
          <w:sz w:val="20"/>
          <w:u w:val="none"/>
          <w:vertAlign w:val="baseline"/>
        </w:rPr>
        <w:t>Houston's</w:t>
      </w:r>
      <w:r>
        <w:rPr>
          <w:rFonts w:ascii="arial" w:eastAsia="arial" w:hAnsi="arial" w:cs="arial"/>
          <w:b w:val="0"/>
          <w:i w:val="0"/>
          <w:strike w:val="0"/>
          <w:noProof w:val="0"/>
          <w:color w:val="000000"/>
          <w:position w:val="0"/>
          <w:sz w:val="20"/>
          <w:u w:val="none"/>
          <w:vertAlign w:val="baseline"/>
        </w:rPr>
        <w:t xml:space="preserve"> rule, which was clearly focused on remedying the unavoidable </w:t>
      </w:r>
      <w:r>
        <w:rPr>
          <w:rFonts w:ascii="arial" w:eastAsia="arial" w:hAnsi="arial" w:cs="arial"/>
          <w:b w:val="0"/>
          <w:i/>
          <w:strike w:val="0"/>
          <w:noProof w:val="0"/>
          <w:color w:val="000000"/>
          <w:position w:val="0"/>
          <w:sz w:val="20"/>
          <w:u w:val="none"/>
          <w:vertAlign w:val="baseline"/>
        </w:rPr>
        <w:t>delays</w:t>
      </w:r>
      <w:r>
        <w:rPr>
          <w:rFonts w:ascii="arial" w:eastAsia="arial" w:hAnsi="arial" w:cs="arial"/>
          <w:b w:val="0"/>
          <w:i w:val="0"/>
          <w:strike w:val="0"/>
          <w:noProof w:val="0"/>
          <w:color w:val="000000"/>
          <w:position w:val="0"/>
          <w:sz w:val="20"/>
          <w:u w:val="none"/>
          <w:vertAlign w:val="baseline"/>
        </w:rPr>
        <w:t xml:space="preserve"> prisoners may face when trying to file court documents, to completely </w:t>
      </w:r>
      <w:r>
        <w:rPr>
          <w:rFonts w:ascii="arial" w:eastAsia="arial" w:hAnsi="arial" w:cs="arial"/>
          <w:b w:val="0"/>
          <w:i/>
          <w:strike w:val="0"/>
          <w:noProof w:val="0"/>
          <w:color w:val="000000"/>
          <w:position w:val="0"/>
          <w:sz w:val="20"/>
          <w:u w:val="none"/>
          <w:vertAlign w:val="baseline"/>
        </w:rPr>
        <w:t>excuse</w:t>
      </w:r>
      <w:r>
        <w:rPr>
          <w:rFonts w:ascii="arial" w:eastAsia="arial" w:hAnsi="arial" w:cs="arial"/>
          <w:b w:val="0"/>
          <w:i w:val="0"/>
          <w:strike w:val="0"/>
          <w:noProof w:val="0"/>
          <w:color w:val="000000"/>
          <w:position w:val="0"/>
          <w:sz w:val="20"/>
          <w:u w:val="none"/>
          <w:vertAlign w:val="baseline"/>
        </w:rPr>
        <w:t xml:space="preserve"> unfiled documents, appears to strain the Supreme Court's reasoning in that case.</w:t>
      </w:r>
    </w:p>
    <w:p>
      <w:pPr>
        <w:keepNext w:val="0"/>
        <w:spacing w:before="240" w:after="0" w:line="260" w:lineRule="atLeast"/>
        <w:ind w:left="0" w:right="0" w:firstLine="0"/>
        <w:jc w:val="both"/>
      </w:pPr>
      <w:bookmarkStart w:id="36" w:name="Bookmark_para_25"/>
      <w:bookmarkEnd w:id="36"/>
      <w:bookmarkStart w:id="37" w:name="Bookmark_I685M9F72D6MVT0010000400"/>
      <w:bookmarkEnd w:id="37"/>
      <w:r>
        <w:rPr>
          <w:rFonts w:ascii="arial" w:eastAsia="arial" w:hAnsi="arial" w:cs="arial"/>
          <w:b w:val="0"/>
          <w:i w:val="0"/>
          <w:strike w:val="0"/>
          <w:noProof w:val="0"/>
          <w:color w:val="000000"/>
          <w:position w:val="0"/>
          <w:sz w:val="20"/>
          <w:u w:val="none"/>
          <w:vertAlign w:val="baseline"/>
        </w:rPr>
        <w:t xml:space="preserve">The Second Circuit has not addressed whether the prison mailbox rule still applies when a plaintiff fails to </w:t>
      </w:r>
      <w:r>
        <w:rPr>
          <w:rFonts w:ascii="arial" w:eastAsia="arial" w:hAnsi="arial" w:cs="arial"/>
          <w:b w:val="0"/>
          <w:i/>
          <w:strike w:val="0"/>
          <w:noProof w:val="0"/>
          <w:color w:val="000000"/>
          <w:position w:val="0"/>
          <w:sz w:val="20"/>
          <w:u w:val="none"/>
          <w:vertAlign w:val="baseline"/>
        </w:rPr>
        <w:t>ever</w:t>
      </w:r>
      <w:r>
        <w:rPr>
          <w:rFonts w:ascii="arial" w:eastAsia="arial" w:hAnsi="arial" w:cs="arial"/>
          <w:b w:val="0"/>
          <w:i w:val="0"/>
          <w:strike w:val="0"/>
          <w:noProof w:val="0"/>
          <w:color w:val="000000"/>
          <w:position w:val="0"/>
          <w:sz w:val="20"/>
          <w:u w:val="none"/>
          <w:vertAlign w:val="baseline"/>
        </w:rPr>
        <w:t xml:space="preserve"> deliver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 filing to a court, as opposed to when a plaintiff timely delivers a filing to prison officials, who in turn fail to relay this material to the court in time. </w:t>
      </w:r>
      <w:r>
        <w:rPr>
          <w:rFonts w:ascii="arial" w:eastAsia="arial" w:hAnsi="arial" w:cs="arial"/>
          <w:b w:val="0"/>
          <w:i/>
          <w:strike w:val="0"/>
          <w:noProof w:val="0"/>
          <w:color w:val="000000"/>
          <w:position w:val="0"/>
          <w:sz w:val="20"/>
          <w:u w:val="none"/>
          <w:vertAlign w:val="baseline"/>
        </w:rPr>
        <w:t xml:space="preserve">See </w:t>
      </w:r>
      <w:hyperlink r:id="rId36" w:history="1">
        <w:r>
          <w:rPr>
            <w:rFonts w:ascii="arial" w:eastAsia="arial" w:hAnsi="arial" w:cs="arial"/>
            <w:b w:val="0"/>
            <w:i/>
            <w:strike w:val="0"/>
            <w:noProof w:val="0"/>
            <w:color w:val="0077CC"/>
            <w:position w:val="0"/>
            <w:sz w:val="20"/>
            <w:u w:val="single"/>
            <w:vertAlign w:val="baseline"/>
          </w:rPr>
          <w:t>Joseph v. Conway</w:t>
        </w:r>
      </w:hyperlink>
      <w:hyperlink r:id="rId36" w:history="1">
        <w:r>
          <w:rPr>
            <w:rFonts w:ascii="arial" w:eastAsia="arial" w:hAnsi="arial" w:cs="arial"/>
            <w:b w:val="0"/>
            <w:i/>
            <w:strike w:val="0"/>
            <w:noProof w:val="0"/>
            <w:color w:val="0077CC"/>
            <w:position w:val="0"/>
            <w:sz w:val="20"/>
            <w:u w:val="single"/>
            <w:vertAlign w:val="baseline"/>
          </w:rPr>
          <w:t>, 567 F. App'x 56, 59 (2d Cir. 2014)</w:t>
        </w:r>
      </w:hyperlink>
      <w:r>
        <w:rPr>
          <w:rFonts w:ascii="arial" w:eastAsia="arial" w:hAnsi="arial" w:cs="arial"/>
          <w:b w:val="0"/>
          <w:i w:val="0"/>
          <w:strike w:val="0"/>
          <w:noProof w:val="0"/>
          <w:color w:val="000000"/>
          <w:position w:val="0"/>
          <w:sz w:val="20"/>
          <w:u w:val="none"/>
          <w:vertAlign w:val="baseline"/>
        </w:rPr>
        <w:t xml:space="preserve"> (Assessing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application, stating that "[i]ndeed, the question whether the prison mailbox rule is available when the state court never receives an alleged filing is unanswered in this Circuit, and other circuits have reached different results. We decline to answer this question on the record before us . . . .") (internal citations omitted) (citing </w:t>
      </w:r>
      <w:bookmarkStart w:id="39" w:name="Bookmark_I685M9F72SF7P20050000400"/>
      <w:bookmarkEnd w:id="39"/>
      <w:hyperlink r:id="rId37" w:history="1">
        <w:r>
          <w:rPr>
            <w:rFonts w:ascii="arial" w:eastAsia="arial" w:hAnsi="arial" w:cs="arial"/>
            <w:b w:val="0"/>
            <w:i/>
            <w:strike w:val="0"/>
            <w:noProof w:val="0"/>
            <w:color w:val="0077CC"/>
            <w:position w:val="0"/>
            <w:sz w:val="20"/>
            <w:u w:val="single"/>
            <w:vertAlign w:val="baseline"/>
          </w:rPr>
          <w:t>Ray v. Clements</w:t>
        </w:r>
      </w:hyperlink>
      <w:hyperlink r:id="rId37" w:history="1">
        <w:r>
          <w:rPr>
            <w:rFonts w:ascii="arial" w:eastAsia="arial" w:hAnsi="arial" w:cs="arial"/>
            <w:b w:val="0"/>
            <w:i/>
            <w:strike w:val="0"/>
            <w:noProof w:val="0"/>
            <w:color w:val="0077CC"/>
            <w:position w:val="0"/>
            <w:sz w:val="20"/>
            <w:u w:val="single"/>
            <w:vertAlign w:val="baseline"/>
          </w:rPr>
          <w:t>, 700 F.3d 993, 1008 (7th Cir. 2012)</w:t>
        </w:r>
      </w:hyperlink>
      <w:r>
        <w:rPr>
          <w:rFonts w:ascii="arial" w:eastAsia="arial" w:hAnsi="arial" w:cs="arial"/>
          <w:b w:val="0"/>
          <w:i w:val="0"/>
          <w:strike w:val="0"/>
          <w:noProof w:val="0"/>
          <w:color w:val="000000"/>
          <w:position w:val="0"/>
          <w:sz w:val="20"/>
          <w:u w:val="none"/>
          <w:vertAlign w:val="baseline"/>
        </w:rPr>
        <w:t xml:space="preserve">; </w:t>
      </w:r>
      <w:bookmarkStart w:id="40" w:name="Bookmark_I685M9F72D6MVT0020000400"/>
      <w:bookmarkEnd w:id="40"/>
      <w:hyperlink r:id="rId38" w:history="1">
        <w:r>
          <w:rPr>
            <w:rFonts w:ascii="arial" w:eastAsia="arial" w:hAnsi="arial" w:cs="arial"/>
            <w:b w:val="0"/>
            <w:i/>
            <w:strike w:val="0"/>
            <w:noProof w:val="0"/>
            <w:color w:val="0077CC"/>
            <w:position w:val="0"/>
            <w:sz w:val="20"/>
            <w:u w:val="single"/>
            <w:vertAlign w:val="baseline"/>
          </w:rPr>
          <w:t>Allen v. Culliver</w:t>
        </w:r>
      </w:hyperlink>
      <w:hyperlink r:id="rId38" w:history="1">
        <w:r>
          <w:rPr>
            <w:rFonts w:ascii="arial" w:eastAsia="arial" w:hAnsi="arial" w:cs="arial"/>
            <w:b w:val="0"/>
            <w:i/>
            <w:strike w:val="0"/>
            <w:noProof w:val="0"/>
            <w:color w:val="0077CC"/>
            <w:position w:val="0"/>
            <w:sz w:val="20"/>
            <w:u w:val="single"/>
            <w:vertAlign w:val="baseline"/>
          </w:rPr>
          <w:t>, 471 F.3d 1196, 1198 (11th Cir. 2006)</w:t>
        </w:r>
      </w:hyperlink>
      <w:r>
        <w:rPr>
          <w:rFonts w:ascii="arial" w:eastAsia="arial" w:hAnsi="arial" w:cs="arial"/>
          <w:b w:val="0"/>
          <w:i w:val="0"/>
          <w:strike w:val="0"/>
          <w:noProof w:val="0"/>
          <w:color w:val="000000"/>
          <w:position w:val="0"/>
          <w:sz w:val="20"/>
          <w:u w:val="none"/>
          <w:vertAlign w:val="baseline"/>
        </w:rPr>
        <w:t xml:space="preserve">, </w:t>
      </w:r>
      <w:bookmarkStart w:id="41" w:name="Bookmark_I685M9F72D6MVT0040000400"/>
      <w:bookmarkEnd w:id="41"/>
      <w:hyperlink r:id="rId39" w:history="1">
        <w:r>
          <w:rPr>
            <w:rFonts w:ascii="arial" w:eastAsia="arial" w:hAnsi="arial" w:cs="arial"/>
            <w:b w:val="0"/>
            <w:i/>
            <w:strike w:val="0"/>
            <w:noProof w:val="0"/>
            <w:color w:val="0077CC"/>
            <w:position w:val="0"/>
            <w:sz w:val="20"/>
            <w:u w:val="single"/>
            <w:vertAlign w:val="baseline"/>
          </w:rPr>
          <w:t>Caldwell v. Amend</w:t>
        </w:r>
      </w:hyperlink>
      <w:hyperlink r:id="rId39" w:history="1">
        <w:r>
          <w:rPr>
            <w:rFonts w:ascii="arial" w:eastAsia="arial" w:hAnsi="arial" w:cs="arial"/>
            <w:b w:val="0"/>
            <w:i/>
            <w:strike w:val="0"/>
            <w:noProof w:val="0"/>
            <w:color w:val="0077CC"/>
            <w:position w:val="0"/>
            <w:sz w:val="20"/>
            <w:u w:val="single"/>
            <w:vertAlign w:val="baseline"/>
          </w:rPr>
          <w:t>, 30 F.3d 1199, 1202-03 (9th Cir. 1994)</w:t>
        </w:r>
      </w:hyperlink>
      <w:r>
        <w:rPr>
          <w:rFonts w:ascii="arial" w:eastAsia="arial" w:hAnsi="arial" w:cs="arial"/>
          <w:b w:val="0"/>
          <w:i w:val="0"/>
          <w:strike w:val="0"/>
          <w:noProof w:val="0"/>
          <w:color w:val="000000"/>
          <w:position w:val="0"/>
          <w:sz w:val="20"/>
          <w:u w:val="none"/>
          <w:vertAlign w:val="baseline"/>
        </w:rPr>
        <w:t xml:space="preserve">; </w:t>
      </w:r>
      <w:bookmarkStart w:id="42" w:name="Bookmark_I685M9F82SF7P60010000400"/>
      <w:bookmarkEnd w:id="42"/>
      <w:hyperlink r:id="rId40" w:history="1">
        <w:r>
          <w:rPr>
            <w:rFonts w:ascii="arial" w:eastAsia="arial" w:hAnsi="arial" w:cs="arial"/>
            <w:b w:val="0"/>
            <w:i/>
            <w:strike w:val="0"/>
            <w:noProof w:val="0"/>
            <w:color w:val="0077CC"/>
            <w:position w:val="0"/>
            <w:sz w:val="20"/>
            <w:u w:val="single"/>
            <w:vertAlign w:val="baseline"/>
          </w:rPr>
          <w:t>Grady v. United States</w:t>
        </w:r>
      </w:hyperlink>
      <w:hyperlink r:id="rId40" w:history="1">
        <w:r>
          <w:rPr>
            <w:rFonts w:ascii="arial" w:eastAsia="arial" w:hAnsi="arial" w:cs="arial"/>
            <w:b w:val="0"/>
            <w:i/>
            <w:strike w:val="0"/>
            <w:noProof w:val="0"/>
            <w:color w:val="0077CC"/>
            <w:position w:val="0"/>
            <w:sz w:val="20"/>
            <w:u w:val="single"/>
            <w:vertAlign w:val="baseline"/>
          </w:rPr>
          <w:t>, 269 F.3d 913, 916-17 (8th Cir. 2001)</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Montalvo v. Lavalley</w:t>
        </w:r>
      </w:hyperlink>
      <w:hyperlink r:id="rId41" w:history="1">
        <w:r>
          <w:rPr>
            <w:rFonts w:ascii="arial" w:eastAsia="arial" w:hAnsi="arial" w:cs="arial"/>
            <w:b w:val="0"/>
            <w:i/>
            <w:strike w:val="0"/>
            <w:noProof w:val="0"/>
            <w:color w:val="0077CC"/>
            <w:position w:val="0"/>
            <w:sz w:val="20"/>
            <w:u w:val="single"/>
            <w:vertAlign w:val="baseline"/>
          </w:rPr>
          <w:t>, No. 11-cv-05200 (NG), 2014 U.S. Dist. LEXIS 169546, 2014 WL 6909513, at *8 (E.D.N.Y. Dec. 8, 2014)</w:t>
        </w:r>
      </w:hyperlink>
      <w:r>
        <w:rPr>
          <w:rFonts w:ascii="arial" w:eastAsia="arial" w:hAnsi="arial" w:cs="arial"/>
          <w:b w:val="0"/>
          <w:i w:val="0"/>
          <w:strike w:val="0"/>
          <w:noProof w:val="0"/>
          <w:color w:val="000000"/>
          <w:position w:val="0"/>
          <w:sz w:val="20"/>
          <w:u w:val="none"/>
          <w:vertAlign w:val="baseline"/>
        </w:rPr>
        <w:t xml:space="preserve"> ("The Second Circuit has not yet addressed whether the prison mailbox rule is available when a state court never received a filing, and other circuits have answered the question differently."); </w:t>
      </w:r>
      <w:bookmarkStart w:id="43" w:name="Bookmark_I696TKSJ2SF8HW0030000400"/>
      <w:bookmarkEnd w:id="43"/>
      <w:hyperlink r:id="rId42" w:history="1">
        <w:r>
          <w:rPr>
            <w:rFonts w:ascii="arial" w:eastAsia="arial" w:hAnsi="arial" w:cs="arial"/>
            <w:b w:val="0"/>
            <w:i/>
            <w:strike w:val="0"/>
            <w:noProof w:val="0"/>
            <w:color w:val="0077CC"/>
            <w:position w:val="0"/>
            <w:sz w:val="20"/>
            <w:u w:val="single"/>
            <w:vertAlign w:val="baseline"/>
          </w:rPr>
          <w:t>Francis v. United States</w:t>
        </w:r>
      </w:hyperlink>
      <w:hyperlink r:id="rId42" w:history="1">
        <w:r>
          <w:rPr>
            <w:rFonts w:ascii="arial" w:eastAsia="arial" w:hAnsi="arial" w:cs="arial"/>
            <w:b w:val="0"/>
            <w:i/>
            <w:strike w:val="0"/>
            <w:noProof w:val="0"/>
            <w:color w:val="0077CC"/>
            <w:position w:val="0"/>
            <w:sz w:val="20"/>
            <w:u w:val="single"/>
            <w:vertAlign w:val="baseline"/>
          </w:rPr>
          <w:t>, 14 Civ. 2311 (NRB), 2016 U.S. Dist. LEXIS 64796, 2016 WL 2865422, at *4 (S.D.N.Y. May 13, 2016)</w:t>
        </w:r>
      </w:hyperlink>
      <w:r>
        <w:rPr>
          <w:rFonts w:ascii="arial" w:eastAsia="arial" w:hAnsi="arial" w:cs="arial"/>
          <w:b w:val="0"/>
          <w:i w:val="0"/>
          <w:strike w:val="0"/>
          <w:noProof w:val="0"/>
          <w:color w:val="000000"/>
          <w:position w:val="0"/>
          <w:sz w:val="20"/>
          <w:u w:val="none"/>
          <w:vertAlign w:val="baseline"/>
        </w:rPr>
        <w:t xml:space="preserve"> ("The Second Circuit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has thus far declined to the address the issue."). On remand, the district court in </w:t>
      </w:r>
      <w:r>
        <w:rPr>
          <w:rFonts w:ascii="arial" w:eastAsia="arial" w:hAnsi="arial" w:cs="arial"/>
          <w:b w:val="0"/>
          <w:i/>
          <w:strike w:val="0"/>
          <w:noProof w:val="0"/>
          <w:color w:val="000000"/>
          <w:position w:val="0"/>
          <w:sz w:val="20"/>
          <w:u w:val="none"/>
          <w:vertAlign w:val="baseline"/>
        </w:rPr>
        <w:t>Joseph</w:t>
      </w:r>
      <w:r>
        <w:rPr>
          <w:rFonts w:ascii="arial" w:eastAsia="arial" w:hAnsi="arial" w:cs="arial"/>
          <w:b w:val="0"/>
          <w:i w:val="0"/>
          <w:strike w:val="0"/>
          <w:noProof w:val="0"/>
          <w:color w:val="000000"/>
          <w:position w:val="0"/>
          <w:sz w:val="20"/>
          <w:u w:val="none"/>
          <w:vertAlign w:val="baseline"/>
        </w:rPr>
        <w:t xml:space="preserve"> ultimately found that the statute of limitations on the plaintiff's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application was stayed by the initial attempted filing, despite that filing never actually making it to the court. </w:t>
      </w:r>
      <w:hyperlink r:id="rId43" w:history="1">
        <w:r>
          <w:rPr>
            <w:rFonts w:ascii="arial" w:eastAsia="arial" w:hAnsi="arial" w:cs="arial"/>
            <w:b w:val="0"/>
            <w:i/>
            <w:strike w:val="0"/>
            <w:noProof w:val="0"/>
            <w:color w:val="0077CC"/>
            <w:position w:val="0"/>
            <w:sz w:val="20"/>
            <w:u w:val="single"/>
            <w:vertAlign w:val="baseline"/>
          </w:rPr>
          <w:t>Joseph v. Conway</w:t>
        </w:r>
      </w:hyperlink>
      <w:hyperlink r:id="rId43" w:history="1">
        <w:r>
          <w:rPr>
            <w:rFonts w:ascii="arial" w:eastAsia="arial" w:hAnsi="arial" w:cs="arial"/>
            <w:b w:val="0"/>
            <w:i/>
            <w:strike w:val="0"/>
            <w:noProof w:val="0"/>
            <w:color w:val="0077CC"/>
            <w:position w:val="0"/>
            <w:sz w:val="20"/>
            <w:u w:val="single"/>
            <w:vertAlign w:val="baseline"/>
          </w:rPr>
          <w:t>, 07-CV-5223 (LDH), 2021 U.S. Dist. LEXIS 147232, 2021 WL 3424730, at *3 (E.D.N.Y. Aug. 4, 2021)</w:t>
        </w:r>
      </w:hyperlink>
      <w:r>
        <w:rPr>
          <w:rFonts w:ascii="arial" w:eastAsia="arial" w:hAnsi="arial" w:cs="arial"/>
          <w:b w:val="0"/>
          <w:i w:val="0"/>
          <w:strike w:val="0"/>
          <w:noProof w:val="0"/>
          <w:color w:val="000000"/>
          <w:position w:val="0"/>
          <w:sz w:val="20"/>
          <w:u w:val="none"/>
          <w:vertAlign w:val="baseline"/>
        </w:rPr>
        <w:t xml:space="preserve"> (finding a "sufficient basis for the Court to conclude that Petitioner indeed filed his petition on August 24, 2006, under the prison mailbox rule.").</w:t>
      </w:r>
    </w:p>
    <w:p>
      <w:pPr>
        <w:keepNext w:val="0"/>
        <w:spacing w:before="240" w:after="0" w:line="260" w:lineRule="atLeast"/>
        <w:ind w:left="0" w:right="0" w:firstLine="0"/>
        <w:jc w:val="both"/>
      </w:pPr>
      <w:bookmarkStart w:id="44" w:name="Bookmark_para_26"/>
      <w:bookmarkEnd w:id="44"/>
      <w:bookmarkStart w:id="45" w:name="Bookmark_I696TKSK28T4P20030000400"/>
      <w:bookmarkEnd w:id="45"/>
      <w:r>
        <w:rPr>
          <w:rFonts w:ascii="arial" w:eastAsia="arial" w:hAnsi="arial" w:cs="arial"/>
          <w:b w:val="0"/>
          <w:i w:val="0"/>
          <w:strike w:val="0"/>
          <w:noProof w:val="0"/>
          <w:color w:val="000000"/>
          <w:position w:val="0"/>
          <w:sz w:val="20"/>
          <w:u w:val="none"/>
          <w:vertAlign w:val="baseline"/>
        </w:rPr>
        <w:t xml:space="preserve">However, Plaintiff's case is distinguishable from </w:t>
      </w:r>
      <w:bookmarkStart w:id="46" w:name="Bookmark_I696TKSK28T4P20020000400"/>
      <w:bookmarkEnd w:id="46"/>
      <w:hyperlink r:id="rId43" w:history="1">
        <w:r>
          <w:rPr>
            <w:rFonts w:ascii="arial" w:eastAsia="arial" w:hAnsi="arial" w:cs="arial"/>
            <w:b w:val="0"/>
            <w:i/>
            <w:strike w:val="0"/>
            <w:noProof w:val="0"/>
            <w:color w:val="0077CC"/>
            <w:position w:val="0"/>
            <w:sz w:val="20"/>
            <w:u w:val="single"/>
            <w:vertAlign w:val="baseline"/>
          </w:rPr>
          <w:t>Joseph</w:t>
        </w:r>
      </w:hyperlink>
      <w:bookmarkStart w:id="47" w:name="Bookmark_I696TKSK2HM5VS0020000400"/>
      <w:bookmarkEnd w:id="47"/>
      <w:r>
        <w:rPr>
          <w:rFonts w:ascii="arial" w:eastAsia="arial" w:hAnsi="arial" w:cs="arial"/>
          <w:b w:val="0"/>
          <w:i w:val="0"/>
          <w:strike w:val="0"/>
          <w:noProof w:val="0"/>
          <w:color w:val="000000"/>
          <w:position w:val="0"/>
          <w:sz w:val="20"/>
          <w:u w:val="none"/>
          <w:vertAlign w:val="baseline"/>
        </w:rPr>
        <w:t xml:space="preserve"> and the initial reasoning set out in </w:t>
      </w:r>
      <w:bookmarkStart w:id="48" w:name="Bookmark_I696TKSK28T4P20040000400"/>
      <w:bookmarkEnd w:id="48"/>
      <w:hyperlink r:id="rId31" w:history="1">
        <w:r>
          <w:rPr>
            <w:rFonts w:ascii="arial" w:eastAsia="arial" w:hAnsi="arial" w:cs="arial"/>
            <w:b w:val="0"/>
            <w:i/>
            <w:strike w:val="0"/>
            <w:noProof w:val="0"/>
            <w:color w:val="0077CC"/>
            <w:position w:val="0"/>
            <w:sz w:val="20"/>
            <w:u w:val="single"/>
            <w:vertAlign w:val="baseline"/>
          </w:rPr>
          <w:t>Houston</w:t>
        </w:r>
      </w:hyperlink>
      <w:r>
        <w:rPr>
          <w:rFonts w:ascii="arial" w:eastAsia="arial" w:hAnsi="arial" w:cs="arial"/>
          <w:b w:val="0"/>
          <w:i w:val="0"/>
          <w:strike w:val="0"/>
          <w:noProof w:val="0"/>
          <w:color w:val="000000"/>
          <w:position w:val="0"/>
          <w:sz w:val="20"/>
          <w:u w:val="none"/>
          <w:vertAlign w:val="baseline"/>
        </w:rPr>
        <w:t xml:space="preserve">. </w:t>
      </w:r>
      <w:bookmarkStart w:id="49" w:name="Bookmark_I696TKSK2HM5VS0020000400_2"/>
      <w:bookmarkEnd w:id="4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Joseph</w:t>
      </w:r>
      <w:r>
        <w:rPr>
          <w:rFonts w:ascii="arial" w:eastAsia="arial" w:hAnsi="arial" w:cs="arial"/>
          <w:b w:val="0"/>
          <w:i w:val="0"/>
          <w:strike w:val="0"/>
          <w:noProof w:val="0"/>
          <w:color w:val="000000"/>
          <w:position w:val="0"/>
          <w:sz w:val="20"/>
          <w:u w:val="none"/>
          <w:vertAlign w:val="baseline"/>
        </w:rPr>
        <w:t xml:space="preserve">, the plaintiff initially attempted to file his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application in August of 2006, was informed that the court did not receive it in July of 2007, and filed another </w:t>
      </w:r>
      <w:r>
        <w:rPr>
          <w:rFonts w:ascii="arial" w:eastAsia="arial" w:hAnsi="arial" w:cs="arial"/>
          <w:b w:val="0"/>
          <w:i/>
          <w:strike w:val="0"/>
          <w:noProof w:val="0"/>
          <w:color w:val="000000"/>
          <w:position w:val="0"/>
          <w:sz w:val="20"/>
          <w:u w:val="none"/>
          <w:vertAlign w:val="baseline"/>
        </w:rPr>
        <w:t>coram nobis</w:t>
      </w:r>
      <w:r>
        <w:rPr>
          <w:rFonts w:ascii="arial" w:eastAsia="arial" w:hAnsi="arial" w:cs="arial"/>
          <w:b w:val="0"/>
          <w:i w:val="0"/>
          <w:strike w:val="0"/>
          <w:noProof w:val="0"/>
          <w:color w:val="000000"/>
          <w:position w:val="0"/>
          <w:sz w:val="20"/>
          <w:u w:val="none"/>
          <w:vertAlign w:val="baseline"/>
        </w:rPr>
        <w:t xml:space="preserve"> application just two months after. </w:t>
      </w:r>
      <w:bookmarkStart w:id="50" w:name="Bookmark_I696TKSK2HM5VS0010000400"/>
      <w:bookmarkEnd w:id="50"/>
      <w:hyperlink r:id="rId43" w:history="1">
        <w:r>
          <w:rPr>
            <w:rFonts w:ascii="arial" w:eastAsia="arial" w:hAnsi="arial" w:cs="arial"/>
            <w:b w:val="0"/>
            <w:i/>
            <w:strike w:val="0"/>
            <w:noProof w:val="0"/>
            <w:color w:val="0077CC"/>
            <w:position w:val="0"/>
            <w:sz w:val="20"/>
            <w:u w:val="single"/>
            <w:vertAlign w:val="baseline"/>
          </w:rPr>
          <w:t>2021 U.S. Dist. LEXIS 147232, [WL] at *1</w:t>
        </w:r>
      </w:hyperlink>
      <w:r>
        <w:rPr>
          <w:rFonts w:ascii="arial" w:eastAsia="arial" w:hAnsi="arial" w:cs="arial"/>
          <w:b w:val="0"/>
          <w:i w:val="0"/>
          <w:strike w:val="0"/>
          <w:noProof w:val="0"/>
          <w:color w:val="000000"/>
          <w:position w:val="0"/>
          <w:sz w:val="20"/>
          <w:u w:val="none"/>
          <w:vertAlign w:val="baseline"/>
        </w:rPr>
        <w:t xml:space="preserve">. Here, Plaintiff learned the day after he delivered the November 2013 Complaint to prison officials that Defendants had intercepted it. Dkt. #15 ¶ 12. He also learned the day after mailing the March 2014 Complaint that Haigler was at least aware of the attempt.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 However, Plaintiff did not ultimately file his case until June of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 This is a far longer delay than that in </w:t>
      </w:r>
      <w:r>
        <w:rPr>
          <w:rFonts w:ascii="arial" w:eastAsia="arial" w:hAnsi="arial" w:cs="arial"/>
          <w:b w:val="0"/>
          <w:i/>
          <w:strike w:val="0"/>
          <w:noProof w:val="0"/>
          <w:color w:val="000000"/>
          <w:position w:val="0"/>
          <w:sz w:val="20"/>
          <w:u w:val="none"/>
          <w:vertAlign w:val="baseline"/>
        </w:rPr>
        <w:t>Joseph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44" w:history="1">
        <w:r>
          <w:rPr>
            <w:rFonts w:ascii="arial" w:eastAsia="arial" w:hAnsi="arial" w:cs="arial"/>
            <w:b w:val="0"/>
            <w:i/>
            <w:strike w:val="0"/>
            <w:noProof w:val="0"/>
            <w:color w:val="0077CC"/>
            <w:position w:val="0"/>
            <w:sz w:val="20"/>
            <w:u w:val="single"/>
            <w:vertAlign w:val="baseline"/>
          </w:rPr>
          <w:t>McKinney v. Lanigan</w:t>
        </w:r>
      </w:hyperlink>
      <w:hyperlink r:id="rId44" w:history="1">
        <w:r>
          <w:rPr>
            <w:rFonts w:ascii="arial" w:eastAsia="arial" w:hAnsi="arial" w:cs="arial"/>
            <w:b w:val="0"/>
            <w:i/>
            <w:strike w:val="0"/>
            <w:noProof w:val="0"/>
            <w:color w:val="0077CC"/>
            <w:position w:val="0"/>
            <w:sz w:val="20"/>
            <w:u w:val="single"/>
            <w:vertAlign w:val="baseline"/>
          </w:rPr>
          <w:t>, Civ. No. 18-309 (FLW) (LHG), 2019 U.S. Dist. LEXIS 13589, 2019 WL 355288, at *3 (D.N.J. Jan. 29, 2019)</w:t>
        </w:r>
      </w:hyperlink>
      <w:r>
        <w:rPr>
          <w:rFonts w:ascii="arial" w:eastAsia="arial" w:hAnsi="arial" w:cs="arial"/>
          <w:b w:val="0"/>
          <w:i w:val="0"/>
          <w:strike w:val="0"/>
          <w:noProof w:val="0"/>
          <w:color w:val="000000"/>
          <w:position w:val="0"/>
          <w:sz w:val="20"/>
          <w:u w:val="none"/>
          <w:vertAlign w:val="baseline"/>
        </w:rPr>
        <w:t xml:space="preserve"> ("McKinney's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assertions here are very different from those considered in a typical prison mailbox case. This is not a situation where a prisoner placed a document in the mail shortly before a deadline and the court received that document a few days after that deadline. </w:t>
      </w:r>
      <w:bookmarkStart w:id="51" w:name="Bookmark_I685M9F82HM6RN0030000400"/>
      <w:bookmarkEnd w:id="51"/>
      <w:r>
        <w:rPr>
          <w:rFonts w:ascii="arial" w:eastAsia="arial" w:hAnsi="arial" w:cs="arial"/>
          <w:b w:val="0"/>
          <w:i w:val="0"/>
          <w:strike w:val="0"/>
          <w:noProof w:val="0"/>
          <w:color w:val="000000"/>
          <w:position w:val="0"/>
          <w:sz w:val="20"/>
          <w:u w:val="none"/>
          <w:vertAlign w:val="baseline"/>
        </w:rPr>
        <w:t xml:space="preserve">Instead, McKinney claims that he originally mailed his complaint in May 2016, but that it was never docketed and that, after more than two years had elapsed, he mailed another copy of the complaint. It appears unlikely that the </w:t>
      </w:r>
      <w:bookmarkStart w:id="52" w:name="Bookmark_I685M9F82HM6RN0020000400"/>
      <w:bookmarkEnd w:id="52"/>
      <w:hyperlink r:id="rId31" w:history="1">
        <w:r>
          <w:rPr>
            <w:rFonts w:ascii="arial" w:eastAsia="arial" w:hAnsi="arial" w:cs="arial"/>
            <w:b w:val="0"/>
            <w:i/>
            <w:strike w:val="0"/>
            <w:noProof w:val="0"/>
            <w:color w:val="0077CC"/>
            <w:position w:val="0"/>
            <w:sz w:val="20"/>
            <w:u w:val="single"/>
            <w:vertAlign w:val="baseline"/>
          </w:rPr>
          <w:t>Houston</w:t>
        </w:r>
      </w:hyperlink>
      <w:r>
        <w:rPr>
          <w:rFonts w:ascii="arial" w:eastAsia="arial" w:hAnsi="arial" w:cs="arial"/>
          <w:b w:val="0"/>
          <w:i w:val="0"/>
          <w:strike w:val="0"/>
          <w:noProof w:val="0"/>
          <w:color w:val="000000"/>
          <w:position w:val="0"/>
          <w:sz w:val="20"/>
          <w:u w:val="none"/>
          <w:vertAlign w:val="baseline"/>
        </w:rPr>
        <w:t xml:space="preserve"> Court intended the prison mailbox rule to apply in such a distinct context . . . ."); </w:t>
      </w:r>
      <w:r>
        <w:rPr>
          <w:rFonts w:ascii="arial" w:eastAsia="arial" w:hAnsi="arial" w:cs="arial"/>
          <w:b w:val="0"/>
          <w:i/>
          <w:strike w:val="0"/>
          <w:noProof w:val="0"/>
          <w:color w:val="000000"/>
          <w:position w:val="0"/>
          <w:sz w:val="20"/>
          <w:u w:val="none"/>
          <w:vertAlign w:val="baseline"/>
        </w:rPr>
        <w:t xml:space="preserve">see also </w:t>
      </w:r>
      <w:bookmarkStart w:id="53" w:name="Bookmark_I696TKSK2HM5VS0030000400"/>
      <w:bookmarkEnd w:id="53"/>
      <w:hyperlink r:id="rId42" w:history="1">
        <w:r>
          <w:rPr>
            <w:rFonts w:ascii="arial" w:eastAsia="arial" w:hAnsi="arial" w:cs="arial"/>
            <w:b w:val="0"/>
            <w:i/>
            <w:strike w:val="0"/>
            <w:noProof w:val="0"/>
            <w:color w:val="0077CC"/>
            <w:position w:val="0"/>
            <w:sz w:val="20"/>
            <w:u w:val="single"/>
            <w:vertAlign w:val="baseline"/>
          </w:rPr>
          <w:t>Francis</w:t>
        </w:r>
      </w:hyperlink>
      <w:hyperlink r:id="rId42" w:history="1">
        <w:r>
          <w:rPr>
            <w:rFonts w:ascii="arial" w:eastAsia="arial" w:hAnsi="arial" w:cs="arial"/>
            <w:b w:val="0"/>
            <w:i/>
            <w:strike w:val="0"/>
            <w:noProof w:val="0"/>
            <w:color w:val="0077CC"/>
            <w:position w:val="0"/>
            <w:sz w:val="20"/>
            <w:u w:val="single"/>
            <w:vertAlign w:val="baseline"/>
          </w:rPr>
          <w:t>, 2016 U.S. Dist. LEXIS 64796, 2016 WL 2865422, at *4</w:t>
        </w:r>
      </w:hyperlink>
      <w:r>
        <w:rPr>
          <w:rFonts w:ascii="arial" w:eastAsia="arial" w:hAnsi="arial" w:cs="arial"/>
          <w:b w:val="0"/>
          <w:i w:val="0"/>
          <w:strike w:val="0"/>
          <w:noProof w:val="0"/>
          <w:color w:val="000000"/>
          <w:position w:val="0"/>
          <w:sz w:val="20"/>
          <w:u w:val="none"/>
          <w:vertAlign w:val="baseline"/>
        </w:rPr>
        <w:t xml:space="preserve"> (not applying prison mailbox rule where equitable factors did not also favor tolling statute of limitations).</w:t>
      </w:r>
    </w:p>
    <w:p>
      <w:pPr>
        <w:keepNext w:val="0"/>
        <w:spacing w:before="200" w:after="0" w:line="260" w:lineRule="atLeast"/>
        <w:ind w:left="0" w:right="0" w:firstLine="0"/>
        <w:jc w:val="both"/>
      </w:pPr>
      <w:bookmarkStart w:id="54" w:name="Bookmark_para_27"/>
      <w:bookmarkEnd w:id="54"/>
      <w:r>
        <w:rPr>
          <w:rFonts w:ascii="arial" w:eastAsia="arial" w:hAnsi="arial" w:cs="arial"/>
          <w:b w:val="0"/>
          <w:i w:val="0"/>
          <w:strike w:val="0"/>
          <w:noProof w:val="0"/>
          <w:color w:val="000000"/>
          <w:position w:val="0"/>
          <w:sz w:val="20"/>
          <w:u w:val="none"/>
          <w:vertAlign w:val="baseline"/>
        </w:rPr>
        <w:t xml:space="preserve">Furthermore, the complaint that was ultimately filed with this Court contains details indicating it is indisputably not the same complaint that Plaintiff attempted to mail in November of 2013 and March of 2014.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 at 2 (stating that the events giving rise to the complaint occurred between January 7, 2013, and July 29, 2014), Dkt. #1 at 28 (referencing new address as of May 16, 2017). The prison mailbox rule would drift even further from the original reasoning of </w:t>
      </w:r>
      <w:hyperlink r:id="rId31" w:history="1">
        <w:r>
          <w:rPr>
            <w:rFonts w:ascii="arial" w:eastAsia="arial" w:hAnsi="arial" w:cs="arial"/>
            <w:b w:val="0"/>
            <w:i/>
            <w:strike w:val="0"/>
            <w:noProof w:val="0"/>
            <w:color w:val="0077CC"/>
            <w:position w:val="0"/>
            <w:sz w:val="20"/>
            <w:u w:val="single"/>
            <w:vertAlign w:val="baseline"/>
          </w:rPr>
          <w:t>Houston</w:t>
        </w:r>
      </w:hyperlink>
      <w:r>
        <w:rPr>
          <w:rFonts w:ascii="arial" w:eastAsia="arial" w:hAnsi="arial" w:cs="arial"/>
          <w:b w:val="0"/>
          <w:i w:val="0"/>
          <w:strike w:val="0"/>
          <w:noProof w:val="0"/>
          <w:color w:val="000000"/>
          <w:position w:val="0"/>
          <w:sz w:val="20"/>
          <w:u w:val="none"/>
          <w:vertAlign w:val="baseline"/>
        </w:rPr>
        <w:t xml:space="preserve"> if it were to allow prisoners to</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preserve a claim outside the statute of limitations by making an unsuccessful attempt to file an entirely different complaint.</w:t>
      </w:r>
    </w:p>
    <w:p>
      <w:pPr>
        <w:keepNext w:val="0"/>
        <w:spacing w:before="240" w:after="0" w:line="260" w:lineRule="atLeast"/>
        <w:ind w:left="0" w:right="0" w:firstLine="0"/>
        <w:jc w:val="both"/>
      </w:pPr>
      <w:bookmarkStart w:id="55" w:name="Bookmark_para_28"/>
      <w:bookmarkEnd w:id="55"/>
      <w:bookmarkStart w:id="56" w:name="Bookmark_I5RX75JPY120000147V00001"/>
      <w:bookmarkEnd w:id="56"/>
      <w:bookmarkStart w:id="57" w:name="Bookmark_I685M9F928T3XV0040000400"/>
      <w:bookmarkEnd w:id="57"/>
      <w:r>
        <w:rPr>
          <w:rFonts w:ascii="arial" w:eastAsia="arial" w:hAnsi="arial" w:cs="arial"/>
          <w:b w:val="0"/>
          <w:i w:val="0"/>
          <w:strike w:val="0"/>
          <w:noProof w:val="0"/>
          <w:color w:val="000000"/>
          <w:position w:val="0"/>
          <w:sz w:val="20"/>
          <w:u w:val="none"/>
          <w:vertAlign w:val="baseline"/>
        </w:rPr>
        <w:t xml:space="preserve">Considering the initial reasoning in </w:t>
      </w:r>
      <w:bookmarkStart w:id="58" w:name="Bookmark_I685M9F928T3XV0030000400"/>
      <w:bookmarkEnd w:id="58"/>
      <w:hyperlink r:id="rId31" w:history="1">
        <w:r>
          <w:rPr>
            <w:rFonts w:ascii="arial" w:eastAsia="arial" w:hAnsi="arial" w:cs="arial"/>
            <w:b w:val="0"/>
            <w:i/>
            <w:strike w:val="0"/>
            <w:noProof w:val="0"/>
            <w:color w:val="0077CC"/>
            <w:position w:val="0"/>
            <w:sz w:val="20"/>
            <w:u w:val="single"/>
            <w:vertAlign w:val="baseline"/>
          </w:rPr>
          <w:t>Houston</w:t>
        </w:r>
      </w:hyperlink>
      <w:r>
        <w:rPr>
          <w:rFonts w:ascii="arial" w:eastAsia="arial" w:hAnsi="arial" w:cs="arial"/>
          <w:b w:val="0"/>
          <w:i w:val="0"/>
          <w:strike w:val="0"/>
          <w:noProof w:val="0"/>
          <w:color w:val="000000"/>
          <w:position w:val="0"/>
          <w:sz w:val="20"/>
          <w:u w:val="none"/>
          <w:vertAlign w:val="baseline"/>
        </w:rPr>
        <w:t xml:space="preserve">, and the distinguishing facts between this case and </w:t>
      </w:r>
      <w:bookmarkStart w:id="59" w:name="Bookmark_I696TKSK2HM5VS0050000400"/>
      <w:bookmarkEnd w:id="59"/>
      <w:hyperlink r:id="rId43" w:history="1">
        <w:r>
          <w:rPr>
            <w:rFonts w:ascii="arial" w:eastAsia="arial" w:hAnsi="arial" w:cs="arial"/>
            <w:b w:val="0"/>
            <w:i/>
            <w:strike w:val="0"/>
            <w:noProof w:val="0"/>
            <w:color w:val="0077CC"/>
            <w:position w:val="0"/>
            <w:sz w:val="20"/>
            <w:u w:val="single"/>
            <w:vertAlign w:val="baseline"/>
          </w:rPr>
          <w:t>Joseph</w:t>
        </w:r>
      </w:hyperlink>
      <w:r>
        <w:rPr>
          <w:rFonts w:ascii="arial" w:eastAsia="arial" w:hAnsi="arial" w:cs="arial"/>
          <w:b w:val="0"/>
          <w:i w:val="0"/>
          <w:strike w:val="0"/>
          <w:noProof w:val="0"/>
          <w:color w:val="000000"/>
          <w:position w:val="0"/>
          <w:sz w:val="20"/>
          <w:u w:val="none"/>
          <w:vertAlign w:val="baseline"/>
        </w:rPr>
        <w:t xml:space="preserve">, the prison mailbox rule does not appear to apply to Plaintiff's November 2013 and March 2014 Complaints. </w:t>
      </w:r>
      <w:r>
        <w:rPr>
          <w:rFonts w:ascii="arial" w:eastAsia="arial" w:hAnsi="arial" w:cs="arial"/>
          <w:b w:val="0"/>
          <w:i w:val="0"/>
          <w:strike w:val="0"/>
          <w:noProof w:val="0"/>
          <w:color w:val="000000"/>
          <w:position w:val="0"/>
          <w:sz w:val="20"/>
          <w:u w:val="none"/>
          <w:vertAlign w:val="baseline"/>
        </w:rPr>
        <w:t>This Court is not suggesting that Plaintiff's alleged hardships in filing his complaint should be ignored. It is merely stating that these hardships should be considered under the equitable tolling analysis, where this Court has the discretion to consider all the equitable factors. Accordingly, Claims One through Five fail to fall within the statute of limitations period without any applicable tolling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Grounds for Tolling</w:t>
      </w:r>
    </w:p>
    <w:p>
      <w:pPr>
        <w:keepNext w:val="0"/>
        <w:spacing w:before="240" w:after="0" w:line="260" w:lineRule="atLeast"/>
        <w:ind w:left="0" w:right="0" w:firstLine="0"/>
        <w:jc w:val="both"/>
      </w:pPr>
      <w:bookmarkStart w:id="60" w:name="Bookmark_para_29"/>
      <w:bookmarkEnd w:id="60"/>
      <w:r>
        <w:rPr>
          <w:rFonts w:ascii="arial" w:eastAsia="arial" w:hAnsi="arial" w:cs="arial"/>
          <w:b w:val="0"/>
          <w:i w:val="0"/>
          <w:strike w:val="0"/>
          <w:noProof w:val="0"/>
          <w:color w:val="000000"/>
          <w:position w:val="0"/>
          <w:sz w:val="20"/>
          <w:u w:val="none"/>
          <w:vertAlign w:val="baseline"/>
        </w:rPr>
        <w:t xml:space="preserve">Plaintiff fails to establish any grounds for tolling the statute of limitations because his numerous other filings bar him from invoking equitable tolling. Generally, "equitable tolling applies only in 'rare and exceptional circumstance[s]' where (1) a plaintiff is 'prevented' from filing her complaint in a timely manner and (2) a plaintiff has 'acted with reasonable diligence throughout the period [s]he seeks to toll.'" </w:t>
      </w:r>
      <w:hyperlink r:id="rId45" w:history="1">
        <w:r>
          <w:rPr>
            <w:rFonts w:ascii="arial" w:eastAsia="arial" w:hAnsi="arial" w:cs="arial"/>
            <w:b w:val="0"/>
            <w:i/>
            <w:strike w:val="0"/>
            <w:noProof w:val="0"/>
            <w:color w:val="0077CC"/>
            <w:position w:val="0"/>
            <w:sz w:val="20"/>
            <w:u w:val="single"/>
            <w:vertAlign w:val="baseline"/>
          </w:rPr>
          <w:t>Levy v. BASF Metals Ltd.</w:t>
        </w:r>
      </w:hyperlink>
      <w:hyperlink r:id="rId45" w:history="1">
        <w:r>
          <w:rPr>
            <w:rFonts w:ascii="arial" w:eastAsia="arial" w:hAnsi="arial" w:cs="arial"/>
            <w:b w:val="0"/>
            <w:i/>
            <w:strike w:val="0"/>
            <w:noProof w:val="0"/>
            <w:color w:val="0077CC"/>
            <w:position w:val="0"/>
            <w:sz w:val="20"/>
            <w:u w:val="single"/>
            <w:vertAlign w:val="baseline"/>
          </w:rPr>
          <w:t>, 755 F. App'x 29, 30 (2d Cir. 2019)</w:t>
        </w:r>
      </w:hyperlink>
      <w:r>
        <w:rPr>
          <w:rFonts w:ascii="arial" w:eastAsia="arial" w:hAnsi="arial" w:cs="arial"/>
          <w:b w:val="0"/>
          <w:i w:val="0"/>
          <w:strike w:val="0"/>
          <w:noProof w:val="0"/>
          <w:color w:val="000000"/>
          <w:position w:val="0"/>
          <w:sz w:val="20"/>
          <w:u w:val="none"/>
          <w:vertAlign w:val="baseline"/>
        </w:rPr>
        <w:t xml:space="preserve"> (quoting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Smith v. McGinnis</w:t>
        </w:r>
      </w:hyperlink>
      <w:hyperlink r:id="rId46" w:history="1">
        <w:r>
          <w:rPr>
            <w:rFonts w:ascii="arial" w:eastAsia="arial" w:hAnsi="arial" w:cs="arial"/>
            <w:b w:val="0"/>
            <w:i/>
            <w:strike w:val="0"/>
            <w:noProof w:val="0"/>
            <w:color w:val="0077CC"/>
            <w:position w:val="0"/>
            <w:sz w:val="20"/>
            <w:u w:val="single"/>
            <w:vertAlign w:val="baseline"/>
          </w:rPr>
          <w:t>, 208 F.3d 13, 17 (2d Cir. 2000)</w:t>
        </w:r>
      </w:hyperlink>
      <w:r>
        <w:rPr>
          <w:rFonts w:ascii="arial" w:eastAsia="arial" w:hAnsi="arial" w:cs="arial"/>
          <w:b w:val="0"/>
          <w:i w:val="0"/>
          <w:strike w:val="0"/>
          <w:noProof w:val="0"/>
          <w:color w:val="000000"/>
          <w:position w:val="0"/>
          <w:sz w:val="20"/>
          <w:u w:val="none"/>
          <w:vertAlign w:val="baseline"/>
        </w:rPr>
        <w:t xml:space="preserve">). Intentional interference with a prisoner's attempt to file legal documents that cause him to miss the statute of limitations deadline can constitute extraordinary circumstances sufficient to invoke equitable tolling.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Dixon v. Conway</w:t>
      </w:r>
      <w:r>
        <w:rPr>
          <w:rFonts w:ascii="arial" w:eastAsia="arial" w:hAnsi="arial" w:cs="arial"/>
          <w:b w:val="0"/>
          <w:i/>
          <w:strike w:val="0"/>
          <w:noProof w:val="0"/>
          <w:color w:val="000000"/>
          <w:position w:val="0"/>
          <w:sz w:val="20"/>
          <w:u w:val="none"/>
          <w:vertAlign w:val="baseline"/>
        </w:rPr>
        <w:t>, 613 F. Supp. 2d 330, 347 (W.D.N.Y. 2009)</w:t>
      </w:r>
      <w:r>
        <w:rPr>
          <w:rFonts w:ascii="arial" w:eastAsia="arial" w:hAnsi="arial" w:cs="arial"/>
          <w:b w:val="0"/>
          <w:i w:val="0"/>
          <w:strike w:val="0"/>
          <w:noProof w:val="0"/>
          <w:color w:val="000000"/>
          <w:position w:val="0"/>
          <w:sz w:val="20"/>
          <w:u w:val="none"/>
          <w:vertAlign w:val="baseline"/>
        </w:rPr>
        <w:t xml:space="preserve"> (equitable tolling appropriate "where prison officials intentionally obstruct a petitioner's ability to file his petition by confiscating his legal papers") (citing </w:t>
      </w:r>
      <w:r>
        <w:rPr>
          <w:rFonts w:ascii="arial" w:eastAsia="arial" w:hAnsi="arial" w:cs="arial"/>
          <w:b w:val="0"/>
          <w:i/>
          <w:strike w:val="0"/>
          <w:noProof w:val="0"/>
          <w:color w:val="000000"/>
          <w:position w:val="0"/>
          <w:sz w:val="20"/>
          <w:u w:val="none"/>
          <w:vertAlign w:val="baseline"/>
        </w:rPr>
        <w:t>Valverde v. Stinson</w:t>
      </w:r>
      <w:r>
        <w:rPr>
          <w:rFonts w:ascii="arial" w:eastAsia="arial" w:hAnsi="arial" w:cs="arial"/>
          <w:b w:val="0"/>
          <w:i/>
          <w:strike w:val="0"/>
          <w:noProof w:val="0"/>
          <w:color w:val="000000"/>
          <w:position w:val="0"/>
          <w:sz w:val="20"/>
          <w:u w:val="none"/>
          <w:vertAlign w:val="baseline"/>
        </w:rPr>
        <w:t>, 224 F.3d 129, 133-34 (2d Cir. 2000)</w:t>
      </w:r>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Cedeno v. Conway</w:t>
        </w:r>
      </w:hyperlink>
      <w:hyperlink r:id="rId47" w:history="1">
        <w:r>
          <w:rPr>
            <w:rFonts w:ascii="arial" w:eastAsia="arial" w:hAnsi="arial" w:cs="arial"/>
            <w:b w:val="0"/>
            <w:i/>
            <w:strike w:val="0"/>
            <w:noProof w:val="0"/>
            <w:color w:val="0077CC"/>
            <w:position w:val="0"/>
            <w:sz w:val="20"/>
            <w:u w:val="single"/>
            <w:vertAlign w:val="baseline"/>
          </w:rPr>
          <w:t>, 724 F. Supp. 2d 373, 380 (W.D.N.Y. 2010)</w:t>
        </w:r>
      </w:hyperlink>
      <w:r>
        <w:rPr>
          <w:rFonts w:ascii="arial" w:eastAsia="arial" w:hAnsi="arial" w:cs="arial"/>
          <w:b w:val="0"/>
          <w:i w:val="0"/>
          <w:strike w:val="0"/>
          <w:noProof w:val="0"/>
          <w:color w:val="000000"/>
          <w:position w:val="0"/>
          <w:sz w:val="20"/>
          <w:u w:val="none"/>
          <w:vertAlign w:val="baseline"/>
        </w:rPr>
        <w:t xml:space="preserve"> (refusing to apply equitable tolling where there was no showing "that there was any intentional conduct that interfered with [the plaintiff's] filings on the part of prison officials or others in authority").</w:t>
      </w:r>
    </w:p>
    <w:p>
      <w:pPr>
        <w:keepNext w:val="0"/>
        <w:spacing w:before="200" w:after="0" w:line="260" w:lineRule="atLeast"/>
        <w:ind w:left="0" w:right="0" w:firstLine="0"/>
        <w:jc w:val="both"/>
      </w:pPr>
      <w:bookmarkStart w:id="61" w:name="Bookmark_para_30"/>
      <w:bookmarkEnd w:id="61"/>
      <w:r>
        <w:rPr>
          <w:rFonts w:ascii="arial" w:eastAsia="arial" w:hAnsi="arial" w:cs="arial"/>
          <w:b w:val="0"/>
          <w:i w:val="0"/>
          <w:strike w:val="0"/>
          <w:noProof w:val="0"/>
          <w:color w:val="000000"/>
          <w:position w:val="0"/>
          <w:sz w:val="20"/>
          <w:u w:val="none"/>
          <w:vertAlign w:val="baseline"/>
        </w:rPr>
        <w:t xml:space="preserve">Here, Plaintiff argues that the statute of limitations was equitably tolled after he attempted to send the November 2013 Complaint until October of 2016 because he faced several serious obstacles to filing his complaint, despite diligently attempting to file during this period.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 ¶¶ 12-23. These obstacles included harassment by prison officials, interference with his access to legal documents, interference with his ability to send legal documents through the prison mail, and medical conditions that physically prevented him from filing, such as memory loss and hospitalizations.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Dkt. #30 at 3-10 (arguing that these obstacles warrant equitable tolling).</w:t>
      </w:r>
    </w:p>
    <w:p>
      <w:pPr>
        <w:keepNext w:val="0"/>
        <w:spacing w:before="240" w:after="0" w:line="260" w:lineRule="atLeast"/>
        <w:ind w:left="0" w:right="0" w:firstLine="0"/>
        <w:jc w:val="both"/>
      </w:pPr>
      <w:bookmarkStart w:id="62" w:name="Bookmark_para_31"/>
      <w:bookmarkEnd w:id="62"/>
      <w:r>
        <w:rPr>
          <w:rFonts w:ascii="arial" w:eastAsia="arial" w:hAnsi="arial" w:cs="arial"/>
          <w:b w:val="0"/>
          <w:i w:val="0"/>
          <w:strike w:val="0"/>
          <w:noProof w:val="0"/>
          <w:color w:val="000000"/>
          <w:position w:val="0"/>
          <w:sz w:val="20"/>
          <w:u w:val="none"/>
          <w:vertAlign w:val="baseline"/>
        </w:rPr>
        <w:t xml:space="preserve">These allegations are more severe than the ordinary "difficulties attendant on prison life, such as transfers between facilities, solitary confinement, lockdowns, restricted access to the law library, and an inability to secure court documents, [that] do not by themselves qualify as extraordinary circumstances." </w:t>
      </w:r>
      <w:hyperlink r:id="rId48" w:history="1">
        <w:r>
          <w:rPr>
            <w:rFonts w:ascii="arial" w:eastAsia="arial" w:hAnsi="arial" w:cs="arial"/>
            <w:b w:val="0"/>
            <w:i/>
            <w:strike w:val="0"/>
            <w:noProof w:val="0"/>
            <w:color w:val="0077CC"/>
            <w:position w:val="0"/>
            <w:sz w:val="20"/>
            <w:u w:val="single"/>
            <w:vertAlign w:val="baseline"/>
          </w:rPr>
          <w:t>Austin v. Duncan</w:t>
        </w:r>
      </w:hyperlink>
      <w:hyperlink r:id="rId48" w:history="1">
        <w:r>
          <w:rPr>
            <w:rFonts w:ascii="arial" w:eastAsia="arial" w:hAnsi="arial" w:cs="arial"/>
            <w:b w:val="0"/>
            <w:i/>
            <w:strike w:val="0"/>
            <w:noProof w:val="0"/>
            <w:color w:val="0077CC"/>
            <w:position w:val="0"/>
            <w:sz w:val="20"/>
            <w:u w:val="single"/>
            <w:vertAlign w:val="baseline"/>
          </w:rPr>
          <w:t>, No. 02-CV-0732S(SC), 2005 U.S. Dist. LEXIS 44972, 2005 WL 2030742, at *4 (W.D.N.Y. Aug. 23, 2005)</w:t>
        </w:r>
      </w:hyperlink>
      <w:r>
        <w:rPr>
          <w:rFonts w:ascii="arial" w:eastAsia="arial" w:hAnsi="arial" w:cs="arial"/>
          <w:b w:val="0"/>
          <w:i w:val="0"/>
          <w:strike w:val="0"/>
          <w:noProof w:val="0"/>
          <w:color w:val="000000"/>
          <w:position w:val="0"/>
          <w:sz w:val="20"/>
          <w:u w:val="none"/>
          <w:vertAlign w:val="baseline"/>
        </w:rPr>
        <w:t xml:space="preserve"> (quoting </w:t>
      </w:r>
      <w:hyperlink r:id="rId49" w:history="1">
        <w:r>
          <w:rPr>
            <w:rFonts w:ascii="arial" w:eastAsia="arial" w:hAnsi="arial" w:cs="arial"/>
            <w:b w:val="0"/>
            <w:i/>
            <w:strike w:val="0"/>
            <w:noProof w:val="0"/>
            <w:color w:val="0077CC"/>
            <w:position w:val="0"/>
            <w:sz w:val="20"/>
            <w:u w:val="single"/>
            <w:vertAlign w:val="baseline"/>
          </w:rPr>
          <w:t>Corrigan v. Barbery</w:t>
        </w:r>
      </w:hyperlink>
      <w:hyperlink r:id="rId49" w:history="1">
        <w:r>
          <w:rPr>
            <w:rFonts w:ascii="arial" w:eastAsia="arial" w:hAnsi="arial" w:cs="arial"/>
            <w:b w:val="0"/>
            <w:i/>
            <w:strike w:val="0"/>
            <w:noProof w:val="0"/>
            <w:color w:val="0077CC"/>
            <w:position w:val="0"/>
            <w:sz w:val="20"/>
            <w:u w:val="single"/>
            <w:vertAlign w:val="baseline"/>
          </w:rPr>
          <w:t>, 371 F.Supp.2d 325, 330 (W.D.N.Y.2005)</w:t>
        </w:r>
      </w:hyperlink>
      <w:r>
        <w:rPr>
          <w:rFonts w:ascii="arial" w:eastAsia="arial" w:hAnsi="arial" w:cs="arial"/>
          <w:b w:val="0"/>
          <w:i w:val="0"/>
          <w:strike w:val="0"/>
          <w:noProof w:val="0"/>
          <w:color w:val="000000"/>
          <w:position w:val="0"/>
          <w:sz w:val="20"/>
          <w:u w:val="none"/>
          <w:vertAlign w:val="baseline"/>
        </w:rPr>
        <w:t xml:space="preserve">). However, when mere allegations are "directly contradict[ed]" by facts that the court may take judicial notice of, courts can dismiss the contradicted claims.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Serrano v. USA United Transit Bus Inc.</w:t>
        </w:r>
      </w:hyperlink>
      <w:hyperlink r:id="rId50" w:history="1">
        <w:r>
          <w:rPr>
            <w:rFonts w:ascii="arial" w:eastAsia="arial" w:hAnsi="arial" w:cs="arial"/>
            <w:b w:val="0"/>
            <w:i/>
            <w:strike w:val="0"/>
            <w:noProof w:val="0"/>
            <w:color w:val="0077CC"/>
            <w:position w:val="0"/>
            <w:sz w:val="20"/>
            <w:u w:val="single"/>
            <w:vertAlign w:val="baseline"/>
          </w:rPr>
          <w:t>, No. 09-CV-2710 (JG), 2009 U.S. Dist. LEXIS 102287, 2009 WL 3698395, at *7 (E.D.N.Y. Nov. 3, 2009)</w:t>
        </w:r>
      </w:hyperlink>
      <w:r>
        <w:rPr>
          <w:rFonts w:ascii="arial" w:eastAsia="arial" w:hAnsi="arial" w:cs="arial"/>
          <w:b w:val="0"/>
          <w:i w:val="0"/>
          <w:strike w:val="0"/>
          <w:noProof w:val="0"/>
          <w:color w:val="000000"/>
          <w:position w:val="0"/>
          <w:sz w:val="20"/>
          <w:u w:val="none"/>
          <w:vertAlign w:val="baseline"/>
        </w:rPr>
        <w:t xml:space="preserve"> (granting motion to dismiss, finding that equitable tolling did not apply after judicially noticing other lawsuits and filings submitted by the plaintiff during his alleged period of incapacitation), </w:t>
      </w:r>
      <w:r>
        <w:rPr>
          <w:rFonts w:ascii="arial" w:eastAsia="arial" w:hAnsi="arial" w:cs="arial"/>
          <w:b w:val="0"/>
          <w:i/>
          <w:strike w:val="0"/>
          <w:noProof w:val="0"/>
          <w:color w:val="000000"/>
          <w:position w:val="0"/>
          <w:sz w:val="20"/>
          <w:u w:val="none"/>
          <w:vertAlign w:val="baseline"/>
        </w:rPr>
        <w:t xml:space="preserve">aff'd sub nom. </w:t>
      </w:r>
      <w:hyperlink r:id="rId51" w:history="1">
        <w:r>
          <w:rPr>
            <w:rFonts w:ascii="arial" w:eastAsia="arial" w:hAnsi="arial" w:cs="arial"/>
            <w:b w:val="0"/>
            <w:i/>
            <w:strike w:val="0"/>
            <w:noProof w:val="0"/>
            <w:color w:val="0077CC"/>
            <w:position w:val="0"/>
            <w:sz w:val="20"/>
            <w:u w:val="single"/>
            <w:vertAlign w:val="baseline"/>
          </w:rPr>
          <w:t>Serrano v. USA United Transit, Inc.</w:t>
        </w:r>
      </w:hyperlink>
      <w:hyperlink r:id="rId51" w:history="1">
        <w:r>
          <w:rPr>
            <w:rFonts w:ascii="arial" w:eastAsia="arial" w:hAnsi="arial" w:cs="arial"/>
            <w:b w:val="0"/>
            <w:i/>
            <w:strike w:val="0"/>
            <w:noProof w:val="0"/>
            <w:color w:val="0077CC"/>
            <w:position w:val="0"/>
            <w:sz w:val="20"/>
            <w:u w:val="single"/>
            <w:vertAlign w:val="baseline"/>
          </w:rPr>
          <w:t>, 402 F. App'x 574 (2d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32"/>
      <w:bookmarkEnd w:id="63"/>
      <w:r>
        <w:rPr>
          <w:rFonts w:ascii="arial" w:eastAsia="arial" w:hAnsi="arial" w:cs="arial"/>
          <w:b w:val="0"/>
          <w:i w:val="0"/>
          <w:strike w:val="0"/>
          <w:noProof w:val="0"/>
          <w:color w:val="000000"/>
          <w:position w:val="0"/>
          <w:sz w:val="20"/>
          <w:u w:val="none"/>
          <w:vertAlign w:val="baseline"/>
        </w:rPr>
        <w:t xml:space="preserve">The Second Circuit has set forth seemingly inconsistent summary orders on whether judicially noticing cases filed during an alleged period of incapacity can bar equitable tolling on a motion to dismiss. </w:t>
      </w:r>
      <w:r>
        <w:rPr>
          <w:rFonts w:ascii="arial" w:eastAsia="arial" w:hAnsi="arial" w:cs="arial"/>
          <w:b w:val="0"/>
          <w:i/>
          <w:strike w:val="0"/>
          <w:noProof w:val="0"/>
          <w:color w:val="000000"/>
          <w:position w:val="0"/>
          <w:sz w:val="20"/>
          <w:u w:val="none"/>
          <w:vertAlign w:val="baseline"/>
        </w:rPr>
        <w:t xml:space="preserve">Compare </w:t>
      </w:r>
      <w:hyperlink r:id="rId51" w:history="1">
        <w:r>
          <w:rPr>
            <w:rFonts w:ascii="arial" w:eastAsia="arial" w:hAnsi="arial" w:cs="arial"/>
            <w:b w:val="0"/>
            <w:i/>
            <w:strike w:val="0"/>
            <w:noProof w:val="0"/>
            <w:color w:val="0077CC"/>
            <w:position w:val="0"/>
            <w:sz w:val="20"/>
            <w:u w:val="single"/>
            <w:vertAlign w:val="baseline"/>
          </w:rPr>
          <w:t>Serrano</w:t>
        </w:r>
      </w:hyperlink>
      <w:hyperlink r:id="rId51" w:history="1">
        <w:r>
          <w:rPr>
            <w:rFonts w:ascii="arial" w:eastAsia="arial" w:hAnsi="arial" w:cs="arial"/>
            <w:b w:val="0"/>
            <w:i/>
            <w:strike w:val="0"/>
            <w:noProof w:val="0"/>
            <w:color w:val="0077CC"/>
            <w:position w:val="0"/>
            <w:sz w:val="20"/>
            <w:u w:val="single"/>
            <w:vertAlign w:val="baseline"/>
          </w:rPr>
          <w:t>, 402 F. App'x at 576</w:t>
        </w:r>
      </w:hyperlink>
      <w:r>
        <w:rPr>
          <w:rFonts w:ascii="arial" w:eastAsia="arial" w:hAnsi="arial" w:cs="arial"/>
          <w:b w:val="0"/>
          <w:i w:val="0"/>
          <w:strike w:val="0"/>
          <w:noProof w:val="0"/>
          <w:color w:val="000000"/>
          <w:position w:val="0"/>
          <w:sz w:val="20"/>
          <w:u w:val="none"/>
          <w:vertAlign w:val="baseline"/>
        </w:rPr>
        <w:t xml:space="preserve"> ("The court did not abuse its discretion in determining that Appellants did not establish the 'reasonable diligence' and 'extraordinary' circumstances necessary for equitable tolling. Appellants[] . . . . do</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not explain how Serrano's mental illness stood in the way of his ability to comply with the limitations period; their participation in other litigation during the same time period belies any such inhibition.") (summary order), </w:t>
      </w:r>
      <w:r>
        <w:rPr>
          <w:rFonts w:ascii="arial" w:eastAsia="arial" w:hAnsi="arial" w:cs="arial"/>
          <w:b w:val="0"/>
          <w:i/>
          <w:strike w:val="0"/>
          <w:noProof w:val="0"/>
          <w:color w:val="000000"/>
          <w:position w:val="0"/>
          <w:sz w:val="20"/>
          <w:u w:val="none"/>
          <w:vertAlign w:val="baseline"/>
        </w:rPr>
        <w:t xml:space="preserve">with </w:t>
      </w:r>
      <w:hyperlink r:id="rId52" w:history="1">
        <w:r>
          <w:rPr>
            <w:rFonts w:ascii="arial" w:eastAsia="arial" w:hAnsi="arial" w:cs="arial"/>
            <w:b w:val="0"/>
            <w:i/>
            <w:strike w:val="0"/>
            <w:noProof w:val="0"/>
            <w:color w:val="0077CC"/>
            <w:position w:val="0"/>
            <w:sz w:val="20"/>
            <w:u w:val="single"/>
            <w:vertAlign w:val="baseline"/>
          </w:rPr>
          <w:t>Mandarino v. Mandarino</w:t>
        </w:r>
      </w:hyperlink>
      <w:hyperlink r:id="rId52" w:history="1">
        <w:r>
          <w:rPr>
            <w:rFonts w:ascii="arial" w:eastAsia="arial" w:hAnsi="arial" w:cs="arial"/>
            <w:b w:val="0"/>
            <w:i/>
            <w:strike w:val="0"/>
            <w:noProof w:val="0"/>
            <w:color w:val="0077CC"/>
            <w:position w:val="0"/>
            <w:sz w:val="20"/>
            <w:u w:val="single"/>
            <w:vertAlign w:val="baseline"/>
          </w:rPr>
          <w:t>, 180 F. App'x 258, 260-61 (2d Cir. 2006)</w:t>
        </w:r>
      </w:hyperlink>
      <w:r>
        <w:rPr>
          <w:rFonts w:ascii="arial" w:eastAsia="arial" w:hAnsi="arial" w:cs="arial"/>
          <w:b w:val="0"/>
          <w:i w:val="0"/>
          <w:strike w:val="0"/>
          <w:noProof w:val="0"/>
          <w:color w:val="000000"/>
          <w:position w:val="0"/>
          <w:sz w:val="20"/>
          <w:u w:val="none"/>
          <w:vertAlign w:val="baseline"/>
        </w:rPr>
        <w:t xml:space="preserve"> ("The District Court concluded that plaintiff was ineligible for equitable tolling because . . . he had participated in two lawsuits . . . during the alleged period of incapacity . . . . We conclude that, in the circumstances presented, the District Court should not have resolved the fact-specific equitable tolling issue on defendants' motion to dismiss. When, as here, the facts are disputed, the best practice is to analyze a question of mental incapacity in the context of summary judgment.") (summary order).</w:t>
      </w:r>
    </w:p>
    <w:p>
      <w:pPr>
        <w:keepNext w:val="0"/>
        <w:spacing w:before="240" w:after="0" w:line="260" w:lineRule="atLeast"/>
        <w:ind w:left="0" w:right="0" w:firstLine="0"/>
        <w:jc w:val="both"/>
      </w:pPr>
      <w:bookmarkStart w:id="64" w:name="Bookmark_para_33"/>
      <w:bookmarkEnd w:id="64"/>
      <w:bookmarkStart w:id="65" w:name="Bookmark_I685M9FB2N1R9T0050000400"/>
      <w:bookmarkEnd w:id="65"/>
      <w:r>
        <w:rPr>
          <w:rFonts w:ascii="arial" w:eastAsia="arial" w:hAnsi="arial" w:cs="arial"/>
          <w:b w:val="0"/>
          <w:i w:val="0"/>
          <w:strike w:val="0"/>
          <w:noProof w:val="0"/>
          <w:color w:val="000000"/>
          <w:position w:val="0"/>
          <w:sz w:val="20"/>
          <w:u w:val="none"/>
          <w:vertAlign w:val="baseline"/>
        </w:rPr>
        <w:t xml:space="preserve">However, district courts since </w:t>
      </w:r>
      <w:r>
        <w:rPr>
          <w:rFonts w:ascii="arial" w:eastAsia="arial" w:hAnsi="arial" w:cs="arial"/>
          <w:b w:val="0"/>
          <w:i/>
          <w:strike w:val="0"/>
          <w:noProof w:val="0"/>
          <w:color w:val="000000"/>
          <w:position w:val="0"/>
          <w:sz w:val="20"/>
          <w:u w:val="none"/>
          <w:vertAlign w:val="baseline"/>
        </w:rPr>
        <w:t>Mandarino</w:t>
      </w:r>
      <w:r>
        <w:rPr>
          <w:rFonts w:ascii="arial" w:eastAsia="arial" w:hAnsi="arial" w:cs="arial"/>
          <w:b w:val="0"/>
          <w:i w:val="0"/>
          <w:strike w:val="0"/>
          <w:noProof w:val="0"/>
          <w:color w:val="000000"/>
          <w:position w:val="0"/>
          <w:sz w:val="20"/>
          <w:u w:val="none"/>
          <w:vertAlign w:val="baseline"/>
        </w:rPr>
        <w:t xml:space="preserve"> have routinely dismissed claims after judicially noticing litigation activity during the time period the plaintiff was alleged to have been incapable of filing their claim. </w:t>
      </w:r>
      <w:r>
        <w:rPr>
          <w:rFonts w:ascii="arial" w:eastAsia="arial" w:hAnsi="arial" w:cs="arial"/>
          <w:b w:val="0"/>
          <w:i/>
          <w:strike w:val="0"/>
          <w:noProof w:val="0"/>
          <w:color w:val="000000"/>
          <w:position w:val="0"/>
          <w:sz w:val="20"/>
          <w:u w:val="none"/>
          <w:vertAlign w:val="baseline"/>
        </w:rPr>
        <w:t xml:space="preserve">See </w:t>
      </w:r>
      <w:hyperlink r:id="rId53" w:history="1">
        <w:r>
          <w:rPr>
            <w:rFonts w:ascii="arial" w:eastAsia="arial" w:hAnsi="arial" w:cs="arial"/>
            <w:b w:val="0"/>
            <w:i/>
            <w:strike w:val="0"/>
            <w:noProof w:val="0"/>
            <w:color w:val="0077CC"/>
            <w:position w:val="0"/>
            <w:sz w:val="20"/>
            <w:u w:val="single"/>
            <w:vertAlign w:val="baseline"/>
          </w:rPr>
          <w:t>Mitchell v. Bell</w:t>
        </w:r>
      </w:hyperlink>
      <w:hyperlink r:id="rId53" w:history="1">
        <w:r>
          <w:rPr>
            <w:rFonts w:ascii="arial" w:eastAsia="arial" w:hAnsi="arial" w:cs="arial"/>
            <w:b w:val="0"/>
            <w:i/>
            <w:strike w:val="0"/>
            <w:noProof w:val="0"/>
            <w:color w:val="0077CC"/>
            <w:position w:val="0"/>
            <w:sz w:val="20"/>
            <w:u w:val="single"/>
            <w:vertAlign w:val="baseline"/>
          </w:rPr>
          <w:t>, No. 9:04-CV-1490, 2006 U.S. Dist. LEXIS 77623, 2006 W L 3043126, at *6 (N.D.N.Y. Oct. 23, 2006)</w:t>
        </w:r>
      </w:hyperlink>
      <w:r>
        <w:rPr>
          <w:rFonts w:ascii="arial" w:eastAsia="arial" w:hAnsi="arial" w:cs="arial"/>
          <w:b w:val="0"/>
          <w:i w:val="0"/>
          <w:strike w:val="0"/>
          <w:noProof w:val="0"/>
          <w:color w:val="000000"/>
          <w:position w:val="0"/>
          <w:sz w:val="20"/>
          <w:u w:val="none"/>
          <w:vertAlign w:val="baseline"/>
        </w:rPr>
        <w:t xml:space="preserve"> (dismissing claims because plaintiff filed seven other actions during period of alleged inability to file claims); </w:t>
      </w:r>
      <w:bookmarkStart w:id="66" w:name="Bookmark_I685M9FC28T3YG0010000400"/>
      <w:bookmarkEnd w:id="66"/>
      <w:hyperlink r:id="rId54" w:history="1">
        <w:r>
          <w:rPr>
            <w:rFonts w:ascii="arial" w:eastAsia="arial" w:hAnsi="arial" w:cs="arial"/>
            <w:b w:val="0"/>
            <w:i/>
            <w:strike w:val="0"/>
            <w:noProof w:val="0"/>
            <w:color w:val="0077CC"/>
            <w:position w:val="0"/>
            <w:sz w:val="20"/>
            <w:u w:val="single"/>
            <w:vertAlign w:val="baseline"/>
          </w:rPr>
          <w:t>Victorial v. Burge</w:t>
        </w:r>
      </w:hyperlink>
      <w:hyperlink r:id="rId54" w:history="1">
        <w:r>
          <w:rPr>
            <w:rFonts w:ascii="arial" w:eastAsia="arial" w:hAnsi="arial" w:cs="arial"/>
            <w:b w:val="0"/>
            <w:i/>
            <w:strike w:val="0"/>
            <w:noProof w:val="0"/>
            <w:color w:val="0077CC"/>
            <w:position w:val="0"/>
            <w:sz w:val="20"/>
            <w:u w:val="single"/>
            <w:vertAlign w:val="baseline"/>
          </w:rPr>
          <w:t>, 477 F. Supp. 2d 652, 655 (S.D.N.Y. 2007)</w:t>
        </w:r>
      </w:hyperlink>
      <w:r>
        <w:rPr>
          <w:rFonts w:ascii="arial" w:eastAsia="arial" w:hAnsi="arial" w:cs="arial"/>
          <w:b w:val="0"/>
          <w:i w:val="0"/>
          <w:strike w:val="0"/>
          <w:noProof w:val="0"/>
          <w:color w:val="000000"/>
          <w:position w:val="0"/>
          <w:sz w:val="20"/>
          <w:u w:val="none"/>
          <w:vertAlign w:val="baseline"/>
        </w:rPr>
        <w:t xml:space="preserve"> (plaintiff defended himself at trial and filed two appeals during period his alleged mental illness prevented filing habeas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petition); </w:t>
      </w:r>
      <w:bookmarkStart w:id="67" w:name="Bookmark_I685M9FC28T3YG0030000400"/>
      <w:bookmarkEnd w:id="67"/>
      <w:hyperlink r:id="rId55" w:history="1">
        <w:r>
          <w:rPr>
            <w:rFonts w:ascii="arial" w:eastAsia="arial" w:hAnsi="arial" w:cs="arial"/>
            <w:b w:val="0"/>
            <w:i/>
            <w:strike w:val="0"/>
            <w:noProof w:val="0"/>
            <w:color w:val="0077CC"/>
            <w:position w:val="0"/>
            <w:sz w:val="20"/>
            <w:u w:val="single"/>
            <w:vertAlign w:val="baseline"/>
          </w:rPr>
          <w:t>Harnage v. Torres</w:t>
        </w:r>
      </w:hyperlink>
      <w:hyperlink r:id="rId55" w:history="1">
        <w:r>
          <w:rPr>
            <w:rFonts w:ascii="arial" w:eastAsia="arial" w:hAnsi="arial" w:cs="arial"/>
            <w:b w:val="0"/>
            <w:i/>
            <w:strike w:val="0"/>
            <w:noProof w:val="0"/>
            <w:color w:val="0077CC"/>
            <w:position w:val="0"/>
            <w:sz w:val="20"/>
            <w:u w:val="single"/>
            <w:vertAlign w:val="baseline"/>
          </w:rPr>
          <w:t>, Civil No. 3:15-cv-1843(AWT), 2016 U.S. Dist. LEXIS 185168, at *5 (D. Conn. Jan. 11, 2016)</w:t>
        </w:r>
      </w:hyperlink>
      <w:r>
        <w:rPr>
          <w:rFonts w:ascii="arial" w:eastAsia="arial" w:hAnsi="arial" w:cs="arial"/>
          <w:b w:val="0"/>
          <w:i w:val="0"/>
          <w:strike w:val="0"/>
          <w:noProof w:val="0"/>
          <w:color w:val="000000"/>
          <w:position w:val="0"/>
          <w:sz w:val="20"/>
          <w:u w:val="none"/>
          <w:vertAlign w:val="baseline"/>
        </w:rPr>
        <w:t xml:space="preserve"> (dismissing claims because the plaintiff filed ten other lawsuits during the period of alleged inability to file claims); </w:t>
      </w:r>
      <w:bookmarkStart w:id="68" w:name="Bookmark_I696TKSK2N1PP00020000400"/>
      <w:bookmarkEnd w:id="68"/>
      <w:hyperlink r:id="rId56" w:history="1">
        <w:r>
          <w:rPr>
            <w:rFonts w:ascii="arial" w:eastAsia="arial" w:hAnsi="arial" w:cs="arial"/>
            <w:b w:val="0"/>
            <w:i/>
            <w:strike w:val="0"/>
            <w:noProof w:val="0"/>
            <w:color w:val="0077CC"/>
            <w:position w:val="0"/>
            <w:sz w:val="20"/>
            <w:u w:val="single"/>
            <w:vertAlign w:val="baseline"/>
          </w:rPr>
          <w:t>Jeanty v. McLane E. Inc.</w:t>
        </w:r>
      </w:hyperlink>
      <w:hyperlink r:id="rId56" w:history="1">
        <w:r>
          <w:rPr>
            <w:rFonts w:ascii="arial" w:eastAsia="arial" w:hAnsi="arial" w:cs="arial"/>
            <w:b w:val="0"/>
            <w:i/>
            <w:strike w:val="0"/>
            <w:noProof w:val="0"/>
            <w:color w:val="0077CC"/>
            <w:position w:val="0"/>
            <w:sz w:val="20"/>
            <w:u w:val="single"/>
            <w:vertAlign w:val="baseline"/>
          </w:rPr>
          <w:t>, 17 CV 6366 (VB), 2018 U.S. Dist. LEXIS 45528, 2018 WL 1406625, at *4 (S.D.N.Y. Mar. 20, 2018)</w:t>
        </w:r>
      </w:hyperlink>
      <w:r>
        <w:rPr>
          <w:rFonts w:ascii="arial" w:eastAsia="arial" w:hAnsi="arial" w:cs="arial"/>
          <w:b w:val="0"/>
          <w:i w:val="0"/>
          <w:strike w:val="0"/>
          <w:noProof w:val="0"/>
          <w:color w:val="000000"/>
          <w:position w:val="0"/>
          <w:sz w:val="20"/>
          <w:u w:val="none"/>
          <w:vertAlign w:val="baseline"/>
        </w:rPr>
        <w:t xml:space="preserve"> ("The Court takes judicial notice that plaintiff has three other pending cases, filed close in time to the instant case . . . . The fact that plaintiff has recently filed at least three other lawsuits tends to show that his mental state does not impair his ability to comprehend and protect his legal rights."); </w:t>
      </w:r>
      <w:hyperlink r:id="rId57" w:history="1">
        <w:r>
          <w:rPr>
            <w:rFonts w:ascii="arial" w:eastAsia="arial" w:hAnsi="arial" w:cs="arial"/>
            <w:b w:val="0"/>
            <w:i/>
            <w:strike w:val="0"/>
            <w:noProof w:val="0"/>
            <w:color w:val="0077CC"/>
            <w:position w:val="0"/>
            <w:sz w:val="20"/>
            <w:u w:val="single"/>
            <w:vertAlign w:val="baseline"/>
          </w:rPr>
          <w:t>Rodriguez v. Ercole</w:t>
        </w:r>
      </w:hyperlink>
      <w:hyperlink r:id="rId57" w:history="1">
        <w:r>
          <w:rPr>
            <w:rFonts w:ascii="arial" w:eastAsia="arial" w:hAnsi="arial" w:cs="arial"/>
            <w:b w:val="0"/>
            <w:i/>
            <w:strike w:val="0"/>
            <w:noProof w:val="0"/>
            <w:color w:val="0077CC"/>
            <w:position w:val="0"/>
            <w:sz w:val="20"/>
            <w:u w:val="single"/>
            <w:vertAlign w:val="baseline"/>
          </w:rPr>
          <w:t>, No. 08-CV-3745 (NG), 2010 U.S. Dist. LEXIS 119544, 2010 WL 4669919, at *9 (E.D.N.Y. Aug. 2, 2010)</w:t>
        </w:r>
      </w:hyperlink>
      <w:r>
        <w:rPr>
          <w:rFonts w:ascii="arial" w:eastAsia="arial" w:hAnsi="arial" w:cs="arial"/>
          <w:b w:val="0"/>
          <w:i w:val="0"/>
          <w:strike w:val="0"/>
          <w:noProof w:val="0"/>
          <w:color w:val="000000"/>
          <w:position w:val="0"/>
          <w:sz w:val="20"/>
          <w:u w:val="none"/>
          <w:vertAlign w:val="baseline"/>
        </w:rPr>
        <w:t xml:space="preserve">, (plaintiff filed two other lawsuits during period of alleged medical inability to file habeas petition),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58" w:history="1">
        <w:r>
          <w:rPr>
            <w:rFonts w:ascii="arial" w:eastAsia="arial" w:hAnsi="arial" w:cs="arial"/>
            <w:b w:val="0"/>
            <w:i/>
            <w:strike w:val="0"/>
            <w:noProof w:val="0"/>
            <w:color w:val="0077CC"/>
            <w:position w:val="0"/>
            <w:sz w:val="20"/>
            <w:u w:val="single"/>
            <w:vertAlign w:val="baseline"/>
          </w:rPr>
          <w:t>No. 08 CV 3745(NG)(RLM), 2010 U.S. Dist. LEXIS 119537, 2010 WL 4672074 (E.D.N.Y. Nov. 10,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59" w:history="1">
        <w:r>
          <w:rPr>
            <w:rFonts w:ascii="arial" w:eastAsia="arial" w:hAnsi="arial" w:cs="arial"/>
            <w:b w:val="0"/>
            <w:i/>
            <w:strike w:val="0"/>
            <w:noProof w:val="0"/>
            <w:color w:val="0077CC"/>
            <w:position w:val="0"/>
            <w:sz w:val="20"/>
            <w:u w:val="single"/>
            <w:vertAlign w:val="baseline"/>
          </w:rPr>
          <w:t>Saunders v. Edwards</w:t>
        </w:r>
      </w:hyperlink>
      <w:hyperlink r:id="rId59" w:history="1">
        <w:r>
          <w:rPr>
            <w:rFonts w:ascii="arial" w:eastAsia="arial" w:hAnsi="arial" w:cs="arial"/>
            <w:b w:val="0"/>
            <w:i/>
            <w:strike w:val="0"/>
            <w:noProof w:val="0"/>
            <w:color w:val="0077CC"/>
            <w:position w:val="0"/>
            <w:sz w:val="20"/>
            <w:u w:val="single"/>
            <w:vertAlign w:val="baseline"/>
          </w:rPr>
          <w:t>, No. 03 Civ.1087 NRB, 2003 U.S. Dist. LEXIS 21737, 2003 WL 22871912, at *2 (S.D.N.Y. Dec. 4, 2003)</w:t>
        </w:r>
      </w:hyperlink>
      <w:r>
        <w:rPr>
          <w:rFonts w:ascii="arial" w:eastAsia="arial" w:hAnsi="arial" w:cs="arial"/>
          <w:b w:val="0"/>
          <w:i w:val="0"/>
          <w:strike w:val="0"/>
          <w:noProof w:val="0"/>
          <w:color w:val="000000"/>
          <w:position w:val="0"/>
          <w:sz w:val="20"/>
          <w:u w:val="none"/>
          <w:vertAlign w:val="baseline"/>
        </w:rPr>
        <w:t xml:space="preserve"> (predating </w:t>
      </w:r>
      <w:r>
        <w:rPr>
          <w:rFonts w:ascii="arial" w:eastAsia="arial" w:hAnsi="arial" w:cs="arial"/>
          <w:b w:val="0"/>
          <w:i/>
          <w:strike w:val="0"/>
          <w:noProof w:val="0"/>
          <w:color w:val="000000"/>
          <w:position w:val="0"/>
          <w:sz w:val="20"/>
          <w:u w:val="none"/>
          <w:vertAlign w:val="baseline"/>
        </w:rPr>
        <w:t>Mandarino</w:t>
      </w:r>
      <w:r>
        <w:rPr>
          <w:rFonts w:ascii="arial" w:eastAsia="arial" w:hAnsi="arial" w:cs="arial"/>
          <w:b w:val="0"/>
          <w:i w:val="0"/>
          <w:strike w:val="0"/>
          <w:noProof w:val="0"/>
          <w:color w:val="000000"/>
          <w:position w:val="0"/>
          <w:sz w:val="20"/>
          <w:u w:val="none"/>
          <w:vertAlign w:val="baseline"/>
        </w:rPr>
        <w:t xml:space="preserve">, but stating "Saunders' disability is not a sufficient reason for the Court to equitably toll the AEDPA's limitations period because his condition did not rise to such a level as to truly prevent him from pursuing his legal rights. To the contrary, he has been able to file eight other lawsuits in this Court since the time of his conviction, including two other petitions for habeas corpus."),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171 F. App'x 872 (2d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34"/>
      <w:bookmarkEnd w:id="69"/>
      <w:r>
        <w:rPr>
          <w:rFonts w:ascii="arial" w:eastAsia="arial" w:hAnsi="arial" w:cs="arial"/>
          <w:b w:val="0"/>
          <w:i w:val="0"/>
          <w:strike w:val="0"/>
          <w:noProof w:val="0"/>
          <w:color w:val="000000"/>
          <w:position w:val="0"/>
          <w:sz w:val="20"/>
          <w:u w:val="none"/>
          <w:vertAlign w:val="baseline"/>
        </w:rPr>
        <w:t xml:space="preserve">Here, this Court takes judicial notice of eleven cases Plaintiff was involved in between 2013 and 2016, roughly the period in which he seeks equitable tolling. </w:t>
      </w:r>
      <w:r>
        <w:rPr>
          <w:rFonts w:ascii="arial" w:eastAsia="arial" w:hAnsi="arial" w:cs="arial"/>
          <w:b w:val="0"/>
          <w:i/>
          <w:strike w:val="0"/>
          <w:noProof w:val="0"/>
          <w:color w:val="000000"/>
          <w:position w:val="0"/>
          <w:sz w:val="20"/>
          <w:u w:val="none"/>
          <w:vertAlign w:val="baseline"/>
        </w:rPr>
        <w:t xml:space="preserve">See </w:t>
      </w:r>
      <w:hyperlink r:id="rId61" w:history="1">
        <w:r>
          <w:rPr>
            <w:rFonts w:ascii="arial" w:eastAsia="arial" w:hAnsi="arial" w:cs="arial"/>
            <w:b w:val="0"/>
            <w:i/>
            <w:strike w:val="0"/>
            <w:noProof w:val="0"/>
            <w:color w:val="0077CC"/>
            <w:position w:val="0"/>
            <w:sz w:val="20"/>
            <w:u w:val="single"/>
            <w:vertAlign w:val="baseline"/>
          </w:rPr>
          <w:t>Matter of Haigler v. Fischer</w:t>
        </w:r>
      </w:hyperlink>
      <w:hyperlink r:id="rId61" w:history="1">
        <w:r>
          <w:rPr>
            <w:rFonts w:ascii="arial" w:eastAsia="arial" w:hAnsi="arial" w:cs="arial"/>
            <w:b w:val="0"/>
            <w:i/>
            <w:strike w:val="0"/>
            <w:noProof w:val="0"/>
            <w:color w:val="0077CC"/>
            <w:position w:val="0"/>
            <w:sz w:val="20"/>
            <w:u w:val="single"/>
            <w:vertAlign w:val="baseline"/>
          </w:rPr>
          <w:t>, 113 A.D.3d 768, 768, 978 N.Y.S.2d 892 (2nd Dep't 2014)</w:t>
        </w:r>
      </w:hyperlink>
      <w:r>
        <w:rPr>
          <w:rFonts w:ascii="arial" w:eastAsia="arial" w:hAnsi="arial" w:cs="arial"/>
          <w:b w:val="0"/>
          <w:i w:val="0"/>
          <w:strike w:val="0"/>
          <w:noProof w:val="0"/>
          <w:color w:val="000000"/>
          <w:position w:val="0"/>
          <w:sz w:val="20"/>
          <w:u w:val="none"/>
          <w:vertAlign w:val="baseline"/>
        </w:rPr>
        <w:t xml:space="preserve"> (CPLR Article 78 proceeding</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regarding prison disciplinary hearing); </w:t>
      </w:r>
      <w:r>
        <w:rPr>
          <w:rFonts w:ascii="arial" w:eastAsia="arial" w:hAnsi="arial" w:cs="arial"/>
          <w:b w:val="0"/>
          <w:i/>
          <w:strike w:val="0"/>
          <w:noProof w:val="0"/>
          <w:color w:val="000000"/>
          <w:position w:val="0"/>
          <w:sz w:val="20"/>
          <w:u w:val="none"/>
          <w:vertAlign w:val="baseline"/>
        </w:rPr>
        <w:t>People v. Haigler</w:t>
      </w:r>
      <w:r>
        <w:rPr>
          <w:rFonts w:ascii="arial" w:eastAsia="arial" w:hAnsi="arial" w:cs="arial"/>
          <w:b w:val="0"/>
          <w:i/>
          <w:strike w:val="0"/>
          <w:noProof w:val="0"/>
          <w:color w:val="000000"/>
          <w:position w:val="0"/>
          <w:sz w:val="20"/>
          <w:u w:val="none"/>
          <w:vertAlign w:val="baseline"/>
        </w:rPr>
        <w:t>, 117 A.D.3d 478, 478, 984 N.Y.S.2d 595 (1st Dep't 2014)</w:t>
      </w:r>
      <w:r>
        <w:rPr>
          <w:rFonts w:ascii="arial" w:eastAsia="arial" w:hAnsi="arial" w:cs="arial"/>
          <w:b w:val="0"/>
          <w:i w:val="0"/>
          <w:strike w:val="0"/>
          <w:noProof w:val="0"/>
          <w:color w:val="000000"/>
          <w:position w:val="0"/>
          <w:sz w:val="20"/>
          <w:u w:val="none"/>
          <w:vertAlign w:val="baseline"/>
        </w:rPr>
        <w:t xml:space="preserve"> (resentencing proceeding); </w:t>
      </w:r>
      <w:hyperlink r:id="rId62" w:history="1">
        <w:r>
          <w:rPr>
            <w:rFonts w:ascii="arial" w:eastAsia="arial" w:hAnsi="arial" w:cs="arial"/>
            <w:b w:val="0"/>
            <w:i/>
            <w:strike w:val="0"/>
            <w:noProof w:val="0"/>
            <w:color w:val="0077CC"/>
            <w:position w:val="0"/>
            <w:sz w:val="20"/>
            <w:u w:val="single"/>
            <w:vertAlign w:val="baseline"/>
          </w:rPr>
          <w:t>Matter of Haigler v. Fischer</w:t>
        </w:r>
      </w:hyperlink>
      <w:hyperlink r:id="rId62" w:history="1">
        <w:r>
          <w:rPr>
            <w:rFonts w:ascii="arial" w:eastAsia="arial" w:hAnsi="arial" w:cs="arial"/>
            <w:b w:val="0"/>
            <w:i/>
            <w:strike w:val="0"/>
            <w:noProof w:val="0"/>
            <w:color w:val="0077CC"/>
            <w:position w:val="0"/>
            <w:sz w:val="20"/>
            <w:u w:val="single"/>
            <w:vertAlign w:val="baseline"/>
          </w:rPr>
          <w:t>, 119 A.D.3d 1261, 1262, 989 N.Y.S.2d 698 (3rd Dep't 2014)</w:t>
        </w:r>
      </w:hyperlink>
      <w:r>
        <w:rPr>
          <w:rFonts w:ascii="arial" w:eastAsia="arial" w:hAnsi="arial" w:cs="arial"/>
          <w:b w:val="0"/>
          <w:i w:val="0"/>
          <w:strike w:val="0"/>
          <w:noProof w:val="0"/>
          <w:color w:val="000000"/>
          <w:position w:val="0"/>
          <w:sz w:val="20"/>
          <w:u w:val="none"/>
          <w:vertAlign w:val="baseline"/>
        </w:rPr>
        <w:t xml:space="preserve"> (CPLR Article 78 proceeding s regarding the January 2013 Disciplinary Hearing); </w:t>
      </w:r>
      <w:r>
        <w:rPr>
          <w:rFonts w:ascii="arial" w:eastAsia="arial" w:hAnsi="arial" w:cs="arial"/>
          <w:b w:val="0"/>
          <w:i/>
          <w:strike w:val="0"/>
          <w:noProof w:val="0"/>
          <w:color w:val="000000"/>
          <w:position w:val="0"/>
          <w:sz w:val="20"/>
          <w:u w:val="none"/>
          <w:vertAlign w:val="baseline"/>
        </w:rPr>
        <w:t>Haigler</w:t>
      </w:r>
      <w:r>
        <w:rPr>
          <w:rFonts w:ascii="arial" w:eastAsia="arial" w:hAnsi="arial" w:cs="arial"/>
          <w:b w:val="0"/>
          <w:i/>
          <w:strike w:val="0"/>
          <w:noProof w:val="0"/>
          <w:color w:val="000000"/>
          <w:position w:val="0"/>
          <w:sz w:val="20"/>
          <w:u w:val="none"/>
          <w:vertAlign w:val="baseline"/>
        </w:rPr>
        <w:t>, 128 A.D.3d at 1427</w:t>
      </w:r>
      <w:r>
        <w:rPr>
          <w:rFonts w:ascii="arial" w:eastAsia="arial" w:hAnsi="arial" w:cs="arial"/>
          <w:b w:val="0"/>
          <w:i w:val="0"/>
          <w:strike w:val="0"/>
          <w:noProof w:val="0"/>
          <w:color w:val="000000"/>
          <w:position w:val="0"/>
          <w:sz w:val="20"/>
          <w:u w:val="none"/>
          <w:vertAlign w:val="baseline"/>
        </w:rPr>
        <w:t xml:space="preserve"> (appeal of </w:t>
      </w:r>
      <w:r>
        <w:rPr>
          <w:rFonts w:ascii="arial" w:eastAsia="arial" w:hAnsi="arial" w:cs="arial"/>
          <w:b w:val="0"/>
          <w:i/>
          <w:strike w:val="0"/>
          <w:noProof w:val="0"/>
          <w:color w:val="000000"/>
          <w:position w:val="0"/>
          <w:sz w:val="20"/>
          <w:u w:val="none"/>
          <w:vertAlign w:val="baseline"/>
        </w:rPr>
        <w:t>Alford</w:t>
      </w:r>
      <w:r>
        <w:rPr>
          <w:rFonts w:ascii="arial" w:eastAsia="arial" w:hAnsi="arial" w:cs="arial"/>
          <w:b w:val="0"/>
          <w:i w:val="0"/>
          <w:strike w:val="0"/>
          <w:noProof w:val="0"/>
          <w:color w:val="000000"/>
          <w:position w:val="0"/>
          <w:sz w:val="20"/>
          <w:u w:val="none"/>
          <w:vertAlign w:val="baseline"/>
        </w:rPr>
        <w:t xml:space="preserve"> plea); </w:t>
      </w:r>
      <w:hyperlink r:id="rId63" w:history="1">
        <w:r>
          <w:rPr>
            <w:rFonts w:ascii="arial" w:eastAsia="arial" w:hAnsi="arial" w:cs="arial"/>
            <w:b w:val="0"/>
            <w:i/>
            <w:strike w:val="0"/>
            <w:noProof w:val="0"/>
            <w:color w:val="0077CC"/>
            <w:position w:val="0"/>
            <w:sz w:val="20"/>
            <w:u w:val="single"/>
            <w:vertAlign w:val="baseline"/>
          </w:rPr>
          <w:t>People v. Haigler</w:t>
        </w:r>
      </w:hyperlink>
      <w:hyperlink r:id="rId63" w:history="1">
        <w:r>
          <w:rPr>
            <w:rFonts w:ascii="arial" w:eastAsia="arial" w:hAnsi="arial" w:cs="arial"/>
            <w:b w:val="0"/>
            <w:i/>
            <w:strike w:val="0"/>
            <w:noProof w:val="0"/>
            <w:color w:val="0077CC"/>
            <w:position w:val="0"/>
            <w:sz w:val="20"/>
            <w:u w:val="single"/>
            <w:vertAlign w:val="baseline"/>
          </w:rPr>
          <w:t>, 140 A.D.3d 1680, 1681, 33 N.Y.S.3d 631 (4th Dep't 2016)</w:t>
        </w:r>
      </w:hyperlink>
      <w:r>
        <w:rPr>
          <w:rFonts w:ascii="arial" w:eastAsia="arial" w:hAnsi="arial" w:cs="arial"/>
          <w:b w:val="0"/>
          <w:i w:val="0"/>
          <w:strike w:val="0"/>
          <w:noProof w:val="0"/>
          <w:color w:val="000000"/>
          <w:position w:val="0"/>
          <w:sz w:val="20"/>
          <w:u w:val="none"/>
          <w:vertAlign w:val="baseline"/>
        </w:rPr>
        <w:t xml:space="preserve"> (appeal of conviction via guilty plea); </w:t>
      </w:r>
      <w:r>
        <w:rPr>
          <w:rFonts w:ascii="arial" w:eastAsia="arial" w:hAnsi="arial" w:cs="arial"/>
          <w:b w:val="0"/>
          <w:i/>
          <w:strike w:val="0"/>
          <w:noProof w:val="0"/>
          <w:color w:val="000000"/>
          <w:position w:val="0"/>
          <w:sz w:val="20"/>
          <w:u w:val="none"/>
          <w:vertAlign w:val="baseline"/>
        </w:rPr>
        <w:t>Matter of Haigler v. Annucci</w:t>
      </w:r>
      <w:r>
        <w:rPr>
          <w:rFonts w:ascii="arial" w:eastAsia="arial" w:hAnsi="arial" w:cs="arial"/>
          <w:b w:val="0"/>
          <w:i/>
          <w:strike w:val="0"/>
          <w:noProof w:val="0"/>
          <w:color w:val="000000"/>
          <w:position w:val="0"/>
          <w:sz w:val="20"/>
          <w:u w:val="none"/>
          <w:vertAlign w:val="baseline"/>
        </w:rPr>
        <w:t>, 129 A.D.3d 1554, 1554, 9 N.Y.S.3d 913 (4th Dep't 2015)</w:t>
      </w:r>
      <w:r>
        <w:rPr>
          <w:rFonts w:ascii="arial" w:eastAsia="arial" w:hAnsi="arial" w:cs="arial"/>
          <w:b w:val="0"/>
          <w:i w:val="0"/>
          <w:strike w:val="0"/>
          <w:noProof w:val="0"/>
          <w:color w:val="000000"/>
          <w:position w:val="0"/>
          <w:sz w:val="20"/>
          <w:u w:val="none"/>
          <w:vertAlign w:val="baseline"/>
        </w:rPr>
        <w:t xml:space="preserve"> (CPLR Article 78 proceeding regarding prison disciplinary hearing); </w:t>
      </w:r>
      <w:r>
        <w:rPr>
          <w:rFonts w:ascii="arial" w:eastAsia="arial" w:hAnsi="arial" w:cs="arial"/>
          <w:b w:val="0"/>
          <w:i/>
          <w:strike w:val="0"/>
          <w:noProof w:val="0"/>
          <w:color w:val="000000"/>
          <w:position w:val="0"/>
          <w:sz w:val="20"/>
          <w:u w:val="none"/>
          <w:vertAlign w:val="baseline"/>
        </w:rPr>
        <w:t>Matter of Haigler v. Superintendent Sheahan, Five Points Corr. Facility</w:t>
      </w:r>
      <w:r>
        <w:rPr>
          <w:rFonts w:ascii="arial" w:eastAsia="arial" w:hAnsi="arial" w:cs="arial"/>
          <w:b w:val="0"/>
          <w:i/>
          <w:strike w:val="0"/>
          <w:noProof w:val="0"/>
          <w:color w:val="000000"/>
          <w:position w:val="0"/>
          <w:sz w:val="20"/>
          <w:u w:val="none"/>
          <w:vertAlign w:val="baseline"/>
        </w:rPr>
        <w:t>, 132 A.D.3d 1312, 1312, 17 N.Y.S.3d 365 (4th Dep't 2015)</w:t>
      </w:r>
      <w:r>
        <w:rPr>
          <w:rFonts w:ascii="arial" w:eastAsia="arial" w:hAnsi="arial" w:cs="arial"/>
          <w:b w:val="0"/>
          <w:i w:val="0"/>
          <w:strike w:val="0"/>
          <w:noProof w:val="0"/>
          <w:color w:val="000000"/>
          <w:position w:val="0"/>
          <w:sz w:val="20"/>
          <w:u w:val="none"/>
          <w:vertAlign w:val="baseline"/>
        </w:rPr>
        <w:t xml:space="preserve"> (CPLR Article 78 proceeding regarding prison disciplinary hearing); </w:t>
      </w:r>
      <w:hyperlink r:id="rId64" w:history="1">
        <w:r>
          <w:rPr>
            <w:rFonts w:ascii="arial" w:eastAsia="arial" w:hAnsi="arial" w:cs="arial"/>
            <w:b w:val="0"/>
            <w:i/>
            <w:strike w:val="0"/>
            <w:noProof w:val="0"/>
            <w:color w:val="0077CC"/>
            <w:position w:val="0"/>
            <w:sz w:val="20"/>
            <w:u w:val="single"/>
            <w:vertAlign w:val="baseline"/>
          </w:rPr>
          <w:t>Matter of Haigler v. Chappius</w:t>
        </w:r>
      </w:hyperlink>
      <w:hyperlink r:id="rId64" w:history="1">
        <w:r>
          <w:rPr>
            <w:rFonts w:ascii="arial" w:eastAsia="arial" w:hAnsi="arial" w:cs="arial"/>
            <w:b w:val="0"/>
            <w:i/>
            <w:strike w:val="0"/>
            <w:noProof w:val="0"/>
            <w:color w:val="0077CC"/>
            <w:position w:val="0"/>
            <w:sz w:val="20"/>
            <w:u w:val="single"/>
            <w:vertAlign w:val="baseline"/>
          </w:rPr>
          <w:t>, 142 A.D.3d 1243, 1243, 37 N.Y.S.3d 717 (3rd Dep't 2016)</w:t>
        </w:r>
      </w:hyperlink>
      <w:r>
        <w:rPr>
          <w:rFonts w:ascii="arial" w:eastAsia="arial" w:hAnsi="arial" w:cs="arial"/>
          <w:b w:val="0"/>
          <w:i w:val="0"/>
          <w:strike w:val="0"/>
          <w:noProof w:val="0"/>
          <w:color w:val="000000"/>
          <w:position w:val="0"/>
          <w:sz w:val="20"/>
          <w:u w:val="none"/>
          <w:vertAlign w:val="baseline"/>
        </w:rPr>
        <w:t xml:space="preserve"> (CPLR Article 78 proceeding regarding prison disciplinary hearing); </w:t>
      </w:r>
      <w:hyperlink r:id="rId65" w:history="1">
        <w:r>
          <w:rPr>
            <w:rFonts w:ascii="arial" w:eastAsia="arial" w:hAnsi="arial" w:cs="arial"/>
            <w:b w:val="0"/>
            <w:i/>
            <w:strike w:val="0"/>
            <w:noProof w:val="0"/>
            <w:color w:val="0077CC"/>
            <w:position w:val="0"/>
            <w:sz w:val="20"/>
            <w:u w:val="single"/>
            <w:vertAlign w:val="baseline"/>
          </w:rPr>
          <w:t>Haigler v. Conway</w:t>
        </w:r>
      </w:hyperlink>
      <w:hyperlink r:id="rId65" w:history="1">
        <w:r>
          <w:rPr>
            <w:rFonts w:ascii="arial" w:eastAsia="arial" w:hAnsi="arial" w:cs="arial"/>
            <w:b w:val="0"/>
            <w:i/>
            <w:strike w:val="0"/>
            <w:noProof w:val="0"/>
            <w:color w:val="0077CC"/>
            <w:position w:val="0"/>
            <w:sz w:val="20"/>
            <w:u w:val="single"/>
            <w:vertAlign w:val="baseline"/>
          </w:rPr>
          <w:t>, 595 F. App'x 77, 77 (2d Cir. 2015)</w:t>
        </w:r>
      </w:hyperlink>
      <w:r>
        <w:rPr>
          <w:rFonts w:ascii="arial" w:eastAsia="arial" w:hAnsi="arial" w:cs="arial"/>
          <w:b w:val="0"/>
          <w:i w:val="0"/>
          <w:strike w:val="0"/>
          <w:noProof w:val="0"/>
          <w:color w:val="000000"/>
          <w:position w:val="0"/>
          <w:sz w:val="20"/>
          <w:u w:val="none"/>
          <w:vertAlign w:val="baseline"/>
        </w:rPr>
        <w:t xml:space="preserve"> (habeas proceedings relating to conviction); </w:t>
      </w:r>
      <w:hyperlink r:id="rId66" w:history="1">
        <w:r>
          <w:rPr>
            <w:rFonts w:ascii="arial" w:eastAsia="arial" w:hAnsi="arial" w:cs="arial"/>
            <w:b w:val="0"/>
            <w:i/>
            <w:strike w:val="0"/>
            <w:noProof w:val="0"/>
            <w:color w:val="0077CC"/>
            <w:position w:val="0"/>
            <w:sz w:val="20"/>
            <w:u w:val="single"/>
            <w:vertAlign w:val="baseline"/>
          </w:rPr>
          <w:t>Haigler v. Chappius</w:t>
        </w:r>
      </w:hyperlink>
      <w:hyperlink r:id="rId66" w:history="1">
        <w:r>
          <w:rPr>
            <w:rFonts w:ascii="arial" w:eastAsia="arial" w:hAnsi="arial" w:cs="arial"/>
            <w:b w:val="0"/>
            <w:i/>
            <w:strike w:val="0"/>
            <w:noProof w:val="0"/>
            <w:color w:val="0077CC"/>
            <w:position w:val="0"/>
            <w:sz w:val="20"/>
            <w:u w:val="single"/>
            <w:vertAlign w:val="baseline"/>
          </w:rPr>
          <w:t>, No. 15-CV-00780(MAT), 2017 U.S. Dist. LEXIS 185359, 2017 WL 5177722, at *1 (W.D.N.Y. Nov. 8, 2017)</w:t>
        </w:r>
      </w:hyperlink>
      <w:r>
        <w:rPr>
          <w:rFonts w:ascii="arial" w:eastAsia="arial" w:hAnsi="arial" w:cs="arial"/>
          <w:b w:val="0"/>
          <w:i w:val="0"/>
          <w:strike w:val="0"/>
          <w:noProof w:val="0"/>
          <w:color w:val="000000"/>
          <w:position w:val="0"/>
          <w:sz w:val="20"/>
          <w:u w:val="none"/>
          <w:vertAlign w:val="baseline"/>
        </w:rPr>
        <w:t xml:space="preserve"> (habeas proceedings relating to the February 2013 Disciplinary Hearing); </w:t>
      </w:r>
      <w:hyperlink r:id="rId67" w:history="1">
        <w:r>
          <w:rPr>
            <w:rFonts w:ascii="arial" w:eastAsia="arial" w:hAnsi="arial" w:cs="arial"/>
            <w:b w:val="0"/>
            <w:i/>
            <w:strike w:val="0"/>
            <w:noProof w:val="0"/>
            <w:color w:val="0077CC"/>
            <w:position w:val="0"/>
            <w:sz w:val="20"/>
            <w:u w:val="single"/>
            <w:vertAlign w:val="baseline"/>
          </w:rPr>
          <w:t>Matter of Haigler v. Keyser</w:t>
        </w:r>
      </w:hyperlink>
      <w:hyperlink r:id="rId67" w:history="1">
        <w:r>
          <w:rPr>
            <w:rFonts w:ascii="arial" w:eastAsia="arial" w:hAnsi="arial" w:cs="arial"/>
            <w:b w:val="0"/>
            <w:i/>
            <w:strike w:val="0"/>
            <w:noProof w:val="0"/>
            <w:color w:val="0077CC"/>
            <w:position w:val="0"/>
            <w:sz w:val="20"/>
            <w:u w:val="single"/>
            <w:vertAlign w:val="baseline"/>
          </w:rPr>
          <w:t>, 155 A.D.3d 1202, 1202, 63 N.Y.S.3d 271 (3rd Dep't 2017)</w:t>
        </w:r>
      </w:hyperlink>
      <w:r>
        <w:rPr>
          <w:rFonts w:ascii="arial" w:eastAsia="arial" w:hAnsi="arial" w:cs="arial"/>
          <w:b w:val="0"/>
          <w:i w:val="0"/>
          <w:strike w:val="0"/>
          <w:noProof w:val="0"/>
          <w:color w:val="000000"/>
          <w:position w:val="0"/>
          <w:sz w:val="20"/>
          <w:u w:val="none"/>
          <w:vertAlign w:val="baseline"/>
        </w:rPr>
        <w:t xml:space="preserve"> (CPLR Article 78 proceeding regarding prison disciplinary hearing).</w:t>
      </w:r>
    </w:p>
    <w:p>
      <w:pPr>
        <w:keepNext w:val="0"/>
        <w:spacing w:before="240" w:after="0" w:line="260" w:lineRule="atLeast"/>
        <w:ind w:left="0" w:right="0" w:firstLine="0"/>
        <w:jc w:val="both"/>
      </w:pPr>
      <w:bookmarkStart w:id="70" w:name="Bookmark_para_35"/>
      <w:bookmarkEnd w:id="70"/>
      <w:bookmarkStart w:id="71" w:name="Bookmark_I696TKSK2N1PP00050000400"/>
      <w:bookmarkEnd w:id="71"/>
      <w:r>
        <w:rPr>
          <w:rFonts w:ascii="arial" w:eastAsia="arial" w:hAnsi="arial" w:cs="arial"/>
          <w:b w:val="0"/>
          <w:i w:val="0"/>
          <w:strike w:val="0"/>
          <w:noProof w:val="0"/>
          <w:color w:val="000000"/>
          <w:position w:val="0"/>
          <w:sz w:val="20"/>
          <w:u w:val="none"/>
          <w:vertAlign w:val="baseline"/>
        </w:rPr>
        <w:t xml:space="preserve">These cases indisputably show that Plaintiff was consistently able to manage other cases, some of which in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capacity, during the period he claimed that prison officials and his medical condition prevented him from filing the instant lawsuit. And contrary to Plaintiff's argument, Dkt. #30 at 5, some of these cases even involved challenges to the exact same February 2013 Disciplinary Hearing at issue in this case, or unspecified tier-III hearings regarding very similar allegations. </w:t>
      </w:r>
      <w:r>
        <w:rPr>
          <w:rFonts w:ascii="arial" w:eastAsia="arial" w:hAnsi="arial" w:cs="arial"/>
          <w:b w:val="0"/>
          <w:i/>
          <w:strike w:val="0"/>
          <w:noProof w:val="0"/>
          <w:color w:val="000000"/>
          <w:position w:val="0"/>
          <w:sz w:val="20"/>
          <w:u w:val="none"/>
          <w:vertAlign w:val="baseline"/>
        </w:rPr>
        <w:t xml:space="preserve">See </w:t>
      </w:r>
      <w:bookmarkStart w:id="72" w:name="Bookmark_I696TKSK2N1PP00040000400"/>
      <w:bookmarkEnd w:id="72"/>
      <w:hyperlink r:id="rId66" w:history="1">
        <w:r>
          <w:rPr>
            <w:rFonts w:ascii="arial" w:eastAsia="arial" w:hAnsi="arial" w:cs="arial"/>
            <w:b w:val="0"/>
            <w:i/>
            <w:strike w:val="0"/>
            <w:noProof w:val="0"/>
            <w:color w:val="0077CC"/>
            <w:position w:val="0"/>
            <w:sz w:val="20"/>
            <w:u w:val="single"/>
            <w:vertAlign w:val="baseline"/>
          </w:rPr>
          <w:t>Haigler</w:t>
        </w:r>
      </w:hyperlink>
      <w:hyperlink r:id="rId66" w:history="1">
        <w:r>
          <w:rPr>
            <w:rFonts w:ascii="arial" w:eastAsia="arial" w:hAnsi="arial" w:cs="arial"/>
            <w:b w:val="0"/>
            <w:i/>
            <w:strike w:val="0"/>
            <w:noProof w:val="0"/>
            <w:color w:val="0077CC"/>
            <w:position w:val="0"/>
            <w:sz w:val="20"/>
            <w:u w:val="single"/>
            <w:vertAlign w:val="baseline"/>
          </w:rPr>
          <w:t>, 2017 U.S. Dist. LEXIS 185359, 2017 WL 5177722, at *1</w:t>
        </w:r>
      </w:hyperlink>
      <w:r>
        <w:rPr>
          <w:rFonts w:ascii="arial" w:eastAsia="arial" w:hAnsi="arial" w:cs="arial"/>
          <w:b w:val="0"/>
          <w:i w:val="0"/>
          <w:strike w:val="0"/>
          <w:noProof w:val="0"/>
          <w:color w:val="000000"/>
          <w:position w:val="0"/>
          <w:sz w:val="20"/>
          <w:u w:val="none"/>
          <w:vertAlign w:val="baseline"/>
        </w:rPr>
        <w:t xml:space="preserve">; </w:t>
      </w:r>
      <w:bookmarkStart w:id="73" w:name="Bookmark_I685M9FF2N1RBX0040000400"/>
      <w:bookmarkEnd w:id="73"/>
      <w:hyperlink r:id="rId62" w:history="1">
        <w:r>
          <w:rPr>
            <w:rFonts w:ascii="arial" w:eastAsia="arial" w:hAnsi="arial" w:cs="arial"/>
            <w:b w:val="0"/>
            <w:i/>
            <w:strike w:val="0"/>
            <w:noProof w:val="0"/>
            <w:color w:val="0077CC"/>
            <w:position w:val="0"/>
            <w:sz w:val="20"/>
            <w:u w:val="single"/>
            <w:vertAlign w:val="baseline"/>
          </w:rPr>
          <w:t>Haigler</w:t>
        </w:r>
      </w:hyperlink>
      <w:hyperlink r:id="rId62" w:history="1">
        <w:r>
          <w:rPr>
            <w:rFonts w:ascii="arial" w:eastAsia="arial" w:hAnsi="arial" w:cs="arial"/>
            <w:b w:val="0"/>
            <w:i/>
            <w:strike w:val="0"/>
            <w:noProof w:val="0"/>
            <w:color w:val="0077CC"/>
            <w:position w:val="0"/>
            <w:sz w:val="20"/>
            <w:u w:val="single"/>
            <w:vertAlign w:val="baseline"/>
          </w:rPr>
          <w:t>, 119 A.D.3d at 1262</w:t>
        </w:r>
      </w:hyperlink>
      <w:r>
        <w:rPr>
          <w:rFonts w:ascii="arial" w:eastAsia="arial" w:hAnsi="arial" w:cs="arial"/>
          <w:b w:val="0"/>
          <w:i w:val="0"/>
          <w:strike w:val="0"/>
          <w:noProof w:val="0"/>
          <w:color w:val="000000"/>
          <w:position w:val="0"/>
          <w:sz w:val="20"/>
          <w:u w:val="none"/>
          <w:vertAlign w:val="baseline"/>
        </w:rPr>
        <w:t>. Therefore, the exact same motivation was present for prison officials to interfere with these proceedings as is allegedly present here. Likewise, the exact same memories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and mental capacity were required to bring these cases, since they pertained to the same alleged misconduct. </w:t>
      </w:r>
      <w:bookmarkStart w:id="74" w:name="Bookmark_I696TKSK2D6MWR0020000400"/>
      <w:bookmarkEnd w:id="74"/>
      <w:r>
        <w:rPr>
          <w:rFonts w:ascii="arial" w:eastAsia="arial" w:hAnsi="arial" w:cs="arial"/>
          <w:b w:val="0"/>
          <w:i w:val="0"/>
          <w:strike w:val="0"/>
          <w:noProof w:val="0"/>
          <w:color w:val="000000"/>
          <w:position w:val="0"/>
          <w:sz w:val="20"/>
          <w:u w:val="none"/>
          <w:vertAlign w:val="baseline"/>
        </w:rPr>
        <w:t xml:space="preserve">But clearly Plaintiff was able to manage these cases, along with several others. Accordingly, this judicially noticeable evidence "directly contradicts" Plaintiff's allegations that he was medically incapable of filing the instant lawsuit and/or prevented from filing the instant lawsuit by Defendants. </w:t>
      </w:r>
      <w:r>
        <w:rPr>
          <w:rFonts w:ascii="arial" w:eastAsia="arial" w:hAnsi="arial" w:cs="arial"/>
          <w:b w:val="0"/>
          <w:i/>
          <w:strike w:val="0"/>
          <w:noProof w:val="0"/>
          <w:color w:val="000000"/>
          <w:position w:val="0"/>
          <w:sz w:val="20"/>
          <w:u w:val="none"/>
          <w:vertAlign w:val="baseline"/>
        </w:rPr>
        <w:t xml:space="preserve">See </w:t>
      </w:r>
      <w:bookmarkStart w:id="75" w:name="Bookmark_I696TKSK2D6MWR0010000400"/>
      <w:bookmarkEnd w:id="75"/>
      <w:hyperlink r:id="rId50" w:history="1">
        <w:r>
          <w:rPr>
            <w:rFonts w:ascii="arial" w:eastAsia="arial" w:hAnsi="arial" w:cs="arial"/>
            <w:b w:val="0"/>
            <w:i/>
            <w:strike w:val="0"/>
            <w:noProof w:val="0"/>
            <w:color w:val="0077CC"/>
            <w:position w:val="0"/>
            <w:sz w:val="20"/>
            <w:u w:val="single"/>
            <w:vertAlign w:val="baseline"/>
          </w:rPr>
          <w:t>Serrano</w:t>
        </w:r>
      </w:hyperlink>
      <w:hyperlink r:id="rId50" w:history="1">
        <w:r>
          <w:rPr>
            <w:rFonts w:ascii="arial" w:eastAsia="arial" w:hAnsi="arial" w:cs="arial"/>
            <w:b w:val="0"/>
            <w:i/>
            <w:strike w:val="0"/>
            <w:noProof w:val="0"/>
            <w:color w:val="0077CC"/>
            <w:position w:val="0"/>
            <w:sz w:val="20"/>
            <w:u w:val="single"/>
            <w:vertAlign w:val="baseline"/>
          </w:rPr>
          <w:t>, 2009 U.S. Dist. LEXIS 102287, 2009 WL 3698395, at *7</w:t>
        </w:r>
      </w:hyperlink>
      <w:r>
        <w:rPr>
          <w:rFonts w:ascii="arial" w:eastAsia="arial" w:hAnsi="arial" w:cs="arial"/>
          <w:b w:val="0"/>
          <w:i w:val="0"/>
          <w:strike w:val="0"/>
          <w:noProof w:val="0"/>
          <w:color w:val="000000"/>
          <w:position w:val="0"/>
          <w:sz w:val="20"/>
          <w:u w:val="none"/>
          <w:vertAlign w:val="baseline"/>
        </w:rPr>
        <w:t>. Equitable tolling is therefore not warranted.</w:t>
      </w:r>
    </w:p>
    <w:p>
      <w:pPr>
        <w:keepNext w:val="0"/>
        <w:spacing w:before="200" w:after="0" w:line="260" w:lineRule="atLeast"/>
        <w:ind w:left="0" w:right="0" w:firstLine="0"/>
        <w:jc w:val="both"/>
      </w:pPr>
      <w:bookmarkStart w:id="76" w:name="Bookmark_para_36"/>
      <w:bookmarkEnd w:id="76"/>
      <w:r>
        <w:rPr>
          <w:rFonts w:ascii="arial" w:eastAsia="arial" w:hAnsi="arial" w:cs="arial"/>
          <w:b w:val="0"/>
          <w:i w:val="0"/>
          <w:strike w:val="0"/>
          <w:noProof w:val="0"/>
          <w:color w:val="000000"/>
          <w:position w:val="0"/>
          <w:sz w:val="20"/>
          <w:u w:val="none"/>
          <w:vertAlign w:val="baseline"/>
        </w:rPr>
        <w:t>Because Claims One through Five were brought outside the statutory period, and Plaintiff cannot properly invoke any tolling grounds, it is recommended that these claims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Revocation of Visitation Rights</w:t>
      </w:r>
    </w:p>
    <w:p>
      <w:pPr>
        <w:keepNext w:val="0"/>
        <w:spacing w:before="240" w:after="0" w:line="260" w:lineRule="atLeast"/>
        <w:ind w:left="0" w:right="0" w:firstLine="0"/>
        <w:jc w:val="both"/>
      </w:pPr>
      <w:bookmarkStart w:id="77" w:name="Bookmark_para_37"/>
      <w:bookmarkEnd w:id="77"/>
      <w:r>
        <w:rPr>
          <w:rFonts w:ascii="arial" w:eastAsia="arial" w:hAnsi="arial" w:cs="arial"/>
          <w:b w:val="0"/>
          <w:i w:val="0"/>
          <w:strike w:val="0"/>
          <w:noProof w:val="0"/>
          <w:color w:val="000000"/>
          <w:position w:val="0"/>
          <w:sz w:val="20"/>
          <w:u w:val="none"/>
          <w:vertAlign w:val="baseline"/>
        </w:rPr>
        <w:t xml:space="preserve">Alternatively, Defendants argue that Claim Five against Bradt should be dismissed because freedom of association claims based on the revocation of visitation rights do not implicate the </w:t>
      </w:r>
      <w:hyperlink r:id="rId16"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freedom of association. Dkt. #19-1 at 25. However, Defendants have provided insufficient support to determine that Plaintiff has not alleged a visitation-denial-based constitutional claim as a matter of law.</w:t>
      </w:r>
    </w:p>
    <w:p>
      <w:pPr>
        <w:keepNext w:val="0"/>
        <w:spacing w:before="240" w:after="0" w:line="260" w:lineRule="atLeast"/>
        <w:ind w:left="0" w:right="0" w:firstLine="0"/>
        <w:jc w:val="both"/>
      </w:pPr>
      <w:bookmarkStart w:id="78" w:name="Bookmark_para_38"/>
      <w:bookmarkEnd w:id="78"/>
      <w:bookmarkStart w:id="79" w:name="Bookmark_I696TKSK2D6MWR0040000400"/>
      <w:bookmarkEnd w:id="79"/>
      <w:r>
        <w:rPr>
          <w:rFonts w:ascii="arial" w:eastAsia="arial" w:hAnsi="arial" w:cs="arial"/>
          <w:b w:val="0"/>
          <w:i w:val="0"/>
          <w:strike w:val="0"/>
          <w:noProof w:val="0"/>
          <w:color w:val="000000"/>
          <w:position w:val="0"/>
          <w:sz w:val="20"/>
          <w:u w:val="none"/>
          <w:vertAlign w:val="baseline"/>
        </w:rPr>
        <w:t>Defendants are correct in pointing out that "[i]t is well established that prison visitation is a privilege, and not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 right, and that limiting visitation temporarily in response to a disciplinary action is appropriate." </w:t>
      </w:r>
      <w:bookmarkStart w:id="80" w:name="Bookmark_I696TKSK2D6MWR0030000400"/>
      <w:bookmarkEnd w:id="80"/>
      <w:hyperlink r:id="rId68" w:history="1">
        <w:r>
          <w:rPr>
            <w:rFonts w:ascii="arial" w:eastAsia="arial" w:hAnsi="arial" w:cs="arial"/>
            <w:b w:val="0"/>
            <w:i/>
            <w:strike w:val="0"/>
            <w:noProof w:val="0"/>
            <w:color w:val="0077CC"/>
            <w:position w:val="0"/>
            <w:sz w:val="20"/>
            <w:u w:val="single"/>
            <w:vertAlign w:val="baseline"/>
          </w:rPr>
          <w:t>Stone v. White</w:t>
        </w:r>
      </w:hyperlink>
      <w:hyperlink r:id="rId68" w:history="1">
        <w:r>
          <w:rPr>
            <w:rFonts w:ascii="arial" w:eastAsia="arial" w:hAnsi="arial" w:cs="arial"/>
            <w:b w:val="0"/>
            <w:i/>
            <w:strike w:val="0"/>
            <w:noProof w:val="0"/>
            <w:color w:val="0077CC"/>
            <w:position w:val="0"/>
            <w:sz w:val="20"/>
            <w:u w:val="single"/>
            <w:vertAlign w:val="baseline"/>
          </w:rPr>
          <w:t>, 7:15-cv-0097 (LEK/ATB), 2016 U.S. Dist. LEXIS 43200, 2016 WL 1298725, at *7 (N.D.N.Y. Mar. 31, 2016)</w:t>
        </w:r>
      </w:hyperlink>
      <w:r>
        <w:rPr>
          <w:rFonts w:ascii="arial" w:eastAsia="arial" w:hAnsi="arial" w:cs="arial"/>
          <w:b w:val="0"/>
          <w:i w:val="0"/>
          <w:strike w:val="0"/>
          <w:noProof w:val="0"/>
          <w:color w:val="000000"/>
          <w:position w:val="0"/>
          <w:sz w:val="20"/>
          <w:u w:val="none"/>
          <w:vertAlign w:val="baseline"/>
        </w:rPr>
        <w:t xml:space="preserve">. However, at a certain point, denials of visitation will violate an inmate's constitutional rights. </w:t>
      </w:r>
      <w:r>
        <w:rPr>
          <w:rFonts w:ascii="arial" w:eastAsia="arial" w:hAnsi="arial" w:cs="arial"/>
          <w:b w:val="0"/>
          <w:i/>
          <w:strike w:val="0"/>
          <w:noProof w:val="0"/>
          <w:color w:val="000000"/>
          <w:position w:val="0"/>
          <w:sz w:val="20"/>
          <w:u w:val="none"/>
          <w:vertAlign w:val="baseline"/>
        </w:rPr>
        <w:t xml:space="preserve">See </w:t>
      </w:r>
      <w:hyperlink r:id="rId69" w:history="1">
        <w:r>
          <w:rPr>
            <w:rFonts w:ascii="arial" w:eastAsia="arial" w:hAnsi="arial" w:cs="arial"/>
            <w:b w:val="0"/>
            <w:i/>
            <w:strike w:val="0"/>
            <w:noProof w:val="0"/>
            <w:color w:val="0077CC"/>
            <w:position w:val="0"/>
            <w:sz w:val="20"/>
            <w:u w:val="single"/>
            <w:vertAlign w:val="baseline"/>
          </w:rPr>
          <w:t>Mills v. Fischer</w:t>
        </w:r>
      </w:hyperlink>
      <w:hyperlink r:id="rId69" w:history="1">
        <w:r>
          <w:rPr>
            <w:rFonts w:ascii="arial" w:eastAsia="arial" w:hAnsi="arial" w:cs="arial"/>
            <w:b w:val="0"/>
            <w:i/>
            <w:strike w:val="0"/>
            <w:noProof w:val="0"/>
            <w:color w:val="0077CC"/>
            <w:position w:val="0"/>
            <w:sz w:val="20"/>
            <w:u w:val="single"/>
            <w:vertAlign w:val="baseline"/>
          </w:rPr>
          <w:t>, 497 F. App'x 114, 116 (2d Cir. 2012)</w:t>
        </w:r>
      </w:hyperlink>
      <w:r>
        <w:rPr>
          <w:rFonts w:ascii="arial" w:eastAsia="arial" w:hAnsi="arial" w:cs="arial"/>
          <w:b w:val="0"/>
          <w:i w:val="0"/>
          <w:strike w:val="0"/>
          <w:noProof w:val="0"/>
          <w:color w:val="000000"/>
          <w:position w:val="0"/>
          <w:sz w:val="20"/>
          <w:u w:val="none"/>
          <w:vertAlign w:val="baseline"/>
        </w:rPr>
        <w:t xml:space="preserve"> ("[T]he intentional or malicious deprivation of visitation to a prisoner, even on one occasion, could rise to the level of a constitutional violation.") (summary order). Courts in this district that have dismissed constitutional claims based on the denial of visitation rights have only done so after a detailed weighing of various factors, including the exact terms of the punishment and the prison's interest in barring the inmate's visitation rights. </w:t>
      </w:r>
      <w:r>
        <w:rPr>
          <w:rFonts w:ascii="arial" w:eastAsia="arial" w:hAnsi="arial" w:cs="arial"/>
          <w:b w:val="0"/>
          <w:i/>
          <w:strike w:val="0"/>
          <w:noProof w:val="0"/>
          <w:color w:val="000000"/>
          <w:position w:val="0"/>
          <w:sz w:val="20"/>
          <w:u w:val="none"/>
          <w:vertAlign w:val="baseline"/>
        </w:rPr>
        <w:t xml:space="preserve">See </w:t>
      </w:r>
      <w:hyperlink r:id="rId70" w:history="1">
        <w:r>
          <w:rPr>
            <w:rFonts w:ascii="arial" w:eastAsia="arial" w:hAnsi="arial" w:cs="arial"/>
            <w:b w:val="0"/>
            <w:i/>
            <w:strike w:val="0"/>
            <w:noProof w:val="0"/>
            <w:color w:val="0077CC"/>
            <w:position w:val="0"/>
            <w:sz w:val="20"/>
            <w:u w:val="single"/>
            <w:vertAlign w:val="baseline"/>
          </w:rPr>
          <w:t>Hernandez v. McGinnis</w:t>
        </w:r>
      </w:hyperlink>
      <w:hyperlink r:id="rId70" w:history="1">
        <w:r>
          <w:rPr>
            <w:rFonts w:ascii="arial" w:eastAsia="arial" w:hAnsi="arial" w:cs="arial"/>
            <w:b w:val="0"/>
            <w:i/>
            <w:strike w:val="0"/>
            <w:noProof w:val="0"/>
            <w:color w:val="0077CC"/>
            <w:position w:val="0"/>
            <w:sz w:val="20"/>
            <w:u w:val="single"/>
            <w:vertAlign w:val="baseline"/>
          </w:rPr>
          <w:t>, 272 F. Supp. 2d 223, 228 (W.D.N.Y. 2003)</w:t>
        </w:r>
      </w:hyperlink>
      <w:r>
        <w:rPr>
          <w:rFonts w:ascii="arial" w:eastAsia="arial" w:hAnsi="arial" w:cs="arial"/>
          <w:b w:val="0"/>
          <w:i w:val="0"/>
          <w:strike w:val="0"/>
          <w:noProof w:val="0"/>
          <w:color w:val="000000"/>
          <w:position w:val="0"/>
          <w:sz w:val="20"/>
          <w:u w:val="none"/>
          <w:vertAlign w:val="baseline"/>
        </w:rPr>
        <w:t xml:space="preserve"> ("I find that the roughly three-year suspension of Adrian's visitation rights did not violate plaintiffs' constitutional rights. This revocation is similar to the ban imposed on inmates with two substance-abuse violations that the Supreme Court upheld in </w:t>
      </w:r>
      <w:r>
        <w:rPr>
          <w:rFonts w:ascii="arial" w:eastAsia="arial" w:hAnsi="arial" w:cs="arial"/>
          <w:b w:val="0"/>
          <w:i/>
          <w:strike w:val="0"/>
          <w:noProof w:val="0"/>
          <w:color w:val="000000"/>
          <w:position w:val="0"/>
          <w:sz w:val="20"/>
          <w:u w:val="none"/>
          <w:vertAlign w:val="baseline"/>
        </w:rPr>
        <w:t>Bazzetta</w:t>
      </w:r>
      <w:r>
        <w:rPr>
          <w:rFonts w:ascii="arial" w:eastAsia="arial" w:hAnsi="arial" w:cs="arial"/>
          <w:b w:val="0"/>
          <w:i w:val="0"/>
          <w:strike w:val="0"/>
          <w:noProof w:val="0"/>
          <w:color w:val="000000"/>
          <w:position w:val="0"/>
          <w:sz w:val="20"/>
          <w:u w:val="none"/>
          <w:vertAlign w:val="baseline"/>
        </w:rPr>
        <w:t>. The revocation also serves a similar legitimate purpose: deterring visit-related misconduct. The regulations pursuant to which plaintiff's visitation privileges were revoked promote internal security, perhaps the most legitimate of penological goals. Moreover, withdrawing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visitation privileges is a proper and even necessary management technique to induce compliance with the rules of inmate behavior.") (internal citations and quotations omitted); </w:t>
      </w:r>
      <w:hyperlink r:id="rId71" w:history="1">
        <w:r>
          <w:rPr>
            <w:rFonts w:ascii="arial" w:eastAsia="arial" w:hAnsi="arial" w:cs="arial"/>
            <w:b w:val="0"/>
            <w:i/>
            <w:strike w:val="0"/>
            <w:noProof w:val="0"/>
            <w:color w:val="0077CC"/>
            <w:position w:val="0"/>
            <w:sz w:val="20"/>
            <w:u w:val="single"/>
            <w:vertAlign w:val="baseline"/>
          </w:rPr>
          <w:t>Paul v. Capra</w:t>
        </w:r>
      </w:hyperlink>
      <w:hyperlink r:id="rId71" w:history="1">
        <w:r>
          <w:rPr>
            <w:rFonts w:ascii="arial" w:eastAsia="arial" w:hAnsi="arial" w:cs="arial"/>
            <w:b w:val="0"/>
            <w:i/>
            <w:strike w:val="0"/>
            <w:noProof w:val="0"/>
            <w:color w:val="0077CC"/>
            <w:position w:val="0"/>
            <w:sz w:val="20"/>
            <w:u w:val="single"/>
            <w:vertAlign w:val="baseline"/>
          </w:rPr>
          <w:t>, 20-cv-5154(NSR), 2022 U.S. Dist. LEXIS 60689, 2022 WL 992845, at *7 (S.D.N.Y. Mar. 31, 2022)</w:t>
        </w:r>
      </w:hyperlink>
      <w:r>
        <w:rPr>
          <w:rFonts w:ascii="arial" w:eastAsia="arial" w:hAnsi="arial" w:cs="arial"/>
          <w:b w:val="0"/>
          <w:i w:val="0"/>
          <w:strike w:val="0"/>
          <w:noProof w:val="0"/>
          <w:color w:val="000000"/>
          <w:position w:val="0"/>
          <w:sz w:val="20"/>
          <w:u w:val="none"/>
          <w:vertAlign w:val="baseline"/>
        </w:rPr>
        <w:t xml:space="preserve"> ("The Court finds the suspension to be rationally related to the legitimate penological interest of preventing the introduction of drugs or other contraband into Sing Sing.").</w:t>
      </w:r>
    </w:p>
    <w:p>
      <w:pPr>
        <w:keepNext w:val="0"/>
        <w:spacing w:before="200" w:after="0" w:line="260" w:lineRule="atLeast"/>
        <w:ind w:left="0" w:right="0" w:firstLine="0"/>
        <w:jc w:val="both"/>
      </w:pPr>
      <w:bookmarkStart w:id="81" w:name="Bookmark_para_39"/>
      <w:bookmarkEnd w:id="81"/>
      <w:r>
        <w:rPr>
          <w:rFonts w:ascii="arial" w:eastAsia="arial" w:hAnsi="arial" w:cs="arial"/>
          <w:b w:val="0"/>
          <w:i w:val="0"/>
          <w:strike w:val="0"/>
          <w:noProof w:val="0"/>
          <w:color w:val="000000"/>
          <w:position w:val="0"/>
          <w:sz w:val="20"/>
          <w:u w:val="none"/>
          <w:vertAlign w:val="baseline"/>
        </w:rPr>
        <w:t>Here, Defendants offer no analysis of the prison's interests, the exact confines of Plaintiff's visitation loss, or any support as to how these interests, as a matter of law, defeat any possible constitutional claim. Accordingly, these alternative grounds for dismissal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Collateral Estoppel</w:t>
      </w:r>
    </w:p>
    <w:p>
      <w:pPr>
        <w:keepNext w:val="0"/>
        <w:spacing w:before="200" w:after="0" w:line="260" w:lineRule="atLeast"/>
        <w:ind w:left="0" w:right="0" w:firstLine="0"/>
        <w:jc w:val="both"/>
      </w:pPr>
      <w:bookmarkStart w:id="82" w:name="Bookmark_para_40"/>
      <w:bookmarkEnd w:id="82"/>
      <w:bookmarkStart w:id="83" w:name="Bookmark_I696TKSK2SF8HX0010000400"/>
      <w:bookmarkEnd w:id="83"/>
      <w:r>
        <w:rPr>
          <w:rFonts w:ascii="arial" w:eastAsia="arial" w:hAnsi="arial" w:cs="arial"/>
          <w:b w:val="0"/>
          <w:i w:val="0"/>
          <w:strike w:val="0"/>
          <w:noProof w:val="0"/>
          <w:color w:val="000000"/>
          <w:position w:val="0"/>
          <w:sz w:val="20"/>
          <w:u w:val="none"/>
          <w:vertAlign w:val="baseline"/>
        </w:rPr>
        <w:t xml:space="preserve">Defendants argue that Claim Seven is barred by the doctrine of collateral estoppel, or issue preclusion. Dkt. #19-1 at 12-16. Def endants assert that this Court's previous denial of Plaintiff's habeas petition, alleging due process violations in the February 2013 Disciplinary Hearing, estops Plaintiff from bringing a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due process claim regarding the same hearing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4" w:name="Bookmark_I696TKSK2D6MWR0050000400"/>
      <w:bookmarkEnd w:id="84"/>
      <w:hyperlink r:id="rId65" w:history="1">
        <w:r>
          <w:rPr>
            <w:rFonts w:ascii="arial" w:eastAsia="arial" w:hAnsi="arial" w:cs="arial"/>
            <w:b w:val="0"/>
            <w:i/>
            <w:strike w:val="0"/>
            <w:noProof w:val="0"/>
            <w:color w:val="0077CC"/>
            <w:position w:val="0"/>
            <w:sz w:val="20"/>
            <w:u w:val="single"/>
            <w:vertAlign w:val="baseline"/>
          </w:rPr>
          <w:t>Haigler</w:t>
        </w:r>
      </w:hyperlink>
      <w:hyperlink r:id="rId65" w:history="1">
        <w:r>
          <w:rPr>
            <w:rFonts w:ascii="arial" w:eastAsia="arial" w:hAnsi="arial" w:cs="arial"/>
            <w:b w:val="0"/>
            <w:i/>
            <w:strike w:val="0"/>
            <w:noProof w:val="0"/>
            <w:color w:val="0077CC"/>
            <w:position w:val="0"/>
            <w:sz w:val="20"/>
            <w:u w:val="single"/>
            <w:vertAlign w:val="baseline"/>
          </w:rPr>
          <w:t>, 2017 U.S. Dist. LEXIS 185359, 2017 WL 5177722, at *1</w:t>
        </w:r>
      </w:hyperlink>
      <w:r>
        <w:rPr>
          <w:rFonts w:ascii="arial" w:eastAsia="arial" w:hAnsi="arial" w:cs="arial"/>
          <w:b w:val="0"/>
          <w:i w:val="0"/>
          <w:strike w:val="0"/>
          <w:noProof w:val="0"/>
          <w:color w:val="000000"/>
          <w:position w:val="0"/>
          <w:sz w:val="20"/>
          <w:u w:val="none"/>
          <w:vertAlign w:val="baseline"/>
        </w:rPr>
        <w:t xml:space="preserve"> (decision and order denying Plaintiff's habeas petition). It is recommended that this decision be given preclusive effect, and that Claim Seven be dismissed.</w:t>
      </w:r>
      <w:r>
        <w:rPr>
          <w:rFonts w:ascii="arial" w:eastAsia="arial" w:hAnsi="arial" w:cs="arial"/>
          <w:b/>
          <w:i w:val="0"/>
          <w:strike w:val="0"/>
          <w:noProof w:val="0"/>
          <w:color w:val="000000"/>
          <w:position w:val="0"/>
          <w:sz w:val="20"/>
          <w:u w:val="none"/>
          <w:vertAlign w:val="baseline"/>
        </w:rPr>
        <w:t> [*27] </w:t>
      </w:r>
    </w:p>
    <w:p>
      <w:pPr>
        <w:keepNext w:val="0"/>
        <w:spacing w:before="240" w:after="0" w:line="260" w:lineRule="atLeast"/>
        <w:ind w:left="0" w:right="0" w:firstLine="0"/>
        <w:jc w:val="both"/>
      </w:pPr>
      <w:bookmarkStart w:id="85" w:name="Bookmark_para_41"/>
      <w:bookmarkEnd w:id="85"/>
      <w:r>
        <w:rPr>
          <w:rFonts w:ascii="arial" w:eastAsia="arial" w:hAnsi="arial" w:cs="arial"/>
          <w:b w:val="0"/>
          <w:i w:val="0"/>
          <w:strike w:val="0"/>
          <w:noProof w:val="0"/>
          <w:color w:val="000000"/>
          <w:position w:val="0"/>
          <w:sz w:val="20"/>
          <w:u w:val="none"/>
          <w:vertAlign w:val="baseline"/>
        </w:rPr>
        <w:t xml:space="preserve">"[C]ollateral estoppel precludes relitigation where '(1) the issues in both proceedings are identical, (2) the issue in the prior proceeding was actually litigated and actually decided, (3) there was full and fair opportunity to litigate in the prior proceeding, and (4) the issue previously litigated was necessary to support a valid and final judgment on the merits.'" </w:t>
      </w:r>
      <w:hyperlink r:id="rId72" w:history="1">
        <w:r>
          <w:rPr>
            <w:rFonts w:ascii="arial" w:eastAsia="arial" w:hAnsi="arial" w:cs="arial"/>
            <w:b w:val="0"/>
            <w:i/>
            <w:strike w:val="0"/>
            <w:noProof w:val="0"/>
            <w:color w:val="0077CC"/>
            <w:position w:val="0"/>
            <w:sz w:val="20"/>
            <w:u w:val="single"/>
            <w:vertAlign w:val="baseline"/>
          </w:rPr>
          <w:t>Zherka v. City of N.Y.</w:t>
        </w:r>
      </w:hyperlink>
      <w:hyperlink r:id="rId72" w:history="1">
        <w:r>
          <w:rPr>
            <w:rFonts w:ascii="arial" w:eastAsia="arial" w:hAnsi="arial" w:cs="arial"/>
            <w:b w:val="0"/>
            <w:i/>
            <w:strike w:val="0"/>
            <w:noProof w:val="0"/>
            <w:color w:val="0077CC"/>
            <w:position w:val="0"/>
            <w:sz w:val="20"/>
            <w:u w:val="single"/>
            <w:vertAlign w:val="baseline"/>
          </w:rPr>
          <w:t>, 459 F. App'x 10, 13 (2d Cir. 2012)</w:t>
        </w:r>
      </w:hyperlink>
      <w:r>
        <w:rPr>
          <w:rFonts w:ascii="arial" w:eastAsia="arial" w:hAnsi="arial" w:cs="arial"/>
          <w:b w:val="0"/>
          <w:i w:val="0"/>
          <w:strike w:val="0"/>
          <w:noProof w:val="0"/>
          <w:color w:val="000000"/>
          <w:position w:val="0"/>
          <w:sz w:val="20"/>
          <w:u w:val="none"/>
          <w:vertAlign w:val="baseline"/>
        </w:rPr>
        <w:t xml:space="preserve"> (quoting </w:t>
      </w:r>
      <w:hyperlink r:id="rId73" w:history="1">
        <w:r>
          <w:rPr>
            <w:rFonts w:ascii="arial" w:eastAsia="arial" w:hAnsi="arial" w:cs="arial"/>
            <w:b w:val="0"/>
            <w:i/>
            <w:strike w:val="0"/>
            <w:noProof w:val="0"/>
            <w:color w:val="0077CC"/>
            <w:position w:val="0"/>
            <w:sz w:val="20"/>
            <w:u w:val="single"/>
            <w:vertAlign w:val="baseline"/>
          </w:rPr>
          <w:t>NLRB v. Thalbo Corp.</w:t>
        </w:r>
      </w:hyperlink>
      <w:hyperlink r:id="rId73" w:history="1">
        <w:r>
          <w:rPr>
            <w:rFonts w:ascii="arial" w:eastAsia="arial" w:hAnsi="arial" w:cs="arial"/>
            <w:b w:val="0"/>
            <w:i/>
            <w:strike w:val="0"/>
            <w:noProof w:val="0"/>
            <w:color w:val="0077CC"/>
            <w:position w:val="0"/>
            <w:sz w:val="20"/>
            <w:u w:val="single"/>
            <w:vertAlign w:val="baseline"/>
          </w:rPr>
          <w:t>, 171 F.3d 102, 109 (2d Cir. 1999)</w:t>
        </w:r>
      </w:hyperlink>
      <w:r>
        <w:rPr>
          <w:rFonts w:ascii="arial" w:eastAsia="arial" w:hAnsi="arial" w:cs="arial"/>
          <w:b w:val="0"/>
          <w:i w:val="0"/>
          <w:strike w:val="0"/>
          <w:noProof w:val="0"/>
          <w:color w:val="000000"/>
          <w:position w:val="0"/>
          <w:sz w:val="20"/>
          <w:u w:val="none"/>
          <w:vertAlign w:val="baseline"/>
        </w:rPr>
        <w:t xml:space="preserve">). Accordingly, habeas proceedings can have a preclusive effect on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but only if the same alleged constitutional violations were "actually litigated and determined in the . . . habeas corpus proceeding." </w:t>
      </w:r>
      <w:hyperlink r:id="rId74" w:history="1">
        <w:r>
          <w:rPr>
            <w:rFonts w:ascii="arial" w:eastAsia="arial" w:hAnsi="arial" w:cs="arial"/>
            <w:b w:val="0"/>
            <w:i/>
            <w:strike w:val="0"/>
            <w:noProof w:val="0"/>
            <w:color w:val="0077CC"/>
            <w:position w:val="0"/>
            <w:sz w:val="20"/>
            <w:u w:val="single"/>
            <w:vertAlign w:val="baseline"/>
          </w:rPr>
          <w:t>Kulak v. City of N.Y.</w:t>
        </w:r>
      </w:hyperlink>
      <w:hyperlink r:id="rId74" w:history="1">
        <w:r>
          <w:rPr>
            <w:rFonts w:ascii="arial" w:eastAsia="arial" w:hAnsi="arial" w:cs="arial"/>
            <w:b w:val="0"/>
            <w:i/>
            <w:strike w:val="0"/>
            <w:noProof w:val="0"/>
            <w:color w:val="0077CC"/>
            <w:position w:val="0"/>
            <w:sz w:val="20"/>
            <w:u w:val="single"/>
            <w:vertAlign w:val="baseline"/>
          </w:rPr>
          <w:t>, 88 F.3d 63, 72 (2d Cir. 1996)</w:t>
        </w:r>
      </w:hyperlink>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Pedone v. City of New York</w:t>
        </w:r>
      </w:hyperlink>
      <w:hyperlink r:id="rId75" w:history="1">
        <w:r>
          <w:rPr>
            <w:rFonts w:ascii="arial" w:eastAsia="arial" w:hAnsi="arial" w:cs="arial"/>
            <w:b w:val="0"/>
            <w:i/>
            <w:strike w:val="0"/>
            <w:noProof w:val="0"/>
            <w:color w:val="0077CC"/>
            <w:position w:val="0"/>
            <w:sz w:val="20"/>
            <w:u w:val="single"/>
            <w:vertAlign w:val="baseline"/>
          </w:rPr>
          <w:t>, No. CV-05-1629CPS, 2005 U.S. Dist. LEXIS 43450, 2005 W L 2290357, at *6 (E.D.N.Y. Sept. 20, 2005)</w:t>
        </w:r>
      </w:hyperlink>
      <w:r>
        <w:rPr>
          <w:rFonts w:ascii="arial" w:eastAsia="arial" w:hAnsi="arial" w:cs="arial"/>
          <w:b w:val="0"/>
          <w:i w:val="0"/>
          <w:strike w:val="0"/>
          <w:noProof w:val="0"/>
          <w:color w:val="000000"/>
          <w:position w:val="0"/>
          <w:sz w:val="20"/>
          <w:u w:val="none"/>
          <w:vertAlign w:val="baseline"/>
        </w:rPr>
        <w:t xml:space="preserve"> (refusing to apply collateral estoppel where the past habeas proceeding sought the petitioner's release by challenging his erroneous incarceration, but the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challenged broader city policies and practices). The application of collateral estoppel is an appropriate issue for a motion to dismiss. </w:t>
      </w:r>
      <w:r>
        <w:rPr>
          <w:rFonts w:ascii="arial" w:eastAsia="arial" w:hAnsi="arial" w:cs="arial"/>
          <w:b w:val="0"/>
          <w:i/>
          <w:strike w:val="0"/>
          <w:noProof w:val="0"/>
          <w:color w:val="000000"/>
          <w:position w:val="0"/>
          <w:sz w:val="20"/>
          <w:u w:val="none"/>
          <w:vertAlign w:val="baseline"/>
        </w:rPr>
        <w:t xml:space="preserve">See </w:t>
      </w:r>
      <w:hyperlink r:id="rId76" w:history="1">
        <w:r>
          <w:rPr>
            <w:rFonts w:ascii="arial" w:eastAsia="arial" w:hAnsi="arial" w:cs="arial"/>
            <w:b w:val="0"/>
            <w:i/>
            <w:strike w:val="0"/>
            <w:noProof w:val="0"/>
            <w:color w:val="0077CC"/>
            <w:position w:val="0"/>
            <w:sz w:val="20"/>
            <w:u w:val="single"/>
            <w:vertAlign w:val="baseline"/>
          </w:rPr>
          <w:t>Kuar v. Mawn</w:t>
        </w:r>
      </w:hyperlink>
      <w:hyperlink r:id="rId76" w:history="1">
        <w:r>
          <w:rPr>
            <w:rFonts w:ascii="arial" w:eastAsia="arial" w:hAnsi="arial" w:cs="arial"/>
            <w:b w:val="0"/>
            <w:i/>
            <w:strike w:val="0"/>
            <w:noProof w:val="0"/>
            <w:color w:val="0077CC"/>
            <w:position w:val="0"/>
            <w:sz w:val="20"/>
            <w:u w:val="single"/>
            <w:vertAlign w:val="baseline"/>
          </w:rPr>
          <w:t>, No. 08-CV-4401 (JFB)(ETB), 2011 U.S. Dist. LEXIS 22209, 2011 WL 838911, at *8 (E.D.N.Y. Mar. 4, 2011)</w:t>
        </w:r>
      </w:hyperlink>
      <w:r>
        <w:rPr>
          <w:rFonts w:ascii="arial" w:eastAsia="arial" w:hAnsi="arial" w:cs="arial"/>
          <w:b w:val="0"/>
          <w:i w:val="0"/>
          <w:strike w:val="0"/>
          <w:noProof w:val="0"/>
          <w:color w:val="000000"/>
          <w:position w:val="0"/>
          <w:sz w:val="20"/>
          <w:u w:val="none"/>
          <w:vertAlign w:val="baseline"/>
        </w:rPr>
        <w:t xml:space="preserve"> ("A court may dismiss a claim on . . . collateral estoppel grounds on a motion to dismiss . . . .") (collecting cases).</w:t>
      </w:r>
    </w:p>
    <w:p>
      <w:pPr>
        <w:keepNext w:val="0"/>
        <w:spacing w:before="200" w:after="0" w:line="260" w:lineRule="atLeast"/>
        <w:ind w:left="0" w:right="0" w:firstLine="0"/>
        <w:jc w:val="both"/>
      </w:pPr>
      <w:bookmarkStart w:id="86" w:name="Bookmark_para_42"/>
      <w:bookmarkEnd w:id="86"/>
      <w:r>
        <w:rPr>
          <w:rFonts w:ascii="arial" w:eastAsia="arial" w:hAnsi="arial" w:cs="arial"/>
          <w:b w:val="0"/>
          <w:i w:val="0"/>
          <w:strike w:val="0"/>
          <w:noProof w:val="0"/>
          <w:color w:val="000000"/>
          <w:position w:val="0"/>
          <w:sz w:val="20"/>
          <w:u w:val="none"/>
          <w:vertAlign w:val="baseline"/>
        </w:rPr>
        <w:t>Here, comparing the allegations in Claim Seven to the issues addressed by the Court in Plaintiff's past habeas proceeding,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all four collateral estoppel requirements have been met. First,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the issues in both proceedings were identical, and were actually litigated and decided against Plaintiff in the earlier habeas proceedings. </w:t>
      </w:r>
      <w:r>
        <w:rPr>
          <w:rFonts w:ascii="arial" w:eastAsia="arial" w:hAnsi="arial" w:cs="arial"/>
          <w:b w:val="0"/>
          <w:i/>
          <w:strike w:val="0"/>
          <w:noProof w:val="0"/>
          <w:color w:val="000000"/>
          <w:position w:val="0"/>
          <w:sz w:val="20"/>
          <w:u w:val="none"/>
          <w:vertAlign w:val="baseline"/>
        </w:rPr>
        <w:t xml:space="preserve">See </w:t>
      </w:r>
      <w:hyperlink r:id="rId72" w:history="1">
        <w:r>
          <w:rPr>
            <w:rFonts w:ascii="arial" w:eastAsia="arial" w:hAnsi="arial" w:cs="arial"/>
            <w:b w:val="0"/>
            <w:i/>
            <w:strike w:val="0"/>
            <w:noProof w:val="0"/>
            <w:color w:val="0077CC"/>
            <w:position w:val="0"/>
            <w:sz w:val="20"/>
            <w:u w:val="single"/>
            <w:vertAlign w:val="baseline"/>
          </w:rPr>
          <w:t>Zherka</w:t>
        </w:r>
      </w:hyperlink>
      <w:hyperlink r:id="rId72" w:history="1">
        <w:r>
          <w:rPr>
            <w:rFonts w:ascii="arial" w:eastAsia="arial" w:hAnsi="arial" w:cs="arial"/>
            <w:b w:val="0"/>
            <w:i/>
            <w:strike w:val="0"/>
            <w:noProof w:val="0"/>
            <w:color w:val="0077CC"/>
            <w:position w:val="0"/>
            <w:sz w:val="20"/>
            <w:u w:val="single"/>
            <w:vertAlign w:val="baseline"/>
          </w:rPr>
          <w:t>, 459 F. App'x at 13</w:t>
        </w:r>
      </w:hyperlink>
      <w:r>
        <w:rPr>
          <w:rFonts w:ascii="arial" w:eastAsia="arial" w:hAnsi="arial" w:cs="arial"/>
          <w:b w:val="0"/>
          <w:i w:val="0"/>
          <w:strike w:val="0"/>
          <w:noProof w:val="0"/>
          <w:color w:val="000000"/>
          <w:position w:val="0"/>
          <w:sz w:val="20"/>
          <w:u w:val="none"/>
          <w:vertAlign w:val="baseline"/>
        </w:rPr>
        <w:t xml:space="preserve">. In his amended complaint, Plaintiff sets out four alleged due process violations in the February 2013 Disciplinary Hearing: 1) Coveny did not allow him to call witnesses and present documents, 2) Coveny was biased by his involvement with Plaintiff's alleged January violations and by being exposed to that previous investigation's misbehavior report, 3) Spengler falsely stated that she had not begun investigating Plaintiff for the February 2013 Disciplinary Hearing until after the report from the January 2013 Disciplinary Hearing had been dismissed, and lied about her alleged reliance on the first report, and 4) Coveny found Plaintiff guilty even though there was no evidence that plaintiff used another inmate's PIN.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#15 at 18.</w:t>
      </w:r>
    </w:p>
    <w:p>
      <w:pPr>
        <w:keepNext w:val="0"/>
        <w:spacing w:before="240" w:after="0" w:line="260" w:lineRule="atLeast"/>
        <w:ind w:left="0" w:right="0" w:firstLine="0"/>
        <w:jc w:val="both"/>
      </w:pPr>
      <w:bookmarkStart w:id="88" w:name="Bookmark_para_43"/>
      <w:bookmarkEnd w:id="88"/>
      <w:bookmarkStart w:id="89" w:name="Bookmark_I696TKSK2SF8HX0050000400"/>
      <w:bookmarkEnd w:id="89"/>
      <w:bookmarkStart w:id="90" w:name="Bookmark_I696TKSK2HM5VT0050000400"/>
      <w:bookmarkEnd w:id="90"/>
      <w:r>
        <w:rPr>
          <w:rFonts w:ascii="arial" w:eastAsia="arial" w:hAnsi="arial" w:cs="arial"/>
          <w:b w:val="0"/>
          <w:i w:val="0"/>
          <w:strike w:val="0"/>
          <w:noProof w:val="0"/>
          <w:color w:val="000000"/>
          <w:position w:val="0"/>
          <w:sz w:val="20"/>
          <w:u w:val="none"/>
          <w:vertAlign w:val="baseline"/>
        </w:rPr>
        <w:t xml:space="preserve">In the habeas proceedings, the Court addressed Plaintiff's due process objections regarding the same February 2013 Disciplinary Hearing, finding that: 1) the denial of Plaintiff's requested redundant witness testimony did not violate due process, </w:t>
      </w:r>
      <w:hyperlink r:id="rId66" w:history="1">
        <w:r>
          <w:rPr>
            <w:rFonts w:ascii="arial" w:eastAsia="arial" w:hAnsi="arial" w:cs="arial"/>
            <w:b w:val="0"/>
            <w:i/>
            <w:strike w:val="0"/>
            <w:noProof w:val="0"/>
            <w:color w:val="0077CC"/>
            <w:position w:val="0"/>
            <w:sz w:val="20"/>
            <w:u w:val="single"/>
            <w:vertAlign w:val="baseline"/>
          </w:rPr>
          <w:t>Haigler</w:t>
        </w:r>
      </w:hyperlink>
      <w:hyperlink r:id="rId66" w:history="1">
        <w:r>
          <w:rPr>
            <w:rFonts w:ascii="arial" w:eastAsia="arial" w:hAnsi="arial" w:cs="arial"/>
            <w:b w:val="0"/>
            <w:i/>
            <w:strike w:val="0"/>
            <w:noProof w:val="0"/>
            <w:color w:val="0077CC"/>
            <w:position w:val="0"/>
            <w:sz w:val="20"/>
            <w:u w:val="single"/>
            <w:vertAlign w:val="baseline"/>
          </w:rPr>
          <w:t>, 2017 U.S. Dist. LEXIS 185359, 2017 WL 5177722, at *7</w:t>
        </w:r>
      </w:hyperlink>
      <w:r>
        <w:rPr>
          <w:rFonts w:ascii="arial" w:eastAsia="arial" w:hAnsi="arial" w:cs="arial"/>
          <w:b w:val="0"/>
          <w:i w:val="0"/>
          <w:strike w:val="0"/>
          <w:noProof w:val="0"/>
          <w:color w:val="000000"/>
          <w:position w:val="0"/>
          <w:sz w:val="20"/>
          <w:u w:val="none"/>
          <w:vertAlign w:val="baseline"/>
        </w:rPr>
        <w:t>, and he was not entitled to the documentary evidence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he had requested from prison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 Coveny did not improperly rely on the dismissed misbehavior report, </w:t>
      </w:r>
      <w:bookmarkStart w:id="91" w:name="Bookmark_I696TKSK28T4P30010000400"/>
      <w:bookmarkEnd w:id="91"/>
      <w:hyperlink r:id="rId66" w:history="1">
        <w:r>
          <w:rPr>
            <w:rFonts w:ascii="arial" w:eastAsia="arial" w:hAnsi="arial" w:cs="arial"/>
            <w:b w:val="0"/>
            <w:i/>
            <w:strike w:val="0"/>
            <w:noProof w:val="0"/>
            <w:color w:val="0077CC"/>
            <w:position w:val="0"/>
            <w:sz w:val="20"/>
            <w:u w:val="single"/>
            <w:vertAlign w:val="baseline"/>
          </w:rPr>
          <w:t>2017 U.S. Dist. LEXIS 185359, [WL] at *5</w:t>
        </w:r>
      </w:hyperlink>
      <w:r>
        <w:rPr>
          <w:rFonts w:ascii="arial" w:eastAsia="arial" w:hAnsi="arial" w:cs="arial"/>
          <w:b w:val="0"/>
          <w:i w:val="0"/>
          <w:strike w:val="0"/>
          <w:noProof w:val="0"/>
          <w:color w:val="000000"/>
          <w:position w:val="0"/>
          <w:sz w:val="20"/>
          <w:u w:val="none"/>
          <w:vertAlign w:val="baseline"/>
        </w:rPr>
        <w:t xml:space="preserve">; 3) the timing of Spengler's second report was proper, </w:t>
      </w:r>
      <w:bookmarkStart w:id="92" w:name="Bookmark_I696TKSK28T4P30030000400"/>
      <w:bookmarkEnd w:id="92"/>
      <w:hyperlink r:id="rId66" w:history="1">
        <w:r>
          <w:rPr>
            <w:rFonts w:ascii="arial" w:eastAsia="arial" w:hAnsi="arial" w:cs="arial"/>
            <w:b w:val="0"/>
            <w:i/>
            <w:strike w:val="0"/>
            <w:noProof w:val="0"/>
            <w:color w:val="0077CC"/>
            <w:position w:val="0"/>
            <w:sz w:val="20"/>
            <w:u w:val="single"/>
            <w:vertAlign w:val="baseline"/>
          </w:rPr>
          <w:t>2017 U.S. Dist. LEXIS 185359, [WL] at *7</w:t>
        </w:r>
      </w:hyperlink>
      <w:r>
        <w:rPr>
          <w:rFonts w:ascii="arial" w:eastAsia="arial" w:hAnsi="arial" w:cs="arial"/>
          <w:b w:val="0"/>
          <w:i w:val="0"/>
          <w:strike w:val="0"/>
          <w:noProof w:val="0"/>
          <w:color w:val="000000"/>
          <w:position w:val="0"/>
          <w:sz w:val="20"/>
          <w:u w:val="none"/>
          <w:vertAlign w:val="baseline"/>
        </w:rPr>
        <w:t xml:space="preserve">, and that referencing the first misbehavior report during the proceedings would not have been improper, </w:t>
      </w:r>
      <w:bookmarkStart w:id="93" w:name="Bookmark_I696TKSK28T4P30050000400"/>
      <w:bookmarkEnd w:id="93"/>
      <w:hyperlink r:id="rId66" w:history="1">
        <w:r>
          <w:rPr>
            <w:rFonts w:ascii="arial" w:eastAsia="arial" w:hAnsi="arial" w:cs="arial"/>
            <w:b w:val="0"/>
            <w:i/>
            <w:strike w:val="0"/>
            <w:noProof w:val="0"/>
            <w:color w:val="0077CC"/>
            <w:position w:val="0"/>
            <w:sz w:val="20"/>
            <w:u w:val="single"/>
            <w:vertAlign w:val="baseline"/>
          </w:rPr>
          <w:t>2017 U.S. Dist. LEXIS 185359, [WL] at *5</w:t>
        </w:r>
      </w:hyperlink>
      <w:r>
        <w:rPr>
          <w:rFonts w:ascii="arial" w:eastAsia="arial" w:hAnsi="arial" w:cs="arial"/>
          <w:b w:val="0"/>
          <w:i w:val="0"/>
          <w:strike w:val="0"/>
          <w:noProof w:val="0"/>
          <w:color w:val="000000"/>
          <w:position w:val="0"/>
          <w:sz w:val="20"/>
          <w:u w:val="none"/>
          <w:vertAlign w:val="baseline"/>
        </w:rPr>
        <w:t xml:space="preserve">; and 4) there was sufficient evidence to support the charges and findings, considering the misbehavior report and Spengler's corroborating testimony, </w:t>
      </w:r>
      <w:bookmarkStart w:id="94" w:name="Bookmark_I696TKSK2HM5VT0020000400"/>
      <w:bookmarkEnd w:id="94"/>
      <w:hyperlink r:id="rId66" w:history="1">
        <w:r>
          <w:rPr>
            <w:rFonts w:ascii="arial" w:eastAsia="arial" w:hAnsi="arial" w:cs="arial"/>
            <w:b w:val="0"/>
            <w:i/>
            <w:strike w:val="0"/>
            <w:noProof w:val="0"/>
            <w:color w:val="0077CC"/>
            <w:position w:val="0"/>
            <w:sz w:val="20"/>
            <w:u w:val="single"/>
            <w:vertAlign w:val="baseline"/>
          </w:rPr>
          <w:t>2017 U.S. Dist. LEXIS 185359, [WL] at *8</w:t>
        </w:r>
      </w:hyperlink>
      <w:r>
        <w:rPr>
          <w:rFonts w:ascii="arial" w:eastAsia="arial" w:hAnsi="arial" w:cs="arial"/>
          <w:b w:val="0"/>
          <w:i w:val="0"/>
          <w:strike w:val="0"/>
          <w:noProof w:val="0"/>
          <w:color w:val="000000"/>
          <w:position w:val="0"/>
          <w:sz w:val="20"/>
          <w:u w:val="none"/>
          <w:vertAlign w:val="baseline"/>
        </w:rPr>
        <w:t xml:space="preserve">. The Court also generally stated that "there is no support in the record for the conclusion that petitioner is actually innocent of the charges against him," and that Plaintiff "ha[d] not made a substantial showing of the denial of a constitutional right." </w:t>
      </w:r>
      <w:bookmarkStart w:id="95" w:name="Bookmark_I696TKSK2HM5VT0040000400"/>
      <w:bookmarkEnd w:id="95"/>
      <w:hyperlink r:id="rId66" w:history="1">
        <w:r>
          <w:rPr>
            <w:rFonts w:ascii="arial" w:eastAsia="arial" w:hAnsi="arial" w:cs="arial"/>
            <w:b w:val="0"/>
            <w:i/>
            <w:strike w:val="0"/>
            <w:noProof w:val="0"/>
            <w:color w:val="0077CC"/>
            <w:position w:val="0"/>
            <w:sz w:val="20"/>
            <w:u w:val="single"/>
            <w:vertAlign w:val="baseline"/>
          </w:rPr>
          <w:t>2017 U.S. Dist. LEXIS 185359, [WL] at *6, *8</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both"/>
      </w:pPr>
      <w:bookmarkStart w:id="96" w:name="Bookmark_para_44"/>
      <w:bookmarkEnd w:id="96"/>
      <w:bookmarkStart w:id="97" w:name="Bookmark_I696TKSK2N1PP10020000400"/>
      <w:bookmarkEnd w:id="97"/>
      <w:r>
        <w:rPr>
          <w:rFonts w:ascii="arial" w:eastAsia="arial" w:hAnsi="arial" w:cs="arial"/>
          <w:b w:val="0"/>
          <w:i w:val="0"/>
          <w:strike w:val="0"/>
          <w:noProof w:val="0"/>
          <w:color w:val="000000"/>
          <w:position w:val="0"/>
          <w:sz w:val="20"/>
          <w:u w:val="none"/>
          <w:vertAlign w:val="baseline"/>
        </w:rPr>
        <w:t xml:space="preserve">These findings clearly mirror the bases for Plaintiff's due process claim in the instant case. Accordingly, the same issues were at play in the habeas proceeding, were actually litigated against Plaintiff, and actually decided. Resolution of these issues was also necessary to resolve Plaintiff's due process claim. </w:t>
      </w:r>
      <w:r>
        <w:rPr>
          <w:rFonts w:ascii="arial" w:eastAsia="arial" w:hAnsi="arial" w:cs="arial"/>
          <w:b w:val="0"/>
          <w:i/>
          <w:strike w:val="0"/>
          <w:noProof w:val="0"/>
          <w:color w:val="000000"/>
          <w:position w:val="0"/>
          <w:sz w:val="20"/>
          <w:u w:val="none"/>
          <w:vertAlign w:val="baseline"/>
        </w:rPr>
        <w:t xml:space="preserve">See </w:t>
      </w:r>
      <w:bookmarkStart w:id="98" w:name="Bookmark_I696TKSK2N1PP10010000400"/>
      <w:bookmarkEnd w:id="98"/>
      <w:hyperlink r:id="rId66" w:history="1">
        <w:r>
          <w:rPr>
            <w:rFonts w:ascii="arial" w:eastAsia="arial" w:hAnsi="arial" w:cs="arial"/>
            <w:b w:val="0"/>
            <w:i/>
            <w:strike w:val="0"/>
            <w:noProof w:val="0"/>
            <w:color w:val="0077CC"/>
            <w:position w:val="0"/>
            <w:sz w:val="20"/>
            <w:u w:val="single"/>
            <w:vertAlign w:val="baseline"/>
          </w:rPr>
          <w:t>2017 U.S. Dist. LEXIS 185359, [WL] at *5</w:t>
        </w:r>
      </w:hyperlink>
      <w:r>
        <w:rPr>
          <w:rFonts w:ascii="arial" w:eastAsia="arial" w:hAnsi="arial" w:cs="arial"/>
          <w:b w:val="0"/>
          <w:i w:val="0"/>
          <w:strike w:val="0"/>
          <w:noProof w:val="0"/>
          <w:color w:val="000000"/>
          <w:position w:val="0"/>
          <w:sz w:val="20"/>
          <w:u w:val="none"/>
          <w:vertAlign w:val="baseline"/>
        </w:rPr>
        <w:t xml:space="preserve"> ("[I]n a disciplinary hearing, [i]nmates are entitled to advance written notice of the charges; a fair and impartial hearing officer; a reasonable opportunity to</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call witnesses and present documentary evidence; and a written statement of the disposition, including supporting facts and reasons for the action taken. On review, </w:t>
      </w:r>
      <w:r>
        <w:rPr>
          <w:rFonts w:ascii="arial" w:eastAsia="arial" w:hAnsi="arial" w:cs="arial"/>
          <w:b w:val="0"/>
          <w:i/>
          <w:strike w:val="0"/>
          <w:noProof w:val="0"/>
          <w:color w:val="000000"/>
          <w:position w:val="0"/>
          <w:sz w:val="20"/>
          <w:u w:val="none"/>
          <w:vertAlign w:val="baseline"/>
        </w:rPr>
        <w:t>the Court must consider whether there was reliable evidence of the inmate's guilt</w:t>
      </w:r>
      <w:r>
        <w:rPr>
          <w:rFonts w:ascii="arial" w:eastAsia="arial" w:hAnsi="arial" w:cs="arial"/>
          <w:b w:val="0"/>
          <w:i w:val="0"/>
          <w:strike w:val="0"/>
          <w:noProof w:val="0"/>
          <w:color w:val="000000"/>
          <w:position w:val="0"/>
          <w:sz w:val="20"/>
          <w:u w:val="none"/>
          <w:vertAlign w:val="baseline"/>
        </w:rPr>
        <w:t xml:space="preserve">.") (emphasis added) (internal quotations omitted). Furthermore, Plaintiff has set forth no evidence indicating he was not given an adequate opportunity to oppose these findings. </w:t>
      </w:r>
      <w:r>
        <w:rPr>
          <w:rFonts w:ascii="arial" w:eastAsia="arial" w:hAnsi="arial" w:cs="arial"/>
          <w:b w:val="0"/>
          <w:i/>
          <w:strike w:val="0"/>
          <w:noProof w:val="0"/>
          <w:color w:val="000000"/>
          <w:position w:val="0"/>
          <w:sz w:val="20"/>
          <w:u w:val="none"/>
          <w:vertAlign w:val="baseline"/>
        </w:rPr>
        <w:t xml:space="preserve">See </w:t>
      </w:r>
      <w:hyperlink r:id="rId74" w:history="1">
        <w:r>
          <w:rPr>
            <w:rFonts w:ascii="arial" w:eastAsia="arial" w:hAnsi="arial" w:cs="arial"/>
            <w:b w:val="0"/>
            <w:i/>
            <w:strike w:val="0"/>
            <w:noProof w:val="0"/>
            <w:color w:val="0077CC"/>
            <w:position w:val="0"/>
            <w:sz w:val="20"/>
            <w:u w:val="single"/>
            <w:vertAlign w:val="baseline"/>
          </w:rPr>
          <w:t>Kulak v. City of N.Y.</w:t>
        </w:r>
      </w:hyperlink>
      <w:hyperlink r:id="rId74" w:history="1">
        <w:r>
          <w:rPr>
            <w:rFonts w:ascii="arial" w:eastAsia="arial" w:hAnsi="arial" w:cs="arial"/>
            <w:b w:val="0"/>
            <w:i/>
            <w:strike w:val="0"/>
            <w:noProof w:val="0"/>
            <w:color w:val="0077CC"/>
            <w:position w:val="0"/>
            <w:sz w:val="20"/>
            <w:u w:val="single"/>
            <w:vertAlign w:val="baseline"/>
          </w:rPr>
          <w:t>, 88 F.3d 63, 72 (2d Cir. 1996)</w:t>
        </w:r>
      </w:hyperlink>
      <w:r>
        <w:rPr>
          <w:rFonts w:ascii="arial" w:eastAsia="arial" w:hAnsi="arial" w:cs="arial"/>
          <w:b w:val="0"/>
          <w:i w:val="0"/>
          <w:strike w:val="0"/>
          <w:noProof w:val="0"/>
          <w:color w:val="000000"/>
          <w:position w:val="0"/>
          <w:sz w:val="20"/>
          <w:u w:val="none"/>
          <w:vertAlign w:val="baseline"/>
        </w:rPr>
        <w:t xml:space="preserve"> ("the burden of showing that the prior action did not afford a full and fair opportunity to litigate the issues rests with . . . the party opposing the application of issue preclusion").</w:t>
      </w:r>
    </w:p>
    <w:p>
      <w:pPr>
        <w:keepNext w:val="0"/>
        <w:spacing w:before="200" w:after="0" w:line="260" w:lineRule="atLeast"/>
        <w:ind w:left="0" w:right="0" w:firstLine="0"/>
        <w:jc w:val="both"/>
      </w:pPr>
      <w:bookmarkStart w:id="99" w:name="Bookmark_para_45"/>
      <w:bookmarkEnd w:id="99"/>
      <w:r>
        <w:rPr>
          <w:rFonts w:ascii="arial" w:eastAsia="arial" w:hAnsi="arial" w:cs="arial"/>
          <w:b w:val="0"/>
          <w:i w:val="0"/>
          <w:strike w:val="0"/>
          <w:noProof w:val="0"/>
          <w:color w:val="000000"/>
          <w:position w:val="0"/>
          <w:sz w:val="20"/>
          <w:u w:val="none"/>
          <w:vertAlign w:val="baseline"/>
        </w:rPr>
        <w:t>Accordingly, all four collateral estoppel requirements are present, and the issues resolved by the Court during Plaintiff's habeas proceedings preclude his due process claim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Malicious Prosecution</w:t>
      </w:r>
    </w:p>
    <w:p>
      <w:pPr>
        <w:keepNext w:val="0"/>
        <w:spacing w:before="200" w:after="0" w:line="260" w:lineRule="atLeast"/>
        <w:ind w:left="0" w:right="0" w:firstLine="0"/>
        <w:jc w:val="both"/>
      </w:pPr>
      <w:bookmarkStart w:id="100" w:name="Bookmark_para_46"/>
      <w:bookmarkEnd w:id="100"/>
      <w:r>
        <w:rPr>
          <w:rFonts w:ascii="arial" w:eastAsia="arial" w:hAnsi="arial" w:cs="arial"/>
          <w:b w:val="0"/>
          <w:i w:val="0"/>
          <w:strike w:val="0"/>
          <w:noProof w:val="0"/>
          <w:color w:val="000000"/>
          <w:position w:val="0"/>
          <w:sz w:val="20"/>
          <w:u w:val="none"/>
          <w:vertAlign w:val="baseline"/>
        </w:rPr>
        <w:t>Claim Six is a malicious prosecution claim against Spengler based on her allegedly inaccurate Second Misbehavior Report and testimony which led to Plaintiff's February 2013 Disciplinary Hearing and later criminal prosecution in state court. Dkt. #15 at 17. Defendants argue that this claim must be dismissed because 1) malicious prosecution claims must allege some due process violation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beyond the mere use of a false misbehavior report and false testimony, which Plaintiff has failed to do, Dkt. #19-1 at 17, 18; 2) the claim is barred by collateral estoppel on the issue of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18-20; and 3) the amended complaint fails to allege a lack of probable cause or actual malice,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20-23. This Court recommends that Claim Six be dismissed because Plaintiff has failed to allege a basis for this claim beyond Spengler's mere submission of a false misbehavior report and false testimony, which is insufficient to allege a malicious prosecution claim. Alternatively, Plaintiff has failed to adequately allege that Spengler acted with actual malice. However, aside from these grounds, Plaintiff would not be collaterally estopped from establishing a lack of probable cause and did not fail to adequately allege a lack of probable cause in his amended complaint.</w:t>
      </w:r>
    </w:p>
    <w:p>
      <w:pPr>
        <w:keepNext w:val="0"/>
        <w:spacing w:before="240" w:after="0" w:line="260" w:lineRule="atLeast"/>
        <w:ind w:left="0" w:right="0" w:firstLine="0"/>
        <w:jc w:val="both"/>
      </w:pPr>
      <w:bookmarkStart w:id="101" w:name="Bookmark_para_47"/>
      <w:bookmarkEnd w:id="101"/>
      <w:r>
        <w:rPr>
          <w:rFonts w:ascii="arial" w:eastAsia="arial" w:hAnsi="arial" w:cs="arial"/>
          <w:b w:val="0"/>
          <w:i w:val="0"/>
          <w:strike w:val="0"/>
          <w:noProof w:val="0"/>
          <w:color w:val="000000"/>
          <w:position w:val="0"/>
          <w:sz w:val="20"/>
          <w:u w:val="none"/>
          <w:vertAlign w:val="baseline"/>
        </w:rPr>
        <w:t xml:space="preserve">First, malicious prosecution claims merely based on allegedly false misbehavior reports are not actionable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77" w:history="1">
        <w:r>
          <w:rPr>
            <w:rFonts w:ascii="arial" w:eastAsia="arial" w:hAnsi="arial" w:cs="arial"/>
            <w:b w:val="0"/>
            <w:i/>
            <w:strike w:val="0"/>
            <w:noProof w:val="0"/>
            <w:color w:val="0077CC"/>
            <w:position w:val="0"/>
            <w:sz w:val="20"/>
            <w:u w:val="single"/>
            <w:vertAlign w:val="baseline"/>
          </w:rPr>
          <w:t>Wright v. Kelly</w:t>
        </w:r>
      </w:hyperlink>
      <w:hyperlink r:id="rId77" w:history="1">
        <w:r>
          <w:rPr>
            <w:rFonts w:ascii="arial" w:eastAsia="arial" w:hAnsi="arial" w:cs="arial"/>
            <w:b w:val="0"/>
            <w:i/>
            <w:strike w:val="0"/>
            <w:noProof w:val="0"/>
            <w:color w:val="0077CC"/>
            <w:position w:val="0"/>
            <w:sz w:val="20"/>
            <w:u w:val="single"/>
            <w:vertAlign w:val="baseline"/>
          </w:rPr>
          <w:t>, No. 95-CV-0688H, 1998 U.S. Dist. LEXIS 20424, 1998 WL 912026, at *1 (W.D.N.Y. Oct. 16, 1998)</w:t>
        </w:r>
      </w:hyperlink>
      <w:r>
        <w:rPr>
          <w:rFonts w:ascii="arial" w:eastAsia="arial" w:hAnsi="arial" w:cs="arial"/>
          <w:b w:val="0"/>
          <w:i w:val="0"/>
          <w:strike w:val="0"/>
          <w:noProof w:val="0"/>
          <w:color w:val="000000"/>
          <w:position w:val="0"/>
          <w:sz w:val="20"/>
          <w:u w:val="none"/>
          <w:vertAlign w:val="baseline"/>
        </w:rPr>
        <w:t xml:space="preserve"> ("While plaintiff characterizes this claim as civil malicious prosecution, it is essentially a claim that the guards wrote false misbehavior reports and testified falsely at plaintiff's disciplinary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hearing. An allegation of a false misbehavior report and/or false testimony in a prison disciplinary hearing in and of themselves are not cognizable under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(citing </w:t>
      </w:r>
      <w:hyperlink r:id="rId78" w:history="1">
        <w:r>
          <w:rPr>
            <w:rFonts w:ascii="arial" w:eastAsia="arial" w:hAnsi="arial" w:cs="arial"/>
            <w:b w:val="0"/>
            <w:i/>
            <w:strike w:val="0"/>
            <w:noProof w:val="0"/>
            <w:color w:val="0077CC"/>
            <w:position w:val="0"/>
            <w:sz w:val="20"/>
            <w:u w:val="single"/>
            <w:vertAlign w:val="baseline"/>
          </w:rPr>
          <w:t>Freeman v. Rideout</w:t>
        </w:r>
      </w:hyperlink>
      <w:hyperlink r:id="rId78" w:history="1">
        <w:r>
          <w:rPr>
            <w:rFonts w:ascii="arial" w:eastAsia="arial" w:hAnsi="arial" w:cs="arial"/>
            <w:b w:val="0"/>
            <w:i/>
            <w:strike w:val="0"/>
            <w:noProof w:val="0"/>
            <w:color w:val="0077CC"/>
            <w:position w:val="0"/>
            <w:sz w:val="20"/>
            <w:u w:val="single"/>
            <w:vertAlign w:val="baseline"/>
          </w:rPr>
          <w:t>, 808 F.2d 949, 951 (2d Cir. 1986)</w:t>
        </w:r>
      </w:hyperlink>
      <w:r>
        <w:rPr>
          <w:rFonts w:ascii="arial" w:eastAsia="arial" w:hAnsi="arial" w:cs="arial"/>
          <w:b w:val="0"/>
          <w:i w:val="0"/>
          <w:strike w:val="0"/>
          <w:noProof w:val="0"/>
          <w:color w:val="000000"/>
          <w:position w:val="0"/>
          <w:sz w:val="20"/>
          <w:u w:val="none"/>
          <w:vertAlign w:val="baseline"/>
        </w:rPr>
        <w:t xml:space="preserve">). Instead, the claim must allege a violation of due process under the established due process test.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 fair hearing which conforms to the due process standards of </w:t>
      </w:r>
      <w:hyperlink r:id="rId79" w:history="1">
        <w:r>
          <w:rPr>
            <w:rFonts w:ascii="arial" w:eastAsia="arial" w:hAnsi="arial" w:cs="arial"/>
            <w:b w:val="0"/>
            <w:i/>
            <w:strike w:val="0"/>
            <w:noProof w:val="0"/>
            <w:color w:val="0077CC"/>
            <w:position w:val="0"/>
            <w:sz w:val="20"/>
            <w:u w:val="single"/>
            <w:vertAlign w:val="baseline"/>
          </w:rPr>
          <w:t>Wolff v. McDonnell</w:t>
        </w:r>
      </w:hyperlink>
      <w:hyperlink r:id="rId79" w:history="1">
        <w:r>
          <w:rPr>
            <w:rFonts w:ascii="arial" w:eastAsia="arial" w:hAnsi="arial" w:cs="arial"/>
            <w:b w:val="0"/>
            <w:i/>
            <w:strike w:val="0"/>
            <w:noProof w:val="0"/>
            <w:color w:val="0077CC"/>
            <w:position w:val="0"/>
            <w:sz w:val="20"/>
            <w:u w:val="single"/>
            <w:vertAlign w:val="baseline"/>
          </w:rPr>
          <w:t>, [418 U.S. 539, 94 S. Ct. 2963, 41 L. Ed. 2d 935 (1974)]</w:t>
        </w:r>
      </w:hyperlink>
      <w:r>
        <w:rPr>
          <w:rFonts w:ascii="arial" w:eastAsia="arial" w:hAnsi="arial" w:cs="arial"/>
          <w:b w:val="0"/>
          <w:i w:val="0"/>
          <w:strike w:val="0"/>
          <w:noProof w:val="0"/>
          <w:color w:val="000000"/>
          <w:position w:val="0"/>
          <w:sz w:val="20"/>
          <w:u w:val="none"/>
          <w:vertAlign w:val="baseline"/>
        </w:rPr>
        <w:t xml:space="preserve">, cures any procedural due process violation resulting from a false accusation.") (citing </w:t>
      </w:r>
      <w:hyperlink r:id="rId80" w:history="1">
        <w:r>
          <w:rPr>
            <w:rFonts w:ascii="arial" w:eastAsia="arial" w:hAnsi="arial" w:cs="arial"/>
            <w:b w:val="0"/>
            <w:i/>
            <w:strike w:val="0"/>
            <w:noProof w:val="0"/>
            <w:color w:val="0077CC"/>
            <w:position w:val="0"/>
            <w:sz w:val="20"/>
            <w:u w:val="single"/>
            <w:vertAlign w:val="baseline"/>
          </w:rPr>
          <w:t>Grillo v. Coughlin</w:t>
        </w:r>
      </w:hyperlink>
      <w:hyperlink r:id="rId80" w:history="1">
        <w:r>
          <w:rPr>
            <w:rFonts w:ascii="arial" w:eastAsia="arial" w:hAnsi="arial" w:cs="arial"/>
            <w:b w:val="0"/>
            <w:i/>
            <w:strike w:val="0"/>
            <w:noProof w:val="0"/>
            <w:color w:val="0077CC"/>
            <w:position w:val="0"/>
            <w:sz w:val="20"/>
            <w:u w:val="single"/>
            <w:vertAlign w:val="baseline"/>
          </w:rPr>
          <w:t>, 31 F.3d 53, 56 (2d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48"/>
      <w:bookmarkEnd w:id="102"/>
      <w:r>
        <w:rPr>
          <w:rFonts w:ascii="arial" w:eastAsia="arial" w:hAnsi="arial" w:cs="arial"/>
          <w:b w:val="0"/>
          <w:i w:val="0"/>
          <w:strike w:val="0"/>
          <w:noProof w:val="0"/>
          <w:color w:val="000000"/>
          <w:position w:val="0"/>
          <w:sz w:val="20"/>
          <w:u w:val="none"/>
          <w:vertAlign w:val="baseline"/>
        </w:rPr>
        <w:t xml:space="preserve">Courts in the Second Circuit routinely dismiss malicious prosecution claims that fail under the </w:t>
      </w:r>
      <w:hyperlink r:id="rId79" w:history="1">
        <w:r>
          <w:rPr>
            <w:rFonts w:ascii="arial" w:eastAsia="arial" w:hAnsi="arial" w:cs="arial"/>
            <w:b w:val="0"/>
            <w:i/>
            <w:strike w:val="0"/>
            <w:noProof w:val="0"/>
            <w:color w:val="0077CC"/>
            <w:position w:val="0"/>
            <w:sz w:val="20"/>
            <w:u w:val="single"/>
            <w:vertAlign w:val="baseline"/>
          </w:rPr>
          <w:t>Wolff v. McDonnell</w:t>
        </w:r>
      </w:hyperlink>
      <w:r>
        <w:rPr>
          <w:rFonts w:ascii="arial" w:eastAsia="arial" w:hAnsi="arial" w:cs="arial"/>
          <w:b w:val="0"/>
          <w:i w:val="0"/>
          <w:strike w:val="0"/>
          <w:noProof w:val="0"/>
          <w:color w:val="000000"/>
          <w:position w:val="0"/>
          <w:sz w:val="20"/>
          <w:u w:val="none"/>
          <w:vertAlign w:val="baseline"/>
        </w:rPr>
        <w:t xml:space="preserve"> test, despite alleging that false misbehavior reports and testimony were used during a disciplinary hearing. </w:t>
      </w:r>
      <w:r>
        <w:rPr>
          <w:rFonts w:ascii="arial" w:eastAsia="arial" w:hAnsi="arial" w:cs="arial"/>
          <w:b w:val="0"/>
          <w:i/>
          <w:strike w:val="0"/>
          <w:noProof w:val="0"/>
          <w:color w:val="000000"/>
          <w:position w:val="0"/>
          <w:sz w:val="20"/>
          <w:u w:val="none"/>
          <w:vertAlign w:val="baseline"/>
        </w:rPr>
        <w:t xml:space="preserve">See </w:t>
      </w:r>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at *3-4</w:t>
        </w:r>
      </w:hyperlink>
      <w:r>
        <w:rPr>
          <w:rFonts w:ascii="arial" w:eastAsia="arial" w:hAnsi="arial" w:cs="arial"/>
          <w:b w:val="0"/>
          <w:i w:val="0"/>
          <w:strike w:val="0"/>
          <w:noProof w:val="0"/>
          <w:color w:val="000000"/>
          <w:position w:val="0"/>
          <w:sz w:val="20"/>
          <w:u w:val="none"/>
          <w:vertAlign w:val="baseline"/>
        </w:rPr>
        <w:t xml:space="preserve">; </w:t>
      </w:r>
      <w:hyperlink r:id="rId81" w:history="1">
        <w:r>
          <w:rPr>
            <w:rFonts w:ascii="arial" w:eastAsia="arial" w:hAnsi="arial" w:cs="arial"/>
            <w:b w:val="0"/>
            <w:i/>
            <w:strike w:val="0"/>
            <w:noProof w:val="0"/>
            <w:color w:val="0077CC"/>
            <w:position w:val="0"/>
            <w:sz w:val="20"/>
            <w:u w:val="single"/>
            <w:vertAlign w:val="baseline"/>
          </w:rPr>
          <w:t>Nelson v. Michalko</w:t>
        </w:r>
      </w:hyperlink>
      <w:hyperlink r:id="rId81" w:history="1">
        <w:r>
          <w:rPr>
            <w:rFonts w:ascii="arial" w:eastAsia="arial" w:hAnsi="arial" w:cs="arial"/>
            <w:b w:val="0"/>
            <w:i/>
            <w:strike w:val="0"/>
            <w:noProof w:val="0"/>
            <w:color w:val="0077CC"/>
            <w:position w:val="0"/>
            <w:sz w:val="20"/>
            <w:u w:val="single"/>
            <w:vertAlign w:val="baseline"/>
          </w:rPr>
          <w:t>, 35 F. Supp. 2d 289, 293 (W.D.N.Y. 1999)</w:t>
        </w:r>
      </w:hyperlink>
      <w:r>
        <w:rPr>
          <w:rFonts w:ascii="arial" w:eastAsia="arial" w:hAnsi="arial" w:cs="arial"/>
          <w:b w:val="0"/>
          <w:i w:val="0"/>
          <w:strike w:val="0"/>
          <w:noProof w:val="0"/>
          <w:color w:val="000000"/>
          <w:position w:val="0"/>
          <w:sz w:val="20"/>
          <w:u w:val="none"/>
          <w:vertAlign w:val="baseline"/>
        </w:rPr>
        <w:t xml:space="preserve"> ("The plaintiff's claim that Michalko and/or Wicks wrote a false misbehavior report must also be dismissed. It is well-settled that a 'prison inmate has no general constitutional right to be free from being falsely accused in a misbehavior report. There must be more, such as retaliation against the prisoner for exercising a constitutional right.'") (quoting </w:t>
      </w:r>
      <w:hyperlink r:id="rId82" w:history="1">
        <w:r>
          <w:rPr>
            <w:rFonts w:ascii="arial" w:eastAsia="arial" w:hAnsi="arial" w:cs="arial"/>
            <w:b w:val="0"/>
            <w:i/>
            <w:strike w:val="0"/>
            <w:noProof w:val="0"/>
            <w:color w:val="0077CC"/>
            <w:position w:val="0"/>
            <w:sz w:val="20"/>
            <w:u w:val="single"/>
            <w:vertAlign w:val="baseline"/>
          </w:rPr>
          <w:t>Boddie v. Schnieder</w:t>
        </w:r>
      </w:hyperlink>
      <w:hyperlink r:id="rId82" w:history="1">
        <w:r>
          <w:rPr>
            <w:rFonts w:ascii="arial" w:eastAsia="arial" w:hAnsi="arial" w:cs="arial"/>
            <w:b w:val="0"/>
            <w:i/>
            <w:strike w:val="0"/>
            <w:noProof w:val="0"/>
            <w:color w:val="0077CC"/>
            <w:position w:val="0"/>
            <w:sz w:val="20"/>
            <w:u w:val="single"/>
            <w:vertAlign w:val="baseline"/>
          </w:rPr>
          <w:t>, 105 F.3d 857, 862 (2d Cir. 1997)</w:t>
        </w:r>
      </w:hyperlink>
      <w:r>
        <w:rPr>
          <w:rFonts w:ascii="arial" w:eastAsia="arial" w:hAnsi="arial" w:cs="arial"/>
          <w:b w:val="0"/>
          <w:i w:val="0"/>
          <w:strike w:val="0"/>
          <w:noProof w:val="0"/>
          <w:color w:val="000000"/>
          <w:position w:val="0"/>
          <w:sz w:val="20"/>
          <w:u w:val="none"/>
          <w:vertAlign w:val="baseline"/>
        </w:rPr>
        <w:t xml:space="preserve">); </w:t>
      </w:r>
      <w:hyperlink r:id="rId83" w:history="1">
        <w:r>
          <w:rPr>
            <w:rFonts w:ascii="arial" w:eastAsia="arial" w:hAnsi="arial" w:cs="arial"/>
            <w:b w:val="0"/>
            <w:i/>
            <w:strike w:val="0"/>
            <w:noProof w:val="0"/>
            <w:color w:val="0077CC"/>
            <w:position w:val="0"/>
            <w:sz w:val="20"/>
            <w:u w:val="single"/>
            <w:vertAlign w:val="baseline"/>
          </w:rPr>
          <w:t>Doe v. Selsky</w:t>
        </w:r>
      </w:hyperlink>
      <w:hyperlink r:id="rId83" w:history="1">
        <w:r>
          <w:rPr>
            <w:rFonts w:ascii="arial" w:eastAsia="arial" w:hAnsi="arial" w:cs="arial"/>
            <w:b w:val="0"/>
            <w:i/>
            <w:strike w:val="0"/>
            <w:noProof w:val="0"/>
            <w:color w:val="0077CC"/>
            <w:position w:val="0"/>
            <w:sz w:val="20"/>
            <w:u w:val="single"/>
            <w:vertAlign w:val="baseline"/>
          </w:rPr>
          <w:t>, 841 F. Supp. 2d 730, 732 (W.D.N.Y. 2012)</w:t>
        </w:r>
      </w:hyperlink>
      <w:r>
        <w:rPr>
          <w:rFonts w:ascii="arial" w:eastAsia="arial" w:hAnsi="arial" w:cs="arial"/>
          <w:b w:val="0"/>
          <w:i w:val="0"/>
          <w:strike w:val="0"/>
          <w:noProof w:val="0"/>
          <w:color w:val="000000"/>
          <w:position w:val="0"/>
          <w:sz w:val="20"/>
          <w:u w:val="none"/>
          <w:vertAlign w:val="baseline"/>
        </w:rPr>
        <w:t xml:space="preserve"> ("In addition, the issuance of false misbehavior reports against an inmate by corrections officers is insufficient on its own to establish a constitutional violation, absent some impermissible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motive or other due process violation. Here, plaintiff has alleged, in effect, that Wood held a grudge against plaintiff because of a past run-in between the two of them, but that alone does not give rise to a constitutional violation.") (internal citation and quotation omitted); </w:t>
      </w:r>
      <w:hyperlink r:id="rId84" w:history="1">
        <w:r>
          <w:rPr>
            <w:rFonts w:ascii="arial" w:eastAsia="arial" w:hAnsi="arial" w:cs="arial"/>
            <w:b w:val="0"/>
            <w:i/>
            <w:strike w:val="0"/>
            <w:noProof w:val="0"/>
            <w:color w:val="0077CC"/>
            <w:position w:val="0"/>
            <w:sz w:val="20"/>
            <w:u w:val="single"/>
            <w:vertAlign w:val="baseline"/>
          </w:rPr>
          <w:t>Colantuono v. Hockeborn</w:t>
        </w:r>
      </w:hyperlink>
      <w:hyperlink r:id="rId84" w:history="1">
        <w:r>
          <w:rPr>
            <w:rFonts w:ascii="arial" w:eastAsia="arial" w:hAnsi="arial" w:cs="arial"/>
            <w:b w:val="0"/>
            <w:i/>
            <w:strike w:val="0"/>
            <w:noProof w:val="0"/>
            <w:color w:val="0077CC"/>
            <w:position w:val="0"/>
            <w:sz w:val="20"/>
            <w:u w:val="single"/>
            <w:vertAlign w:val="baseline"/>
          </w:rPr>
          <w:t>, 801 F. Supp. 2d 110, 116 (W.D.N.Y. 2011)</w:t>
        </w:r>
      </w:hyperlink>
      <w:r>
        <w:rPr>
          <w:rFonts w:ascii="arial" w:eastAsia="arial" w:hAnsi="arial" w:cs="arial"/>
          <w:b w:val="0"/>
          <w:i w:val="0"/>
          <w:strike w:val="0"/>
          <w:noProof w:val="0"/>
          <w:color w:val="000000"/>
          <w:position w:val="0"/>
          <w:sz w:val="20"/>
          <w:u w:val="none"/>
          <w:vertAlign w:val="baseline"/>
        </w:rPr>
        <w:t xml:space="preserve"> ("Plaintiff alleges that the misbehavior report filed by defendant Hockeborn was false, and that as a result of that false report, he was subjected to threats by DOCS officers. Plaintiff further alleges that he has suffered harassment because his disciplinary record still reflects the incident, even though the hearing disposition was administratively reversed. These claims must be dismissed. 'The Second Circuit has held that the issuance of false misbehavior reports against an inmate by corrections officers is insufficient on its own to establish a denial of due process . . . .'") (quoting </w:t>
      </w:r>
      <w:hyperlink r:id="rId85" w:history="1">
        <w:r>
          <w:rPr>
            <w:rFonts w:ascii="arial" w:eastAsia="arial" w:hAnsi="arial" w:cs="arial"/>
            <w:b w:val="0"/>
            <w:i/>
            <w:strike w:val="0"/>
            <w:noProof w:val="0"/>
            <w:color w:val="0077CC"/>
            <w:position w:val="0"/>
            <w:sz w:val="20"/>
            <w:u w:val="single"/>
            <w:vertAlign w:val="baseline"/>
          </w:rPr>
          <w:t>Faison v. Janicki</w:t>
        </w:r>
      </w:hyperlink>
      <w:hyperlink r:id="rId85" w:history="1">
        <w:r>
          <w:rPr>
            <w:rFonts w:ascii="arial" w:eastAsia="arial" w:hAnsi="arial" w:cs="arial"/>
            <w:b w:val="0"/>
            <w:i/>
            <w:strike w:val="0"/>
            <w:noProof w:val="0"/>
            <w:color w:val="0077CC"/>
            <w:position w:val="0"/>
            <w:sz w:val="20"/>
            <w:u w:val="single"/>
            <w:vertAlign w:val="baseline"/>
          </w:rPr>
          <w:t>, No. 03-CV-6475L, 2007 U.S. Dist. LEXIS 10340, 2007 WL 529310, at *4 (W.D.N.Y. Feb. 14,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3" w:name="Bookmark_para_49"/>
      <w:bookmarkEnd w:id="103"/>
      <w:bookmarkStart w:id="104" w:name="Bookmark_I696TKSK2N1PP10040000400"/>
      <w:bookmarkEnd w:id="104"/>
      <w:r>
        <w:rPr>
          <w:rFonts w:ascii="arial" w:eastAsia="arial" w:hAnsi="arial" w:cs="arial"/>
          <w:b w:val="0"/>
          <w:i w:val="0"/>
          <w:strike w:val="0"/>
          <w:noProof w:val="0"/>
          <w:color w:val="000000"/>
          <w:position w:val="0"/>
          <w:sz w:val="20"/>
          <w:u w:val="none"/>
          <w:vertAlign w:val="baseline"/>
        </w:rPr>
        <w:t xml:space="preserve">Here, as discussed above, it was already established in Plaintiff's habeas proceedings that the February 2013 Disciplinary Hearing comported with due process under </w:t>
      </w:r>
      <w:hyperlink r:id="rId79" w:history="1">
        <w:r>
          <w:rPr>
            <w:rFonts w:ascii="arial" w:eastAsia="arial" w:hAnsi="arial" w:cs="arial"/>
            <w:b w:val="0"/>
            <w:i/>
            <w:strike w:val="0"/>
            <w:noProof w:val="0"/>
            <w:color w:val="0077CC"/>
            <w:position w:val="0"/>
            <w:sz w:val="20"/>
            <w:u w:val="single"/>
            <w:vertAlign w:val="baseline"/>
          </w:rPr>
          <w:t>Wolff v. McDonnell</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5" w:name="Bookmark_I696TKSK2N1PP10030000400"/>
      <w:bookmarkEnd w:id="105"/>
      <w:hyperlink r:id="rId66" w:history="1">
        <w:r>
          <w:rPr>
            <w:rFonts w:ascii="arial" w:eastAsia="arial" w:hAnsi="arial" w:cs="arial"/>
            <w:b w:val="0"/>
            <w:i/>
            <w:strike w:val="0"/>
            <w:noProof w:val="0"/>
            <w:color w:val="0077CC"/>
            <w:position w:val="0"/>
            <w:sz w:val="20"/>
            <w:u w:val="single"/>
            <w:vertAlign w:val="baseline"/>
          </w:rPr>
          <w:t>Haigler</w:t>
        </w:r>
      </w:hyperlink>
      <w:hyperlink r:id="rId66" w:history="1">
        <w:r>
          <w:rPr>
            <w:rFonts w:ascii="arial" w:eastAsia="arial" w:hAnsi="arial" w:cs="arial"/>
            <w:b w:val="0"/>
            <w:i/>
            <w:strike w:val="0"/>
            <w:noProof w:val="0"/>
            <w:color w:val="0077CC"/>
            <w:position w:val="0"/>
            <w:sz w:val="20"/>
            <w:u w:val="single"/>
            <w:vertAlign w:val="baseline"/>
          </w:rPr>
          <w:t>, 2017 U.S. Dist. LEXIS 185359, 2017 WL 5177722, at *5</w:t>
        </w:r>
      </w:hyperlink>
      <w:r>
        <w:rPr>
          <w:rFonts w:ascii="arial" w:eastAsia="arial" w:hAnsi="arial" w:cs="arial"/>
          <w:b w:val="0"/>
          <w:i w:val="0"/>
          <w:strike w:val="0"/>
          <w:noProof w:val="0"/>
          <w:color w:val="000000"/>
          <w:position w:val="0"/>
          <w:sz w:val="20"/>
          <w:u w:val="none"/>
          <w:vertAlign w:val="baseline"/>
        </w:rPr>
        <w:t xml:space="preserve"> (citing </w:t>
      </w:r>
      <w:bookmarkStart w:id="106" w:name="Bookmark_I685M9FM2HM6VF0040000400"/>
      <w:bookmarkEnd w:id="106"/>
      <w:hyperlink r:id="rId79" w:history="1">
        <w:r>
          <w:rPr>
            <w:rFonts w:ascii="arial" w:eastAsia="arial" w:hAnsi="arial" w:cs="arial"/>
            <w:b w:val="0"/>
            <w:i/>
            <w:strike w:val="0"/>
            <w:noProof w:val="0"/>
            <w:color w:val="0077CC"/>
            <w:position w:val="0"/>
            <w:sz w:val="20"/>
            <w:u w:val="single"/>
            <w:vertAlign w:val="baseline"/>
          </w:rPr>
          <w:t>Wolff</w:t>
        </w:r>
      </w:hyperlink>
      <w:hyperlink r:id="rId79" w:history="1">
        <w:r>
          <w:rPr>
            <w:rFonts w:ascii="arial" w:eastAsia="arial" w:hAnsi="arial" w:cs="arial"/>
            <w:b w:val="0"/>
            <w:i/>
            <w:strike w:val="0"/>
            <w:noProof w:val="0"/>
            <w:color w:val="0077CC"/>
            <w:position w:val="0"/>
            <w:sz w:val="20"/>
            <w:u w:val="single"/>
            <w:vertAlign w:val="baseline"/>
          </w:rPr>
          <w:t>, 418 U.S. at 556</w:t>
        </w:r>
      </w:hyperlink>
      <w:r>
        <w:rPr>
          <w:rFonts w:ascii="arial" w:eastAsia="arial" w:hAnsi="arial" w:cs="arial"/>
          <w:b w:val="0"/>
          <w:i w:val="0"/>
          <w:strike w:val="0"/>
          <w:noProof w:val="0"/>
          <w:color w:val="000000"/>
          <w:position w:val="0"/>
          <w:sz w:val="20"/>
          <w:u w:val="none"/>
          <w:vertAlign w:val="baseline"/>
        </w:rPr>
        <w:t>)). Accordingly, since Plaintiff has failed to allege any additional due process or other constitutional violation in connection with the allegedly</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false misbehavior report and hearing testimony, his </w:t>
      </w:r>
      <w:hyperlink r:id="rId1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malicious prosecution claim must be dismissed.</w:t>
      </w:r>
    </w:p>
    <w:p>
      <w:pPr>
        <w:keepNext w:val="0"/>
        <w:spacing w:before="240" w:after="0" w:line="260" w:lineRule="atLeast"/>
        <w:ind w:left="0" w:right="0" w:firstLine="0"/>
        <w:jc w:val="both"/>
      </w:pPr>
      <w:bookmarkStart w:id="107" w:name="Bookmark_para_50"/>
      <w:bookmarkEnd w:id="107"/>
      <w:r>
        <w:rPr>
          <w:rFonts w:ascii="arial" w:eastAsia="arial" w:hAnsi="arial" w:cs="arial"/>
          <w:b w:val="0"/>
          <w:i w:val="0"/>
          <w:strike w:val="0"/>
          <w:noProof w:val="0"/>
          <w:color w:val="000000"/>
          <w:position w:val="0"/>
          <w:sz w:val="20"/>
          <w:u w:val="none"/>
          <w:vertAlign w:val="baseline"/>
        </w:rPr>
        <w:t xml:space="preserve">Alternatively, collateral estoppel does not prevent Plaintiff from establishing an absence of probable cause. Probable cause is a complete defense to a malicious prosecution claim. </w:t>
      </w:r>
      <w:hyperlink r:id="rId86" w:history="1">
        <w:r>
          <w:rPr>
            <w:rFonts w:ascii="arial" w:eastAsia="arial" w:hAnsi="arial" w:cs="arial"/>
            <w:b w:val="0"/>
            <w:i/>
            <w:strike w:val="0"/>
            <w:noProof w:val="0"/>
            <w:color w:val="0077CC"/>
            <w:position w:val="0"/>
            <w:sz w:val="20"/>
            <w:u w:val="single"/>
            <w:vertAlign w:val="baseline"/>
          </w:rPr>
          <w:t>Savino v. City of N.Y.</w:t>
        </w:r>
      </w:hyperlink>
      <w:hyperlink r:id="rId86" w:history="1">
        <w:r>
          <w:rPr>
            <w:rFonts w:ascii="arial" w:eastAsia="arial" w:hAnsi="arial" w:cs="arial"/>
            <w:b w:val="0"/>
            <w:i/>
            <w:strike w:val="0"/>
            <w:noProof w:val="0"/>
            <w:color w:val="0077CC"/>
            <w:position w:val="0"/>
            <w:sz w:val="20"/>
            <w:u w:val="single"/>
            <w:vertAlign w:val="baseline"/>
          </w:rPr>
          <w:t>, 331 F.3d 63, 72 (2d Cir. 2003)</w:t>
        </w:r>
      </w:hyperlink>
      <w:r>
        <w:rPr>
          <w:rFonts w:ascii="arial" w:eastAsia="arial" w:hAnsi="arial" w:cs="arial"/>
          <w:b w:val="0"/>
          <w:i w:val="0"/>
          <w:strike w:val="0"/>
          <w:noProof w:val="0"/>
          <w:color w:val="000000"/>
          <w:position w:val="0"/>
          <w:sz w:val="20"/>
          <w:u w:val="none"/>
          <w:vertAlign w:val="baseline"/>
        </w:rPr>
        <w:t xml:space="preserve">. "[I]n a malicious prosecution action, the relevant probable cause determination is whether there was probable cause to believe the criminal proceeding could succeed and, hence, should be commenced." </w:t>
      </w:r>
      <w:hyperlink r:id="rId87" w:history="1">
        <w:r>
          <w:rPr>
            <w:rFonts w:ascii="arial" w:eastAsia="arial" w:hAnsi="arial" w:cs="arial"/>
            <w:b w:val="0"/>
            <w:i/>
            <w:strike w:val="0"/>
            <w:noProof w:val="0"/>
            <w:color w:val="0077CC"/>
            <w:position w:val="0"/>
            <w:sz w:val="20"/>
            <w:u w:val="single"/>
            <w:vertAlign w:val="baseline"/>
          </w:rPr>
          <w:t>Mejia v. City of N.Y.</w:t>
        </w:r>
      </w:hyperlink>
      <w:hyperlink r:id="rId87" w:history="1">
        <w:r>
          <w:rPr>
            <w:rFonts w:ascii="arial" w:eastAsia="arial" w:hAnsi="arial" w:cs="arial"/>
            <w:b w:val="0"/>
            <w:i/>
            <w:strike w:val="0"/>
            <w:noProof w:val="0"/>
            <w:color w:val="0077CC"/>
            <w:position w:val="0"/>
            <w:sz w:val="20"/>
            <w:u w:val="single"/>
            <w:vertAlign w:val="baseline"/>
          </w:rPr>
          <w:t>, 119 F. Supp. 2d 232, 254 (E.D.N.Y. 2000)</w:t>
        </w:r>
      </w:hyperlink>
      <w:r>
        <w:rPr>
          <w:rFonts w:ascii="arial" w:eastAsia="arial" w:hAnsi="arial" w:cs="arial"/>
          <w:b w:val="0"/>
          <w:i w:val="0"/>
          <w:strike w:val="0"/>
          <w:noProof w:val="0"/>
          <w:color w:val="000000"/>
          <w:position w:val="0"/>
          <w:sz w:val="20"/>
          <w:u w:val="none"/>
          <w:vertAlign w:val="baseline"/>
        </w:rPr>
        <w:t xml:space="preserve"> (citing </w:t>
      </w:r>
      <w:hyperlink r:id="rId88" w:history="1">
        <w:r>
          <w:rPr>
            <w:rFonts w:ascii="arial" w:eastAsia="arial" w:hAnsi="arial" w:cs="arial"/>
            <w:b w:val="0"/>
            <w:i/>
            <w:strike w:val="0"/>
            <w:noProof w:val="0"/>
            <w:color w:val="0077CC"/>
            <w:position w:val="0"/>
            <w:sz w:val="20"/>
            <w:u w:val="single"/>
            <w:vertAlign w:val="baseline"/>
          </w:rPr>
          <w:t>Posr v. Court Officer Shield # 207</w:t>
        </w:r>
      </w:hyperlink>
      <w:hyperlink r:id="rId88" w:history="1">
        <w:r>
          <w:rPr>
            <w:rFonts w:ascii="arial" w:eastAsia="arial" w:hAnsi="arial" w:cs="arial"/>
            <w:b w:val="0"/>
            <w:i/>
            <w:strike w:val="0"/>
            <w:noProof w:val="0"/>
            <w:color w:val="0077CC"/>
            <w:position w:val="0"/>
            <w:sz w:val="20"/>
            <w:u w:val="single"/>
            <w:vertAlign w:val="baseline"/>
          </w:rPr>
          <w:t>, 180 F.3d 409, 417 (2d Cir. 1999)</w:t>
        </w:r>
      </w:hyperlink>
      <w:r>
        <w:rPr>
          <w:rFonts w:ascii="arial" w:eastAsia="arial" w:hAnsi="arial" w:cs="arial"/>
          <w:b w:val="0"/>
          <w:i w:val="0"/>
          <w:strike w:val="0"/>
          <w:noProof w:val="0"/>
          <w:color w:val="000000"/>
          <w:position w:val="0"/>
          <w:sz w:val="20"/>
          <w:u w:val="none"/>
          <w:vertAlign w:val="baseline"/>
        </w:rPr>
        <w:t xml:space="preserve">). As discussed above, collateral estoppel requires "identical" issues that are "actually litigated and actually decided" in both proceedings. </w:t>
      </w:r>
      <w:r>
        <w:rPr>
          <w:rFonts w:ascii="arial" w:eastAsia="arial" w:hAnsi="arial" w:cs="arial"/>
          <w:b w:val="0"/>
          <w:i/>
          <w:strike w:val="0"/>
          <w:noProof w:val="0"/>
          <w:color w:val="000000"/>
          <w:position w:val="0"/>
          <w:sz w:val="20"/>
          <w:u w:val="none"/>
          <w:vertAlign w:val="baseline"/>
        </w:rPr>
        <w:t xml:space="preserve">See </w:t>
      </w:r>
      <w:hyperlink r:id="rId72" w:history="1">
        <w:r>
          <w:rPr>
            <w:rFonts w:ascii="arial" w:eastAsia="arial" w:hAnsi="arial" w:cs="arial"/>
            <w:b w:val="0"/>
            <w:i/>
            <w:strike w:val="0"/>
            <w:noProof w:val="0"/>
            <w:color w:val="0077CC"/>
            <w:position w:val="0"/>
            <w:sz w:val="20"/>
            <w:u w:val="single"/>
            <w:vertAlign w:val="baseline"/>
          </w:rPr>
          <w:t>Zherka</w:t>
        </w:r>
      </w:hyperlink>
      <w:hyperlink r:id="rId72" w:history="1">
        <w:r>
          <w:rPr>
            <w:rFonts w:ascii="arial" w:eastAsia="arial" w:hAnsi="arial" w:cs="arial"/>
            <w:b w:val="0"/>
            <w:i/>
            <w:strike w:val="0"/>
            <w:noProof w:val="0"/>
            <w:color w:val="0077CC"/>
            <w:position w:val="0"/>
            <w:sz w:val="20"/>
            <w:u w:val="single"/>
            <w:vertAlign w:val="baseline"/>
          </w:rPr>
          <w:t>, 459 F. App'x at 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51"/>
      <w:bookmarkEnd w:id="108"/>
      <w:r>
        <w:rPr>
          <w:rFonts w:ascii="arial" w:eastAsia="arial" w:hAnsi="arial" w:cs="arial"/>
          <w:b w:val="0"/>
          <w:i w:val="0"/>
          <w:strike w:val="0"/>
          <w:noProof w:val="0"/>
          <w:color w:val="000000"/>
          <w:position w:val="0"/>
          <w:sz w:val="20"/>
          <w:u w:val="none"/>
          <w:vertAlign w:val="baseline"/>
        </w:rPr>
        <w:t xml:space="preserve">Plaintiff's malicious prosecution claim is based both on the commencement of the February 2013 Disciplinary Hearing and his subsequent state criminal proceedings. </w:t>
      </w:r>
      <w:bookmarkStart w:id="109" w:name="Bookmark_I696TKSK2D6MWS0010000400"/>
      <w:bookmarkEnd w:id="10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#15 at 17. Regarding the hearing, whereas Plaintiff's four enumerated bases for his due process claim were expressly addressed by the Court in his habeas proceedings,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Section II, nowhere in the decision does the court address the issue of probable cause. </w:t>
      </w:r>
      <w:r>
        <w:rPr>
          <w:rFonts w:ascii="arial" w:eastAsia="arial" w:hAnsi="arial" w:cs="arial"/>
          <w:b w:val="0"/>
          <w:i/>
          <w:strike w:val="0"/>
          <w:noProof w:val="0"/>
          <w:color w:val="000000"/>
          <w:position w:val="0"/>
          <w:sz w:val="20"/>
          <w:u w:val="none"/>
          <w:vertAlign w:val="baseline"/>
        </w:rPr>
        <w:t xml:space="preserve">See generally </w:t>
      </w:r>
      <w:bookmarkStart w:id="110" w:name="Bookmark_I696TKSK2N1PP10050000400"/>
      <w:bookmarkEnd w:id="110"/>
      <w:hyperlink r:id="rId66" w:history="1">
        <w:r>
          <w:rPr>
            <w:rFonts w:ascii="arial" w:eastAsia="arial" w:hAnsi="arial" w:cs="arial"/>
            <w:b w:val="0"/>
            <w:i/>
            <w:strike w:val="0"/>
            <w:noProof w:val="0"/>
            <w:color w:val="0077CC"/>
            <w:position w:val="0"/>
            <w:sz w:val="20"/>
            <w:u w:val="single"/>
            <w:vertAlign w:val="baseline"/>
          </w:rPr>
          <w:t>Haigler</w:t>
        </w:r>
      </w:hyperlink>
      <w:hyperlink r:id="rId66" w:history="1">
        <w:r>
          <w:rPr>
            <w:rFonts w:ascii="arial" w:eastAsia="arial" w:hAnsi="arial" w:cs="arial"/>
            <w:b w:val="0"/>
            <w:i/>
            <w:strike w:val="0"/>
            <w:noProof w:val="0"/>
            <w:color w:val="0077CC"/>
            <w:position w:val="0"/>
            <w:sz w:val="20"/>
            <w:u w:val="single"/>
            <w:vertAlign w:val="baseline"/>
          </w:rPr>
          <w:t>, 2017 U.S. Dist. LEXIS 185359, 2017 WL 5177722</w:t>
        </w:r>
      </w:hyperlink>
      <w:r>
        <w:rPr>
          <w:rFonts w:ascii="arial" w:eastAsia="arial" w:hAnsi="arial" w:cs="arial"/>
          <w:b w:val="0"/>
          <w:i w:val="0"/>
          <w:strike w:val="0"/>
          <w:noProof w:val="0"/>
          <w:color w:val="000000"/>
          <w:position w:val="0"/>
          <w:sz w:val="20"/>
          <w:u w:val="none"/>
          <w:vertAlign w:val="baseline"/>
        </w:rPr>
        <w:t xml:space="preserve">. </w:t>
      </w:r>
      <w:bookmarkStart w:id="111" w:name="Bookmark_I696TKSK2D6MWS0030000400"/>
      <w:bookmarkEnd w:id="111"/>
      <w:r>
        <w:rPr>
          <w:rFonts w:ascii="arial" w:eastAsia="arial" w:hAnsi="arial" w:cs="arial"/>
          <w:b w:val="0"/>
          <w:i w:val="0"/>
          <w:strike w:val="0"/>
          <w:noProof w:val="0"/>
          <w:color w:val="000000"/>
          <w:position w:val="0"/>
          <w:sz w:val="20"/>
          <w:u w:val="none"/>
          <w:vertAlign w:val="baseline"/>
        </w:rPr>
        <w:t>While the decision does generically state that "there is no support in the record for the conclusion that [Plaintiff]</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is actually innocent of the charges against him," and that the evidence was "plainly sufficient to support the charges," there is no indication in the decision that the "identical" issue of probable cause was "actually litigated." </w:t>
      </w:r>
      <w:r>
        <w:rPr>
          <w:rFonts w:ascii="arial" w:eastAsia="arial" w:hAnsi="arial" w:cs="arial"/>
          <w:b w:val="0"/>
          <w:i/>
          <w:strike w:val="0"/>
          <w:noProof w:val="0"/>
          <w:color w:val="000000"/>
          <w:position w:val="0"/>
          <w:sz w:val="20"/>
          <w:u w:val="none"/>
          <w:vertAlign w:val="baseline"/>
        </w:rPr>
        <w:t xml:space="preserve">See </w:t>
      </w:r>
      <w:hyperlink r:id="rId72" w:history="1">
        <w:r>
          <w:rPr>
            <w:rFonts w:ascii="arial" w:eastAsia="arial" w:hAnsi="arial" w:cs="arial"/>
            <w:b w:val="0"/>
            <w:i/>
            <w:strike w:val="0"/>
            <w:noProof w:val="0"/>
            <w:color w:val="0077CC"/>
            <w:position w:val="0"/>
            <w:sz w:val="20"/>
            <w:u w:val="single"/>
            <w:vertAlign w:val="baseline"/>
          </w:rPr>
          <w:t>Zherka</w:t>
        </w:r>
      </w:hyperlink>
      <w:hyperlink r:id="rId72" w:history="1">
        <w:r>
          <w:rPr>
            <w:rFonts w:ascii="arial" w:eastAsia="arial" w:hAnsi="arial" w:cs="arial"/>
            <w:b w:val="0"/>
            <w:i/>
            <w:strike w:val="0"/>
            <w:noProof w:val="0"/>
            <w:color w:val="0077CC"/>
            <w:position w:val="0"/>
            <w:sz w:val="20"/>
            <w:u w:val="single"/>
            <w:vertAlign w:val="baseline"/>
          </w:rPr>
          <w:t>, 459 F. App'x at 13</w:t>
        </w:r>
      </w:hyperlink>
      <w:r>
        <w:rPr>
          <w:rFonts w:ascii="arial" w:eastAsia="arial" w:hAnsi="arial" w:cs="arial"/>
          <w:b w:val="0"/>
          <w:i w:val="0"/>
          <w:strike w:val="0"/>
          <w:noProof w:val="0"/>
          <w:color w:val="000000"/>
          <w:position w:val="0"/>
          <w:sz w:val="20"/>
          <w:u w:val="none"/>
          <w:vertAlign w:val="baseline"/>
        </w:rPr>
        <w:t xml:space="preserve">. The decision also certainly did not address whether there was probable cause in the state court criminal proceeding against Plaintiff. </w:t>
      </w:r>
      <w:r>
        <w:rPr>
          <w:rFonts w:ascii="arial" w:eastAsia="arial" w:hAnsi="arial" w:cs="arial"/>
          <w:b w:val="0"/>
          <w:i/>
          <w:strike w:val="0"/>
          <w:noProof w:val="0"/>
          <w:color w:val="000000"/>
          <w:position w:val="0"/>
          <w:sz w:val="20"/>
          <w:u w:val="none"/>
          <w:vertAlign w:val="baseline"/>
        </w:rPr>
        <w:t xml:space="preserve">See </w:t>
      </w:r>
      <w:bookmarkStart w:id="112" w:name="Bookmark_I696TKSK2D6MWS0020000400"/>
      <w:bookmarkEnd w:id="112"/>
      <w:hyperlink r:id="rId66" w:history="1">
        <w:r>
          <w:rPr>
            <w:rFonts w:ascii="arial" w:eastAsia="arial" w:hAnsi="arial" w:cs="arial"/>
            <w:b w:val="0"/>
            <w:i/>
            <w:strike w:val="0"/>
            <w:noProof w:val="0"/>
            <w:color w:val="0077CC"/>
            <w:position w:val="0"/>
            <w:sz w:val="20"/>
            <w:u w:val="single"/>
            <w:vertAlign w:val="baseline"/>
          </w:rPr>
          <w:t>Haigler</w:t>
        </w:r>
      </w:hyperlink>
      <w:hyperlink r:id="rId66" w:history="1">
        <w:r>
          <w:rPr>
            <w:rFonts w:ascii="arial" w:eastAsia="arial" w:hAnsi="arial" w:cs="arial"/>
            <w:b w:val="0"/>
            <w:i/>
            <w:strike w:val="0"/>
            <w:noProof w:val="0"/>
            <w:color w:val="0077CC"/>
            <w:position w:val="0"/>
            <w:sz w:val="20"/>
            <w:u w:val="single"/>
            <w:vertAlign w:val="baseline"/>
          </w:rPr>
          <w:t>, 2017 U.S. Dist. LEXIS 185359, 2017 WL 5177722, at *5</w:t>
        </w:r>
      </w:hyperlink>
      <w:r>
        <w:rPr>
          <w:rFonts w:ascii="arial" w:eastAsia="arial" w:hAnsi="arial" w:cs="arial"/>
          <w:b w:val="0"/>
          <w:i w:val="0"/>
          <w:strike w:val="0"/>
          <w:noProof w:val="0"/>
          <w:color w:val="000000"/>
          <w:position w:val="0"/>
          <w:sz w:val="20"/>
          <w:u w:val="none"/>
          <w:vertAlign w:val="baseline"/>
        </w:rPr>
        <w:t xml:space="preserve"> (specifically noting that "a prison inmate facing a disciplinary proceeding is not entitled to the full panoply of rights afforded to the defendant in a criminal prosecution.") (internal quotations omitted). Accordingly, while the due process claim is estopped by the habeas proceeding, it cannot be argued that the "identical" probable cause issue was also addressed there. Therefore, Plaintiff is not estopped from arguing the issue of probable cause in this case.</w:t>
      </w:r>
    </w:p>
    <w:p>
      <w:pPr>
        <w:keepNext w:val="0"/>
        <w:spacing w:before="240" w:after="0" w:line="260" w:lineRule="atLeast"/>
        <w:ind w:left="0" w:right="0" w:firstLine="0"/>
        <w:jc w:val="both"/>
      </w:pPr>
      <w:bookmarkStart w:id="113" w:name="Bookmark_para_52"/>
      <w:bookmarkEnd w:id="113"/>
      <w:r>
        <w:rPr>
          <w:rFonts w:ascii="arial" w:eastAsia="arial" w:hAnsi="arial" w:cs="arial"/>
          <w:b w:val="0"/>
          <w:i w:val="0"/>
          <w:strike w:val="0"/>
          <w:noProof w:val="0"/>
          <w:color w:val="000000"/>
          <w:position w:val="0"/>
          <w:sz w:val="20"/>
          <w:u w:val="none"/>
          <w:vertAlign w:val="baseline"/>
        </w:rPr>
        <w:t>Aside from the failure to allege a basis for his claim beyond Spengler's issuance of a false misbehavior report and false testimony, Plaintiff has adequately alleged a lack of probable cause, but failed to allege actual malice by Spengler. "The elements of a malicious prosecution claim under New York law are '(1) the initiation or continuation of a criminal</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proceeding against plaintiff; (2) termination of the proceeding in plaintiff's favor; (3) lack of probable cause for commencing the proceeding; and (4) actual malice as a motivation for defendant's actions.'" </w:t>
      </w:r>
      <w:hyperlink r:id="rId89" w:history="1">
        <w:r>
          <w:rPr>
            <w:rFonts w:ascii="arial" w:eastAsia="arial" w:hAnsi="arial" w:cs="arial"/>
            <w:b w:val="0"/>
            <w:i/>
            <w:strike w:val="0"/>
            <w:noProof w:val="0"/>
            <w:color w:val="0077CC"/>
            <w:position w:val="0"/>
            <w:sz w:val="20"/>
            <w:u w:val="single"/>
            <w:vertAlign w:val="baseline"/>
          </w:rPr>
          <w:t>McGrier v. City of N.Y.</w:t>
        </w:r>
      </w:hyperlink>
      <w:hyperlink r:id="rId89" w:history="1">
        <w:r>
          <w:rPr>
            <w:rFonts w:ascii="arial" w:eastAsia="arial" w:hAnsi="arial" w:cs="arial"/>
            <w:b w:val="0"/>
            <w:i/>
            <w:strike w:val="0"/>
            <w:noProof w:val="0"/>
            <w:color w:val="0077CC"/>
            <w:position w:val="0"/>
            <w:sz w:val="20"/>
            <w:u w:val="single"/>
            <w:vertAlign w:val="baseline"/>
          </w:rPr>
          <w:t>, 849 F. App'x 268, 270 (2d Cir. 2021)</w:t>
        </w:r>
      </w:hyperlink>
      <w:r>
        <w:rPr>
          <w:rFonts w:ascii="arial" w:eastAsia="arial" w:hAnsi="arial" w:cs="arial"/>
          <w:b w:val="0"/>
          <w:i w:val="0"/>
          <w:strike w:val="0"/>
          <w:noProof w:val="0"/>
          <w:color w:val="000000"/>
          <w:position w:val="0"/>
          <w:sz w:val="20"/>
          <w:u w:val="none"/>
          <w:vertAlign w:val="baseline"/>
        </w:rPr>
        <w:t xml:space="preserve"> (quoting </w:t>
      </w:r>
      <w:hyperlink r:id="rId90" w:history="1">
        <w:r>
          <w:rPr>
            <w:rFonts w:ascii="arial" w:eastAsia="arial" w:hAnsi="arial" w:cs="arial"/>
            <w:b w:val="0"/>
            <w:i/>
            <w:strike w:val="0"/>
            <w:noProof w:val="0"/>
            <w:color w:val="0077CC"/>
            <w:position w:val="0"/>
            <w:sz w:val="20"/>
            <w:u w:val="single"/>
            <w:vertAlign w:val="baseline"/>
          </w:rPr>
          <w:t>Manganiello v. City of New York</w:t>
        </w:r>
      </w:hyperlink>
      <w:hyperlink r:id="rId90" w:history="1">
        <w:r>
          <w:rPr>
            <w:rFonts w:ascii="arial" w:eastAsia="arial" w:hAnsi="arial" w:cs="arial"/>
            <w:b w:val="0"/>
            <w:i/>
            <w:strike w:val="0"/>
            <w:noProof w:val="0"/>
            <w:color w:val="0077CC"/>
            <w:position w:val="0"/>
            <w:sz w:val="20"/>
            <w:u w:val="single"/>
            <w:vertAlign w:val="baseline"/>
          </w:rPr>
          <w:t>, 612 F.3d 149, 160-61 (2d Cir. 2010)</w:t>
        </w:r>
      </w:hyperlink>
      <w:r>
        <w:rPr>
          <w:rFonts w:ascii="arial" w:eastAsia="arial" w:hAnsi="arial" w:cs="arial"/>
          <w:b w:val="0"/>
          <w:i w:val="0"/>
          <w:strike w:val="0"/>
          <w:noProof w:val="0"/>
          <w:color w:val="000000"/>
          <w:position w:val="0"/>
          <w:sz w:val="20"/>
          <w:u w:val="none"/>
          <w:vertAlign w:val="baseline"/>
        </w:rPr>
        <w:t>). Defendants argue that Plaintiff has failed to allege a lack of probable cause and actual malice by Spengler. Dkt. #19-2 at 20-23.</w:t>
      </w:r>
    </w:p>
    <w:p>
      <w:pPr>
        <w:keepNext w:val="0"/>
        <w:spacing w:before="240" w:after="0" w:line="260" w:lineRule="atLeast"/>
        <w:ind w:left="0" w:right="0" w:firstLine="0"/>
        <w:jc w:val="both"/>
      </w:pPr>
      <w:bookmarkStart w:id="114" w:name="Bookmark_para_53"/>
      <w:bookmarkEnd w:id="114"/>
      <w:r>
        <w:rPr>
          <w:rFonts w:ascii="arial" w:eastAsia="arial" w:hAnsi="arial" w:cs="arial"/>
          <w:b w:val="0"/>
          <w:i w:val="0"/>
          <w:strike w:val="0"/>
          <w:noProof w:val="0"/>
          <w:color w:val="000000"/>
          <w:position w:val="0"/>
          <w:sz w:val="20"/>
          <w:u w:val="none"/>
          <w:vertAlign w:val="baseline"/>
        </w:rPr>
        <w:t xml:space="preserve">Plaintiff clearly alleges that Spengler drafted a false misbehavior report that did not "support probable cause." Dkt. #15 ¶ 8. Likewise, Plaintiff alleges that Spengler filed criminal charges against Plaintiff "absent[]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Neither of these allegations are wholly conclusory, as Plaintiff describes the specific shortcomings of the misbehavior report.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(stating the report lacked any specifics regarding its allegations and that Spengler did not follow proper contraband filing and handling procedures). For purposes of assessing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at the motion to dismiss stage, these allegations are sufficient to establish a lack of probable cause for both the February 2013 Disciplinary Hearing and the state criminal charges. The documentary evidence Defendants refer to indicating that Spengler's allegations were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true, Dkt. #19-1 at 21, are more appropriately weighed against Plaintiff's allegations on a summary judgment motion or at trial. Defendants also argue that Plaintiff's indictment and subsequent </w:t>
      </w:r>
      <w:r>
        <w:rPr>
          <w:rFonts w:ascii="arial" w:eastAsia="arial" w:hAnsi="arial" w:cs="arial"/>
          <w:b w:val="0"/>
          <w:i/>
          <w:strike w:val="0"/>
          <w:noProof w:val="0"/>
          <w:color w:val="000000"/>
          <w:position w:val="0"/>
          <w:sz w:val="20"/>
          <w:u w:val="none"/>
          <w:vertAlign w:val="baseline"/>
        </w:rPr>
        <w:t>Alford</w:t>
      </w:r>
      <w:r>
        <w:rPr>
          <w:rFonts w:ascii="arial" w:eastAsia="arial" w:hAnsi="arial" w:cs="arial"/>
          <w:b w:val="0"/>
          <w:i w:val="0"/>
          <w:strike w:val="0"/>
          <w:noProof w:val="0"/>
          <w:color w:val="000000"/>
          <w:position w:val="0"/>
          <w:sz w:val="20"/>
          <w:u w:val="none"/>
          <w:vertAlign w:val="baseline"/>
        </w:rPr>
        <w:t xml:space="preserve"> plea in the criminal proceedings establish a presumption of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Dkt. #32 at 8. However, this presumption is overcome by allegations that the indictment or guilty plea "was procured by fraud, perjury, the suppression of evidence, or other police misconduct." </w:t>
      </w:r>
      <w:hyperlink r:id="rId91" w:history="1">
        <w:r>
          <w:rPr>
            <w:rFonts w:ascii="arial" w:eastAsia="arial" w:hAnsi="arial" w:cs="arial"/>
            <w:b w:val="0"/>
            <w:i/>
            <w:strike w:val="0"/>
            <w:noProof w:val="0"/>
            <w:color w:val="0077CC"/>
            <w:position w:val="0"/>
            <w:sz w:val="20"/>
            <w:u w:val="single"/>
            <w:vertAlign w:val="baseline"/>
          </w:rPr>
          <w:t>Cornell v. Kapral</w:t>
        </w:r>
      </w:hyperlink>
      <w:hyperlink r:id="rId91" w:history="1">
        <w:r>
          <w:rPr>
            <w:rFonts w:ascii="arial" w:eastAsia="arial" w:hAnsi="arial" w:cs="arial"/>
            <w:b w:val="0"/>
            <w:i/>
            <w:strike w:val="0"/>
            <w:noProof w:val="0"/>
            <w:color w:val="0077CC"/>
            <w:position w:val="0"/>
            <w:sz w:val="20"/>
            <w:u w:val="single"/>
            <w:vertAlign w:val="baseline"/>
          </w:rPr>
          <w:t>, 483 F. App'x 590, 592 (2d Cir. 2012)</w:t>
        </w:r>
      </w:hyperlink>
      <w:r>
        <w:rPr>
          <w:rFonts w:ascii="arial" w:eastAsia="arial" w:hAnsi="arial" w:cs="arial"/>
          <w:b w:val="0"/>
          <w:i w:val="0"/>
          <w:strike w:val="0"/>
          <w:noProof w:val="0"/>
          <w:color w:val="000000"/>
          <w:position w:val="0"/>
          <w:sz w:val="20"/>
          <w:u w:val="none"/>
          <w:vertAlign w:val="baseline"/>
        </w:rPr>
        <w:t xml:space="preserve"> (internal quotations omitted). Plaintiff clearly alleges that Spengler committed perjury by knowingly submitting false material and falsely testifying at his hearing. Dkt. #15 ¶¶ 8, 10. He also alleges a litany of other fraudulent acts in his opposition. Dkt. #30 at 14. Accordingly, Plaintiff has adequately pled a lack of probable cause.</w:t>
      </w:r>
    </w:p>
    <w:p>
      <w:pPr>
        <w:keepNext w:val="0"/>
        <w:spacing w:before="240" w:after="0" w:line="260" w:lineRule="atLeast"/>
        <w:ind w:left="0" w:right="0" w:firstLine="0"/>
        <w:jc w:val="both"/>
      </w:pPr>
      <w:bookmarkStart w:id="115" w:name="Bookmark_para_54"/>
      <w:bookmarkEnd w:id="115"/>
      <w:r>
        <w:rPr>
          <w:rFonts w:ascii="arial" w:eastAsia="arial" w:hAnsi="arial" w:cs="arial"/>
          <w:b w:val="0"/>
          <w:i w:val="0"/>
          <w:strike w:val="0"/>
          <w:noProof w:val="0"/>
          <w:color w:val="000000"/>
          <w:position w:val="0"/>
          <w:sz w:val="20"/>
          <w:u w:val="none"/>
          <w:vertAlign w:val="baseline"/>
        </w:rPr>
        <w:t xml:space="preserve">Plaintiff has not adequately pled Spengler's "actual malice." </w:t>
      </w:r>
      <w:hyperlink r:id="rId89" w:history="1">
        <w:r>
          <w:rPr>
            <w:rFonts w:ascii="arial" w:eastAsia="arial" w:hAnsi="arial" w:cs="arial"/>
            <w:b w:val="0"/>
            <w:i/>
            <w:strike w:val="0"/>
            <w:noProof w:val="0"/>
            <w:color w:val="0077CC"/>
            <w:position w:val="0"/>
            <w:sz w:val="20"/>
            <w:u w:val="single"/>
            <w:vertAlign w:val="baseline"/>
          </w:rPr>
          <w:t>McGrier</w:t>
        </w:r>
      </w:hyperlink>
      <w:hyperlink r:id="rId89" w:history="1">
        <w:r>
          <w:rPr>
            <w:rFonts w:ascii="arial" w:eastAsia="arial" w:hAnsi="arial" w:cs="arial"/>
            <w:b w:val="0"/>
            <w:i/>
            <w:strike w:val="0"/>
            <w:noProof w:val="0"/>
            <w:color w:val="0077CC"/>
            <w:position w:val="0"/>
            <w:sz w:val="20"/>
            <w:u w:val="single"/>
            <w:vertAlign w:val="baseline"/>
          </w:rPr>
          <w:t>, 849 F. App'x at 270</w:t>
        </w:r>
      </w:hyperlink>
      <w:r>
        <w:rPr>
          <w:rFonts w:ascii="arial" w:eastAsia="arial" w:hAnsi="arial" w:cs="arial"/>
          <w:b w:val="0"/>
          <w:i w:val="0"/>
          <w:strike w:val="0"/>
          <w:noProof w:val="0"/>
          <w:color w:val="000000"/>
          <w:position w:val="0"/>
          <w:sz w:val="20"/>
          <w:u w:val="none"/>
          <w:vertAlign w:val="baseline"/>
        </w:rPr>
        <w:t>. Defendants argue that the only allegations relating to Spengler's malice are conclusory, and do not discuss the actual motive or intent behind her actions. Dkt. #19-1 at 23. Conclusory allegations of malice, with no factual basis or grounds to infer maliciousness, are insufficient to establish a malicious prosecution claim.</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92" w:history="1">
        <w:r>
          <w:rPr>
            <w:rFonts w:ascii="arial" w:eastAsia="arial" w:hAnsi="arial" w:cs="arial"/>
            <w:b w:val="0"/>
            <w:i/>
            <w:strike w:val="0"/>
            <w:noProof w:val="0"/>
            <w:color w:val="0077CC"/>
            <w:position w:val="0"/>
            <w:sz w:val="20"/>
            <w:u w:val="single"/>
            <w:vertAlign w:val="baseline"/>
          </w:rPr>
          <w:t>Nieves v. Cty. of Monroe</w:t>
        </w:r>
      </w:hyperlink>
      <w:hyperlink r:id="rId92" w:history="1">
        <w:r>
          <w:rPr>
            <w:rFonts w:ascii="arial" w:eastAsia="arial" w:hAnsi="arial" w:cs="arial"/>
            <w:b w:val="0"/>
            <w:i/>
            <w:strike w:val="0"/>
            <w:noProof w:val="0"/>
            <w:color w:val="0077CC"/>
            <w:position w:val="0"/>
            <w:sz w:val="20"/>
            <w:u w:val="single"/>
            <w:vertAlign w:val="baseline"/>
          </w:rPr>
          <w:t>, 761 F. Supp. 2d 48, 52-53 (W.D.N.Y. 2011)</w:t>
        </w:r>
      </w:hyperlink>
      <w:r>
        <w:rPr>
          <w:rFonts w:ascii="arial" w:eastAsia="arial" w:hAnsi="arial" w:cs="arial"/>
          <w:b w:val="0"/>
          <w:i w:val="0"/>
          <w:strike w:val="0"/>
          <w:noProof w:val="0"/>
          <w:color w:val="000000"/>
          <w:position w:val="0"/>
          <w:sz w:val="20"/>
          <w:u w:val="none"/>
          <w:vertAlign w:val="baseline"/>
        </w:rPr>
        <w:t xml:space="preserve"> ("Conclusory or speculative allegations are insufficient: plaintiff must </w:t>
      </w:r>
      <w:r>
        <w:rPr>
          <w:rFonts w:ascii="arial" w:eastAsia="arial" w:hAnsi="arial" w:cs="arial"/>
          <w:b w:val="0"/>
          <w:i/>
          <w:strike w:val="0"/>
          <w:noProof w:val="0"/>
          <w:color w:val="000000"/>
          <w:position w:val="0"/>
          <w:sz w:val="20"/>
          <w:u w:val="none"/>
          <w:vertAlign w:val="baseline"/>
        </w:rPr>
        <w:t>specifically</w:t>
      </w:r>
      <w:r>
        <w:rPr>
          <w:rFonts w:ascii="arial" w:eastAsia="arial" w:hAnsi="arial" w:cs="arial"/>
          <w:b w:val="0"/>
          <w:i w:val="0"/>
          <w:strike w:val="0"/>
          <w:noProof w:val="0"/>
          <w:color w:val="000000"/>
          <w:position w:val="0"/>
          <w:sz w:val="20"/>
          <w:u w:val="none"/>
          <w:vertAlign w:val="baseline"/>
        </w:rPr>
        <w:t xml:space="preserve"> allege that the named defendants acted with malice. Plaintiff does not allege that Meade and/or Opp, who took very little action in the case other than to make reports about complaints from the victim, acted with malice.") (internal citations omitted); </w:t>
      </w:r>
      <w:hyperlink r:id="rId93" w:history="1">
        <w:r>
          <w:rPr>
            <w:rFonts w:ascii="arial" w:eastAsia="arial" w:hAnsi="arial" w:cs="arial"/>
            <w:b w:val="0"/>
            <w:i/>
            <w:strike w:val="0"/>
            <w:noProof w:val="0"/>
            <w:color w:val="0077CC"/>
            <w:position w:val="0"/>
            <w:sz w:val="20"/>
            <w:u w:val="single"/>
            <w:vertAlign w:val="baseline"/>
          </w:rPr>
          <w:t>Dettelis v. Zimmerman</w:t>
        </w:r>
      </w:hyperlink>
      <w:hyperlink r:id="rId93" w:history="1">
        <w:r>
          <w:rPr>
            <w:rFonts w:ascii="arial" w:eastAsia="arial" w:hAnsi="arial" w:cs="arial"/>
            <w:b w:val="0"/>
            <w:i/>
            <w:strike w:val="0"/>
            <w:noProof w:val="0"/>
            <w:color w:val="0077CC"/>
            <w:position w:val="0"/>
            <w:sz w:val="20"/>
            <w:u w:val="single"/>
            <w:vertAlign w:val="baseline"/>
          </w:rPr>
          <w:t>, Case # 17-CV-407-FPG, 2017 U.S. Dist. LEXIS 196138, 2017 WL 5891327, at *3 (W.D.N.Y. Nov. 29, 2017)</w:t>
        </w:r>
      </w:hyperlink>
      <w:r>
        <w:rPr>
          <w:rFonts w:ascii="arial" w:eastAsia="arial" w:hAnsi="arial" w:cs="arial"/>
          <w:b w:val="0"/>
          <w:i w:val="0"/>
          <w:strike w:val="0"/>
          <w:noProof w:val="0"/>
          <w:color w:val="000000"/>
          <w:position w:val="0"/>
          <w:sz w:val="20"/>
          <w:u w:val="none"/>
          <w:vertAlign w:val="baseline"/>
        </w:rPr>
        <w:t xml:space="preserve"> ("Conclusory or speculative allegations are insufficient: plaintiff must </w:t>
      </w:r>
      <w:r>
        <w:rPr>
          <w:rFonts w:ascii="arial" w:eastAsia="arial" w:hAnsi="arial" w:cs="arial"/>
          <w:b w:val="0"/>
          <w:i/>
          <w:strike w:val="0"/>
          <w:noProof w:val="0"/>
          <w:color w:val="000000"/>
          <w:position w:val="0"/>
          <w:sz w:val="20"/>
          <w:u w:val="none"/>
          <w:vertAlign w:val="baseline"/>
        </w:rPr>
        <w:t>specifically</w:t>
      </w:r>
      <w:r>
        <w:rPr>
          <w:rFonts w:ascii="arial" w:eastAsia="arial" w:hAnsi="arial" w:cs="arial"/>
          <w:b w:val="0"/>
          <w:i w:val="0"/>
          <w:strike w:val="0"/>
          <w:noProof w:val="0"/>
          <w:color w:val="000000"/>
          <w:position w:val="0"/>
          <w:sz w:val="20"/>
          <w:u w:val="none"/>
          <w:vertAlign w:val="baseline"/>
        </w:rPr>
        <w:t xml:space="preserve"> allege that the named defendants acted with malice. Plaintiff fails to do so here—his Complaint is rife with boilerplate references to 'malice,' but it is devoid of factual allegations indicating that Defendants acted for improper reasons.") (internal quotations and citations omitted), </w:t>
      </w:r>
      <w:r>
        <w:rPr>
          <w:rFonts w:ascii="arial" w:eastAsia="arial" w:hAnsi="arial" w:cs="arial"/>
          <w:b w:val="0"/>
          <w:i/>
          <w:strike w:val="0"/>
          <w:noProof w:val="0"/>
          <w:color w:val="000000"/>
          <w:position w:val="0"/>
          <w:sz w:val="20"/>
          <w:u w:val="none"/>
          <w:vertAlign w:val="baseline"/>
        </w:rPr>
        <w:t xml:space="preserve">aff'd sub nom. </w:t>
      </w:r>
      <w:hyperlink r:id="rId94" w:history="1">
        <w:r>
          <w:rPr>
            <w:rFonts w:ascii="arial" w:eastAsia="arial" w:hAnsi="arial" w:cs="arial"/>
            <w:b w:val="0"/>
            <w:i/>
            <w:strike w:val="0"/>
            <w:noProof w:val="0"/>
            <w:color w:val="0077CC"/>
            <w:position w:val="0"/>
            <w:sz w:val="20"/>
            <w:u w:val="single"/>
            <w:vertAlign w:val="baseline"/>
          </w:rPr>
          <w:t>Dettelis v. Sharbaugh</w:t>
        </w:r>
      </w:hyperlink>
      <w:hyperlink r:id="rId94" w:history="1">
        <w:r>
          <w:rPr>
            <w:rFonts w:ascii="arial" w:eastAsia="arial" w:hAnsi="arial" w:cs="arial"/>
            <w:b w:val="0"/>
            <w:i/>
            <w:strike w:val="0"/>
            <w:noProof w:val="0"/>
            <w:color w:val="0077CC"/>
            <w:position w:val="0"/>
            <w:sz w:val="20"/>
            <w:u w:val="single"/>
            <w:vertAlign w:val="baseline"/>
          </w:rPr>
          <w:t>, 919 F.3d 161 (2d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6" w:name="Bookmark_para_55"/>
      <w:bookmarkEnd w:id="116"/>
      <w:r>
        <w:rPr>
          <w:rFonts w:ascii="arial" w:eastAsia="arial" w:hAnsi="arial" w:cs="arial"/>
          <w:b w:val="0"/>
          <w:i w:val="0"/>
          <w:strike w:val="0"/>
          <w:noProof w:val="0"/>
          <w:color w:val="000000"/>
          <w:position w:val="0"/>
          <w:sz w:val="20"/>
          <w:u w:val="none"/>
          <w:vertAlign w:val="baseline"/>
        </w:rPr>
        <w:t xml:space="preserve">Plaintiff does not specifically allege anywhere in his complaint how Spengler acted maliciously.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#15 ¶¶ 8-10 (discussing alleged shortcomings with Spengler's report and her initiation of criminal proceedings against Plaintiff, but not discussing why or how she acted maliciously), at 17 (discussing inaccuracies in misbehavior report and merely stating in conclusory fashion that Spengler acted maliciously). Plaintiff also fails to address this absence of</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maliciousness in his opposition. </w:t>
      </w:r>
      <w:bookmarkStart w:id="117" w:name="Bookmark_I685M9FP28T4210050000400"/>
      <w:bookmarkEnd w:id="11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#30 at 10-16 (only discussing the lack of probable cause). These conclusory assertions of maliciousness fail to adequately support a claim. </w:t>
      </w:r>
      <w:r>
        <w:rPr>
          <w:rFonts w:ascii="arial" w:eastAsia="arial" w:hAnsi="arial" w:cs="arial"/>
          <w:b w:val="0"/>
          <w:i/>
          <w:strike w:val="0"/>
          <w:noProof w:val="0"/>
          <w:color w:val="000000"/>
          <w:position w:val="0"/>
          <w:sz w:val="20"/>
          <w:u w:val="none"/>
          <w:vertAlign w:val="baseline"/>
        </w:rPr>
        <w:t xml:space="preserve">See </w:t>
      </w:r>
      <w:bookmarkStart w:id="118" w:name="Bookmark_I685M9FP28T4210040000400"/>
      <w:bookmarkEnd w:id="118"/>
      <w:hyperlink r:id="rId92" w:history="1">
        <w:r>
          <w:rPr>
            <w:rFonts w:ascii="arial" w:eastAsia="arial" w:hAnsi="arial" w:cs="arial"/>
            <w:b w:val="0"/>
            <w:i/>
            <w:strike w:val="0"/>
            <w:noProof w:val="0"/>
            <w:color w:val="0077CC"/>
            <w:position w:val="0"/>
            <w:sz w:val="20"/>
            <w:u w:val="single"/>
            <w:vertAlign w:val="baseline"/>
          </w:rPr>
          <w:t>Nieves</w:t>
        </w:r>
      </w:hyperlink>
      <w:hyperlink r:id="rId92" w:history="1">
        <w:r>
          <w:rPr>
            <w:rFonts w:ascii="arial" w:eastAsia="arial" w:hAnsi="arial" w:cs="arial"/>
            <w:b w:val="0"/>
            <w:i/>
            <w:strike w:val="0"/>
            <w:noProof w:val="0"/>
            <w:color w:val="0077CC"/>
            <w:position w:val="0"/>
            <w:sz w:val="20"/>
            <w:u w:val="single"/>
            <w:vertAlign w:val="baseline"/>
          </w:rPr>
          <w:t>, 761 F. Supp. 2d at 52-53</w:t>
        </w:r>
      </w:hyperlink>
      <w:r>
        <w:rPr>
          <w:rFonts w:ascii="arial" w:eastAsia="arial" w:hAnsi="arial" w:cs="arial"/>
          <w:b w:val="0"/>
          <w:i w:val="0"/>
          <w:strike w:val="0"/>
          <w:noProof w:val="0"/>
          <w:color w:val="000000"/>
          <w:position w:val="0"/>
          <w:sz w:val="20"/>
          <w:u w:val="none"/>
          <w:vertAlign w:val="baseline"/>
        </w:rPr>
        <w:t xml:space="preserve">; </w:t>
      </w:r>
      <w:bookmarkStart w:id="119" w:name="Bookmark_I696TKSK2D6MWS0040000400"/>
      <w:bookmarkEnd w:id="119"/>
      <w:hyperlink r:id="rId93" w:history="1">
        <w:r>
          <w:rPr>
            <w:rFonts w:ascii="arial" w:eastAsia="arial" w:hAnsi="arial" w:cs="arial"/>
            <w:b w:val="0"/>
            <w:i/>
            <w:strike w:val="0"/>
            <w:noProof w:val="0"/>
            <w:color w:val="0077CC"/>
            <w:position w:val="0"/>
            <w:sz w:val="20"/>
            <w:u w:val="single"/>
            <w:vertAlign w:val="baseline"/>
          </w:rPr>
          <w:t>Dettelis</w:t>
        </w:r>
      </w:hyperlink>
      <w:hyperlink r:id="rId93" w:history="1">
        <w:r>
          <w:rPr>
            <w:rFonts w:ascii="arial" w:eastAsia="arial" w:hAnsi="arial" w:cs="arial"/>
            <w:b w:val="0"/>
            <w:i/>
            <w:strike w:val="0"/>
            <w:noProof w:val="0"/>
            <w:color w:val="0077CC"/>
            <w:position w:val="0"/>
            <w:sz w:val="20"/>
            <w:u w:val="single"/>
            <w:vertAlign w:val="baseline"/>
          </w:rPr>
          <w:t>, 2017 U.S. Dist. LEXIS 196138, 2017 WL 5891327, at *3</w:t>
        </w:r>
      </w:hyperlink>
      <w:r>
        <w:rPr>
          <w:rFonts w:ascii="arial" w:eastAsia="arial" w:hAnsi="arial" w:cs="arial"/>
          <w:b w:val="0"/>
          <w:i w:val="0"/>
          <w:strike w:val="0"/>
          <w:noProof w:val="0"/>
          <w:color w:val="000000"/>
          <w:position w:val="0"/>
          <w:sz w:val="20"/>
          <w:u w:val="none"/>
          <w:vertAlign w:val="baseline"/>
        </w:rPr>
        <w:t>. Accordingly, Plaintiff's malicious prosecution claim should be dismissed for failing to plead actual malice, in addition to the aforementioned failure to allege a basis for the claim beyond the mere false misbehavior report and testimony.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20" w:name="Bookmark_para_56"/>
      <w:bookmarkEnd w:id="120"/>
      <w:r>
        <w:rPr>
          <w:rFonts w:ascii="arial" w:eastAsia="arial" w:hAnsi="arial" w:cs="arial"/>
          <w:b w:val="0"/>
          <w:i w:val="0"/>
          <w:strike w:val="0"/>
          <w:noProof w:val="0"/>
          <w:color w:val="000000"/>
          <w:position w:val="0"/>
          <w:sz w:val="20"/>
          <w:u w:val="none"/>
          <w:vertAlign w:val="baseline"/>
        </w:rPr>
        <w:t>For the foregoing reasons, it is recommended that Defendants' motion to strike (Dkt. #34) be GRANTED, and Defendants' motion to dismiss (Dkt. #19) be GRANTED.</w:t>
      </w:r>
    </w:p>
    <w:p>
      <w:pPr>
        <w:keepNext w:val="0"/>
        <w:spacing w:before="240" w:after="0" w:line="260" w:lineRule="atLeast"/>
        <w:ind w:left="0" w:right="0" w:firstLine="0"/>
        <w:jc w:val="both"/>
      </w:pPr>
      <w:bookmarkStart w:id="121" w:name="Bookmark_para_57"/>
      <w:bookmarkEnd w:id="121"/>
      <w:r>
        <w:rPr>
          <w:rFonts w:ascii="arial" w:eastAsia="arial" w:hAnsi="arial" w:cs="arial"/>
          <w:b w:val="0"/>
          <w:i w:val="0"/>
          <w:strike w:val="0"/>
          <w:noProof w:val="0"/>
          <w:color w:val="000000"/>
          <w:position w:val="0"/>
          <w:sz w:val="20"/>
          <w:u w:val="none"/>
          <w:vertAlign w:val="baseline"/>
        </w:rPr>
        <w:t xml:space="preserve">Therefore, it is hereby ORDERED pursuant to </w:t>
      </w:r>
      <w:hyperlink r:id="rId12"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0" w:right="0" w:firstLine="0"/>
        <w:jc w:val="both"/>
      </w:pPr>
      <w:bookmarkStart w:id="122" w:name="Bookmark_para_58"/>
      <w:bookmarkEnd w:id="122"/>
      <w:r>
        <w:rPr>
          <w:rFonts w:ascii="arial" w:eastAsia="arial" w:hAnsi="arial" w:cs="arial"/>
          <w:b w:val="0"/>
          <w:i w:val="0"/>
          <w:strike w:val="0"/>
          <w:noProof w:val="0"/>
          <w:color w:val="000000"/>
          <w:position w:val="0"/>
          <w:sz w:val="20"/>
          <w:u w:val="none"/>
          <w:vertAlign w:val="baseline"/>
        </w:rPr>
        <w:t>This Report, Recommendation and Order be filed with the Clerk of the Court.</w:t>
      </w:r>
    </w:p>
    <w:p>
      <w:pPr>
        <w:keepNext w:val="0"/>
        <w:spacing w:before="240" w:after="0" w:line="260" w:lineRule="atLeast"/>
        <w:ind w:left="0" w:right="0" w:firstLine="0"/>
        <w:jc w:val="both"/>
      </w:pPr>
      <w:bookmarkStart w:id="123" w:name="Bookmark_para_59"/>
      <w:bookmarkEnd w:id="123"/>
      <w:r>
        <w:rPr>
          <w:rFonts w:ascii="arial" w:eastAsia="arial" w:hAnsi="arial" w:cs="arial"/>
          <w:b w:val="0"/>
          <w:i w:val="0"/>
          <w:strike w:val="0"/>
          <w:noProof w:val="0"/>
          <w:color w:val="000000"/>
          <w:position w:val="0"/>
          <w:sz w:val="20"/>
          <w:u w:val="none"/>
          <w:vertAlign w:val="baseline"/>
        </w:rPr>
        <w:t xml:space="preserve">ANY OBJECTIONS to this Report, Recommendation and Order must be filed with the Clerk of this Court within fourteen (14) days after receipt of a copy of this Report, Recommendation and Order in accordance with the above statute, </w:t>
      </w:r>
      <w:hyperlink r:id="rId95"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xml:space="preserve"> and Local Rule 72(b).</w:t>
      </w:r>
    </w:p>
    <w:p>
      <w:pPr>
        <w:keepNext w:val="0"/>
        <w:spacing w:before="240" w:after="0" w:line="260" w:lineRule="atLeast"/>
        <w:ind w:left="0" w:right="0" w:firstLine="0"/>
        <w:jc w:val="both"/>
      </w:pPr>
      <w:bookmarkStart w:id="124" w:name="Bookmark_para_60"/>
      <w:bookmarkEnd w:id="124"/>
      <w:r>
        <w:rPr>
          <w:rFonts w:ascii="arial" w:eastAsia="arial" w:hAnsi="arial" w:cs="arial"/>
          <w:b w:val="0"/>
          <w:i w:val="0"/>
          <w:strike w:val="0"/>
          <w:noProof w:val="0"/>
          <w:color w:val="000000"/>
          <w:position w:val="0"/>
          <w:sz w:val="20"/>
          <w:u w:val="none"/>
          <w:vertAlign w:val="baseline"/>
        </w:rPr>
        <w:t xml:space="preserve">The district judge will ordinarily refuse to consider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arguments, case law and/or evidentiary material which could have been, but were not presented to the magistrate judge in the first instance. </w:t>
      </w:r>
      <w:r>
        <w:rPr>
          <w:rFonts w:ascii="arial" w:eastAsia="arial" w:hAnsi="arial" w:cs="arial"/>
          <w:b w:val="0"/>
          <w:i/>
          <w:strike w:val="0"/>
          <w:noProof w:val="0"/>
          <w:color w:val="000000"/>
          <w:position w:val="0"/>
          <w:sz w:val="20"/>
          <w:u w:val="none"/>
          <w:vertAlign w:val="baseline"/>
        </w:rPr>
        <w:t xml:space="preserve">See, e.g., </w:t>
      </w:r>
      <w:hyperlink r:id="rId96" w:history="1">
        <w:r>
          <w:rPr>
            <w:rFonts w:ascii="arial" w:eastAsia="arial" w:hAnsi="arial" w:cs="arial"/>
            <w:b w:val="0"/>
            <w:i/>
            <w:strike w:val="0"/>
            <w:noProof w:val="0"/>
            <w:color w:val="0077CC"/>
            <w:position w:val="0"/>
            <w:sz w:val="20"/>
            <w:u w:val="single"/>
            <w:vertAlign w:val="baseline"/>
          </w:rPr>
          <w:t>Patterson-Leitch Co. v. Massachusetts Mun. Wholesale Electric Co.</w:t>
        </w:r>
      </w:hyperlink>
      <w:hyperlink r:id="rId96" w:history="1">
        <w:r>
          <w:rPr>
            <w:rFonts w:ascii="arial" w:eastAsia="arial" w:hAnsi="arial" w:cs="arial"/>
            <w:b w:val="0"/>
            <w:i/>
            <w:strike w:val="0"/>
            <w:noProof w:val="0"/>
            <w:color w:val="0077CC"/>
            <w:position w:val="0"/>
            <w:sz w:val="20"/>
            <w:u w:val="single"/>
            <w:vertAlign w:val="baseline"/>
          </w:rPr>
          <w:t>, 840 F.2d 985 (1st Cir.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61"/>
      <w:bookmarkEnd w:id="125"/>
      <w:r>
        <w:rPr>
          <w:rFonts w:ascii="arial" w:eastAsia="arial" w:hAnsi="arial" w:cs="arial"/>
          <w:b w:val="0"/>
          <w:i w:val="0"/>
          <w:strike w:val="0"/>
          <w:noProof w:val="0"/>
          <w:color w:val="000000"/>
          <w:position w:val="0"/>
          <w:sz w:val="20"/>
          <w:u w:val="single"/>
          <w:vertAlign w:val="baseline"/>
        </w:rPr>
        <w:t>Failure to file objections within</w:t>
      </w:r>
      <w:r>
        <w:rPr>
          <w:rFonts w:ascii="arial" w:eastAsia="arial" w:hAnsi="arial" w:cs="arial"/>
          <w:b/>
          <w:i w:val="0"/>
          <w:strike w:val="0"/>
          <w:noProof w:val="0"/>
          <w:color w:val="000000"/>
          <w:position w:val="0"/>
          <w:sz w:val="20"/>
          <w:u w:val="single"/>
          <w:vertAlign w:val="baseline"/>
        </w:rPr>
        <w:t> [*40] </w:t>
      </w:r>
      <w:r>
        <w:rPr>
          <w:rFonts w:ascii="arial" w:eastAsia="arial" w:hAnsi="arial" w:cs="arial"/>
          <w:b w:val="0"/>
          <w:i w:val="0"/>
          <w:strike w:val="0"/>
          <w:noProof w:val="0"/>
          <w:color w:val="000000"/>
          <w:position w:val="0"/>
          <w:sz w:val="20"/>
          <w:u w:val="single"/>
          <w:vertAlign w:val="baseline"/>
        </w:rPr>
        <w:t xml:space="preserve"> the specified time or to request an extension of such time waives the right to appeal the District Court's Order</w:t>
      </w:r>
      <w:r>
        <w:rPr>
          <w:rFonts w:ascii="arial" w:eastAsia="arial" w:hAnsi="arial" w:cs="arial"/>
          <w:b w:val="0"/>
          <w:i w:val="0"/>
          <w:strike w:val="0"/>
          <w:noProof w:val="0"/>
          <w:color w:val="000000"/>
          <w:position w:val="0"/>
          <w:sz w:val="20"/>
          <w:u w:val="none"/>
          <w:vertAlign w:val="baseline"/>
        </w:rPr>
        <w:t xml:space="preserve">. </w:t>
      </w:r>
      <w:hyperlink r:id="rId97" w:history="1">
        <w:r>
          <w:rPr>
            <w:rFonts w:ascii="arial" w:eastAsia="arial" w:hAnsi="arial" w:cs="arial"/>
            <w:b w:val="0"/>
            <w:i/>
            <w:strike w:val="0"/>
            <w:noProof w:val="0"/>
            <w:color w:val="0077CC"/>
            <w:position w:val="0"/>
            <w:sz w:val="20"/>
            <w:u w:val="single"/>
            <w:vertAlign w:val="baseline"/>
          </w:rPr>
          <w:t>Thomas v. Arn</w:t>
        </w:r>
      </w:hyperlink>
      <w:hyperlink r:id="rId97" w:history="1">
        <w:r>
          <w:rPr>
            <w:rFonts w:ascii="arial" w:eastAsia="arial" w:hAnsi="arial" w:cs="arial"/>
            <w:b w:val="0"/>
            <w:i/>
            <w:strike w:val="0"/>
            <w:noProof w:val="0"/>
            <w:color w:val="0077CC"/>
            <w:position w:val="0"/>
            <w:sz w:val="20"/>
            <w:u w:val="single"/>
            <w:vertAlign w:val="baseline"/>
          </w:rPr>
          <w:t>, 474 U.S. 140, 106 S. Ct. 466, 88 L. Ed. 2d 435 (1985)</w:t>
        </w:r>
      </w:hyperlink>
      <w:r>
        <w:rPr>
          <w:rFonts w:ascii="arial" w:eastAsia="arial" w:hAnsi="arial" w:cs="arial"/>
          <w:b w:val="0"/>
          <w:i w:val="0"/>
          <w:strike w:val="0"/>
          <w:noProof w:val="0"/>
          <w:color w:val="000000"/>
          <w:position w:val="0"/>
          <w:sz w:val="20"/>
          <w:u w:val="none"/>
          <w:vertAlign w:val="baseline"/>
        </w:rPr>
        <w:t xml:space="preserve">; </w:t>
      </w:r>
      <w:hyperlink r:id="rId98" w:history="1">
        <w:r>
          <w:rPr>
            <w:rFonts w:ascii="arial" w:eastAsia="arial" w:hAnsi="arial" w:cs="arial"/>
            <w:b w:val="0"/>
            <w:i/>
            <w:strike w:val="0"/>
            <w:noProof w:val="0"/>
            <w:color w:val="0077CC"/>
            <w:position w:val="0"/>
            <w:sz w:val="20"/>
            <w:u w:val="single"/>
            <w:vertAlign w:val="baseline"/>
          </w:rPr>
          <w:t>Wesolek v. Canadair Ltd.</w:t>
        </w:r>
      </w:hyperlink>
      <w:hyperlink r:id="rId98" w:history="1">
        <w:r>
          <w:rPr>
            <w:rFonts w:ascii="arial" w:eastAsia="arial" w:hAnsi="arial" w:cs="arial"/>
            <w:b w:val="0"/>
            <w:i/>
            <w:strike w:val="0"/>
            <w:noProof w:val="0"/>
            <w:color w:val="0077CC"/>
            <w:position w:val="0"/>
            <w:sz w:val="20"/>
            <w:u w:val="single"/>
            <w:vertAlign w:val="baseline"/>
          </w:rPr>
          <w:t>, 838 F.2d 55 (2d Cir. 1988)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62"/>
      <w:bookmarkEnd w:id="126"/>
      <w:r>
        <w:rPr>
          <w:rFonts w:ascii="arial" w:eastAsia="arial" w:hAnsi="arial" w:cs="arial"/>
          <w:b w:val="0"/>
          <w:i w:val="0"/>
          <w:strike w:val="0"/>
          <w:noProof w:val="0"/>
          <w:color w:val="000000"/>
          <w:position w:val="0"/>
          <w:sz w:val="20"/>
          <w:u w:val="none"/>
          <w:vertAlign w:val="baseline"/>
        </w:rPr>
        <w:t xml:space="preserve">The parties are reminded that, pursuant to Rule 72(b) of the Local Rules for the Western District of New York, "written objections shall specifically identify the portions of the proposed findings and recommendations to which objection is made and the basis for such objection and shall be supported by legal authority." </w:t>
      </w:r>
      <w:r>
        <w:rPr>
          <w:rFonts w:ascii="arial" w:eastAsia="arial" w:hAnsi="arial" w:cs="arial"/>
          <w:b w:val="0"/>
          <w:i w:val="0"/>
          <w:strike w:val="0"/>
          <w:noProof w:val="0"/>
          <w:color w:val="000000"/>
          <w:position w:val="0"/>
          <w:sz w:val="20"/>
          <w:u w:val="single"/>
          <w:vertAlign w:val="baseline"/>
        </w:rPr>
        <w:t>Failure to comply with the provisions of Rule 72(b) may result in the District Judge's refusal to consider the objection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7" w:name="Bookmark_para_63"/>
      <w:bookmarkEnd w:id="127"/>
      <w:r>
        <w:rPr>
          <w:rFonts w:ascii="arial" w:eastAsia="arial" w:hAnsi="arial" w:cs="arial"/>
          <w:b w:val="0"/>
          <w:i w:val="0"/>
          <w:strike w:val="0"/>
          <w:noProof w:val="0"/>
          <w:color w:val="000000"/>
          <w:position w:val="0"/>
          <w:sz w:val="20"/>
          <w:u w:val="none"/>
          <w:vertAlign w:val="baseline"/>
        </w:rPr>
        <w:t>The Clerk is hereby directed to send a copy of this Report, Recommendation and Order to the attorneys for the parties.</w:t>
      </w:r>
    </w:p>
    <w:p>
      <w:pPr>
        <w:keepNext w:val="0"/>
        <w:spacing w:before="200" w:after="0" w:line="260" w:lineRule="atLeast"/>
        <w:ind w:left="0" w:right="0" w:firstLine="0"/>
        <w:jc w:val="both"/>
      </w:pPr>
      <w:bookmarkStart w:id="128" w:name="Bookmark_para_64"/>
      <w:bookmarkEnd w:id="128"/>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9" w:name="Bookmark_para_65"/>
      <w:bookmarkEnd w:id="129"/>
      <w:r>
        <w:rPr>
          <w:rFonts w:ascii="arial" w:eastAsia="arial" w:hAnsi="arial" w:cs="arial"/>
          <w:b/>
          <w:i w:val="0"/>
          <w:strike w:val="0"/>
          <w:noProof w:val="0"/>
          <w:color w:val="000000"/>
          <w:position w:val="0"/>
          <w:sz w:val="20"/>
          <w:u w:val="none"/>
          <w:vertAlign w:val="baseline"/>
        </w:rPr>
        <w:t>DATED: Buffalo, New York</w:t>
      </w:r>
    </w:p>
    <w:p>
      <w:pPr>
        <w:keepNext w:val="0"/>
        <w:spacing w:before="200" w:after="0" w:line="260" w:lineRule="atLeast"/>
        <w:ind w:left="0" w:right="0" w:firstLine="0"/>
        <w:jc w:val="both"/>
      </w:pPr>
      <w:bookmarkStart w:id="130" w:name="Bookmark_para_66"/>
      <w:bookmarkEnd w:id="130"/>
      <w:r>
        <w:rPr>
          <w:rFonts w:ascii="arial" w:eastAsia="arial" w:hAnsi="arial" w:cs="arial"/>
          <w:b/>
          <w:i w:val="0"/>
          <w:strike w:val="0"/>
          <w:noProof w:val="0"/>
          <w:color w:val="000000"/>
          <w:position w:val="0"/>
          <w:sz w:val="20"/>
          <w:u w:val="none"/>
          <w:vertAlign w:val="baseline"/>
        </w:rPr>
        <w:t>May 2, 2023</w:t>
      </w:r>
    </w:p>
    <w:p>
      <w:pPr>
        <w:keepNext w:val="0"/>
        <w:spacing w:before="200" w:after="0" w:line="260" w:lineRule="atLeast"/>
        <w:ind w:left="0" w:right="0" w:firstLine="0"/>
        <w:jc w:val="both"/>
      </w:pPr>
      <w:bookmarkStart w:id="131" w:name="Bookmark_para_67"/>
      <w:bookmarkEnd w:id="131"/>
      <w:r>
        <w:rPr>
          <w:rFonts w:ascii="arial" w:eastAsia="arial" w:hAnsi="arial" w:cs="arial"/>
          <w:b/>
          <w:i/>
          <w:strike w:val="0"/>
          <w:noProof w:val="0"/>
          <w:color w:val="000000"/>
          <w:position w:val="0"/>
          <w:sz w:val="20"/>
          <w:u w:val="none"/>
          <w:vertAlign w:val="baseline"/>
        </w:rPr>
        <w:t>/s/ H. Kenneth Schroeder, Jr.</w:t>
      </w:r>
    </w:p>
    <w:p>
      <w:pPr>
        <w:keepNext w:val="0"/>
        <w:spacing w:before="200" w:after="0" w:line="260" w:lineRule="atLeast"/>
        <w:ind w:left="0" w:right="0" w:firstLine="0"/>
        <w:jc w:val="both"/>
      </w:pPr>
      <w:bookmarkStart w:id="132" w:name="Bookmark_para_68"/>
      <w:bookmarkEnd w:id="132"/>
      <w:r>
        <w:rPr>
          <w:rFonts w:ascii="arial" w:eastAsia="arial" w:hAnsi="arial" w:cs="arial"/>
          <w:b/>
          <w:i w:val="0"/>
          <w:strike w:val="0"/>
          <w:noProof w:val="0"/>
          <w:color w:val="000000"/>
          <w:position w:val="0"/>
          <w:sz w:val="20"/>
          <w:u w:val="none"/>
          <w:vertAlign w:val="baseline"/>
        </w:rPr>
        <w:t>H. KENNETH SCHROEDER, JR.</w:t>
      </w:r>
    </w:p>
    <w:p>
      <w:pPr>
        <w:keepNext w:val="0"/>
        <w:spacing w:before="200" w:after="0" w:line="260" w:lineRule="atLeast"/>
        <w:ind w:left="0" w:right="0" w:firstLine="0"/>
        <w:jc w:val="both"/>
      </w:pPr>
      <w:bookmarkStart w:id="133" w:name="Bookmark_para_69"/>
      <w:bookmarkEnd w:id="133"/>
      <w:r>
        <w:rPr>
          <w:rFonts w:ascii="arial" w:eastAsia="arial" w:hAnsi="arial" w:cs="arial"/>
          <w:b/>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This screening also terminated Fischer as a defendant from the case.</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r>
        <w:rPr>
          <w:rFonts w:ascii="arial" w:eastAsia="arial" w:hAnsi="arial" w:cs="arial"/>
          <w:b w:val="0"/>
          <w:i w:val="0"/>
          <w:strike w:val="0"/>
          <w:noProof w:val="0"/>
          <w:color w:val="000000"/>
          <w:position w:val="0"/>
          <w:sz w:val="18"/>
          <w:u w:val="none"/>
          <w:vertAlign w:val="baseline"/>
        </w:rPr>
        <w:t xml:space="preserve">It cannot be disputed that the November 2013 and March 2014 Complaints never ultimately made it to this Court. The complaint initially filed in this case contains several references to dates in mid-2014 and 2017.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#1 at 2 (stating that the events giving rise to the complaint occurred between January 7, 2013, and July 29, 2014), Dkt. #1 at 28 (referencing new address as of May 16, 2017). Accordingly, Plaintiff cannot argue that the November 2013 and March 2014 Complaints are the complaint that was actually filed in this Court. On the other hand, Defendants cannot argue, at the motion to dismiss stage, that Plaintiff </w:t>
      </w:r>
      <w:r>
        <w:rPr>
          <w:rFonts w:ascii="arial" w:eastAsia="arial" w:hAnsi="arial" w:cs="arial"/>
          <w:b w:val="0"/>
          <w:i/>
          <w:strike w:val="0"/>
          <w:noProof w:val="0"/>
          <w:color w:val="000000"/>
          <w:position w:val="0"/>
          <w:sz w:val="18"/>
          <w:u w:val="none"/>
          <w:vertAlign w:val="baseline"/>
        </w:rPr>
        <w:t>did not even attempt</w:t>
      </w:r>
      <w:r>
        <w:rPr>
          <w:rFonts w:ascii="arial" w:eastAsia="arial" w:hAnsi="arial" w:cs="arial"/>
          <w:b w:val="0"/>
          <w:i w:val="0"/>
          <w:strike w:val="0"/>
          <w:noProof w:val="0"/>
          <w:color w:val="000000"/>
          <w:position w:val="0"/>
          <w:sz w:val="18"/>
          <w:u w:val="none"/>
          <w:vertAlign w:val="baseline"/>
        </w:rPr>
        <w:t xml:space="preserve"> to file a complaint in November of 2013 and/or March of 2014.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#19-1 at 6 (arguing that references to 2014 state lawsuits that had not occurred yet are evidence that Plaintiff never even attempted to mail these complaints). Just because the complaint that was actually filed with this Court contains details that could not have been present if it were drafted in 2013 or early-2014 does not mean that Plaintiff never attempted to deliver a prior version of the complaint around these dates. Accordingly, taking the allegations in the amended complaint as true, this Court cannot conclude that Plaintif f never even attempted to file the November 2013 or March 2014 Complaints.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7" w:name="Bookmark_fnpara_3"/>
      <w:bookmarkEnd w:id="87"/>
      <w:r>
        <w:rPr>
          <w:rFonts w:ascii="arial" w:eastAsia="arial" w:hAnsi="arial" w:cs="arial"/>
          <w:b w:val="0"/>
          <w:i w:val="0"/>
          <w:strike w:val="0"/>
          <w:noProof w:val="0"/>
          <w:color w:val="000000"/>
          <w:position w:val="0"/>
          <w:sz w:val="18"/>
          <w:u w:val="none"/>
          <w:vertAlign w:val="baseline"/>
        </w:rPr>
        <w:t xml:space="preserve">Plaintiff asserts that the prior habeas proceeding was based on different conduct than the conduct addressed in the Second Misbehavior Report, and therefore cannot collaterally estop his claims based on the alleged falsehoods in the Second Misbehavior Report. Dkt. #30 at 13. However, the Court made clear in the habeas proceedings that it was addressing the due process objections to the February 2013 Disciplinary Hearing, </w:t>
      </w:r>
      <w:hyperlink r:id="rId1" w:history="1">
        <w:r>
          <w:rPr>
            <w:rFonts w:ascii="arial" w:eastAsia="arial" w:hAnsi="arial" w:cs="arial"/>
            <w:b w:val="0"/>
            <w:i/>
            <w:strike w:val="0"/>
            <w:noProof w:val="0"/>
            <w:color w:val="0077CC"/>
            <w:position w:val="0"/>
            <w:sz w:val="18"/>
            <w:u w:val="single"/>
            <w:vertAlign w:val="baseline"/>
          </w:rPr>
          <w:t>Haigler</w:t>
        </w:r>
      </w:hyperlink>
      <w:hyperlink r:id="rId1" w:history="1">
        <w:r>
          <w:rPr>
            <w:rFonts w:ascii="arial" w:eastAsia="arial" w:hAnsi="arial" w:cs="arial"/>
            <w:b w:val="0"/>
            <w:i/>
            <w:strike w:val="0"/>
            <w:noProof w:val="0"/>
            <w:color w:val="0077CC"/>
            <w:position w:val="0"/>
            <w:sz w:val="18"/>
            <w:u w:val="single"/>
            <w:vertAlign w:val="baseline"/>
          </w:rPr>
          <w:t>, 2017 U.S. Dist. LEXIS 185359, 2017 WL 5177722, at *2</w:t>
        </w:r>
      </w:hyperlink>
      <w:r>
        <w:rPr>
          <w:rFonts w:ascii="arial" w:eastAsia="arial" w:hAnsi="arial" w:cs="arial"/>
          <w:b w:val="0"/>
          <w:i w:val="0"/>
          <w:strike w:val="0"/>
          <w:noProof w:val="0"/>
          <w:color w:val="000000"/>
          <w:position w:val="0"/>
          <w:sz w:val="18"/>
          <w:u w:val="none"/>
          <w:vertAlign w:val="baseline"/>
        </w:rPr>
        <w:t xml:space="preserve"> ("On February 13, 2013, Captain Coveny issued a disposition . . ."), the same hearing Plaintiff bases his due process claims on here, Dkt. #15 at 18 (titled "Fifth Cause of Action . . . Due Process Violation </w:t>
      </w:r>
      <w:r>
        <w:rPr>
          <w:rFonts w:ascii="arial" w:eastAsia="arial" w:hAnsi="arial" w:cs="arial"/>
          <w:b w:val="0"/>
          <w:i/>
          <w:strike w:val="0"/>
          <w:noProof w:val="0"/>
          <w:color w:val="000000"/>
          <w:position w:val="0"/>
          <w:sz w:val="18"/>
          <w:u w:val="none"/>
          <w:vertAlign w:val="baseline"/>
        </w:rPr>
        <w:t>at Second Hearing</w:t>
      </w:r>
      <w:r>
        <w:rPr>
          <w:rFonts w:ascii="arial" w:eastAsia="arial" w:hAnsi="arial" w:cs="arial"/>
          <w:b w:val="0"/>
          <w:i w:val="0"/>
          <w:strike w:val="0"/>
          <w:noProof w:val="0"/>
          <w:color w:val="000000"/>
          <w:position w:val="0"/>
          <w:sz w:val="18"/>
          <w:u w:val="none"/>
          <w:vertAlign w:val="baseline"/>
        </w:rPr>
        <w:t>") (emphasis added).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Haigler v. Fischer, 2023 U.S. Dist. LEXIS 76688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PF-M571-JSJC-X003-00000-00&amp;context=1519360" TargetMode="External" /><Relationship Id="rId100" Type="http://schemas.openxmlformats.org/officeDocument/2006/relationships/styles" Target="styles.xml" /><Relationship Id="rId11" Type="http://schemas.openxmlformats.org/officeDocument/2006/relationships/hyperlink" Target="https://advance.lexis.com/api/document?collection=cases&amp;id=urn:contentItem:5FWJ-0101-F04J-71S2-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statutes-legislation&amp;id=urn:contentItem:8SHT-0712-D6RV-H526-00000-00&amp;context=1519360" TargetMode="External" /><Relationship Id="rId14" Type="http://schemas.openxmlformats.org/officeDocument/2006/relationships/hyperlink" Target="https://advance.lexis.com/api/document?collection=statutes-legislation&amp;id=urn:contentItem:8SG9-5HW2-D6RV-H0RK-00000-00&amp;context=1519360" TargetMode="External" /><Relationship Id="rId15" Type="http://schemas.openxmlformats.org/officeDocument/2006/relationships/hyperlink" Target="https://advance.lexis.com/api/document?collection=statutes-legislation&amp;id=urn:contentItem:8T9R-T502-8T6X-7323-00000-00&amp;context=1519360" TargetMode="External" /><Relationship Id="rId16" Type="http://schemas.openxmlformats.org/officeDocument/2006/relationships/hyperlink" Target="https://advance.lexis.com/api/document?collection=statutes-legislation&amp;id=urn:contentItem:8T9R-T2X2-D6RV-H374-00000-00&amp;context=1519360" TargetMode="External" /><Relationship Id="rId17" Type="http://schemas.openxmlformats.org/officeDocument/2006/relationships/hyperlink" Target="https://advance.lexis.com/api/document?collection=statutes-legislation&amp;id=urn:contentItem:8T9R-T3H2-D6RV-H37G-00000-00&amp;context=1519360" TargetMode="External" /><Relationship Id="rId18" Type="http://schemas.openxmlformats.org/officeDocument/2006/relationships/hyperlink" Target="https://advance.lexis.com/api/document?collection=statutes-legislation&amp;id=urn:contentItem:8T9R-T5M2-D6RV-H38C-00000-00&amp;context=1519360" TargetMode="External" /><Relationship Id="rId19" Type="http://schemas.openxmlformats.org/officeDocument/2006/relationships/hyperlink" Target="https://advance.lexis.com/api/document?collection=cases&amp;id=urn:contentItem:4W9Y-4KS0-TXFX-132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NSN-8840-004C-002M-00000-00&amp;context=1519360" TargetMode="External" /><Relationship Id="rId21" Type="http://schemas.openxmlformats.org/officeDocument/2006/relationships/hyperlink" Target="https://advance.lexis.com/api/document?collection=cases&amp;id=urn:contentItem:530J-WMS1-F04K-J364-00000-00&amp;context=1519360" TargetMode="External" /><Relationship Id="rId22" Type="http://schemas.openxmlformats.org/officeDocument/2006/relationships/hyperlink" Target="https://advance.lexis.com/api/document?collection=cases&amp;id=urn:contentItem:7XSH-G9D0-YB0N-V07G-00000-00&amp;context=1519360" TargetMode="External" /><Relationship Id="rId23" Type="http://schemas.openxmlformats.org/officeDocument/2006/relationships/hyperlink" Target="https://advance.lexis.com/api/document?collection=cases&amp;id=urn:contentItem:3STK-BPW0-0038-X0HD-00000-00&amp;context=1519360" TargetMode="External" /><Relationship Id="rId24" Type="http://schemas.openxmlformats.org/officeDocument/2006/relationships/hyperlink" Target="https://advance.lexis.com/api/document?collection=cases&amp;id=urn:contentItem:4BMM-4C20-0038-X30R-00000-00&amp;context=1519360" TargetMode="External" /><Relationship Id="rId25" Type="http://schemas.openxmlformats.org/officeDocument/2006/relationships/hyperlink" Target="https://advance.lexis.com/api/document?collection=cases&amp;id=urn:contentItem:4WR2-9J90-TXFX-42SX-00000-00&amp;context=1519360" TargetMode="External" /><Relationship Id="rId26" Type="http://schemas.openxmlformats.org/officeDocument/2006/relationships/hyperlink" Target="https://advance.lexis.com/api/document?collection=cases&amp;id=urn:contentItem:4NWM-S330-004B-Y00V-00000-00&amp;context=1519360" TargetMode="External" /><Relationship Id="rId27" Type="http://schemas.openxmlformats.org/officeDocument/2006/relationships/hyperlink" Target="https://advance.lexis.com/api/document?collection=cases&amp;id=urn:contentItem:4S51-7510-TXFX-42T4-00000-00&amp;context=1519360" TargetMode="External" /><Relationship Id="rId28" Type="http://schemas.openxmlformats.org/officeDocument/2006/relationships/hyperlink" Target="https://advance.lexis.com/api/document?collection=cases&amp;id=urn:contentItem:5B3J-1GB1-F04K-J14X-00000-00&amp;context=1519360" TargetMode="External" /><Relationship Id="rId29" Type="http://schemas.openxmlformats.org/officeDocument/2006/relationships/hyperlink" Target="https://advance.lexis.com/api/document?collection=cases&amp;id=urn:contentItem:3SYX-C340-0038-Y1S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HCV-F0B0-TVW3-P2RD-00000-00&amp;context=1519360" TargetMode="External" /><Relationship Id="rId31" Type="http://schemas.openxmlformats.org/officeDocument/2006/relationships/hyperlink" Target="https://advance.lexis.com/api/document?collection=cases&amp;id=urn:contentItem:3S4X-DX60-003B-437C-00000-00&amp;context=1519360" TargetMode="External" /><Relationship Id="rId32" Type="http://schemas.openxmlformats.org/officeDocument/2006/relationships/hyperlink" Target="https://advance.lexis.com/api/document?collection=cases&amp;id=urn:contentItem:3S4X-F210-003B-P3VF-00000-00&amp;context=1519360" TargetMode="External" /><Relationship Id="rId33" Type="http://schemas.openxmlformats.org/officeDocument/2006/relationships/hyperlink" Target="https://advance.lexis.com/api/document?collection=cases&amp;id=urn:contentItem:4J20-GTR0-0038-X1X6-00000-00&amp;context=1519360" TargetMode="External" /><Relationship Id="rId34" Type="http://schemas.openxmlformats.org/officeDocument/2006/relationships/hyperlink" Target="https://advance.lexis.com/api/document?collection=cases&amp;id=urn:contentItem:4S4C-MFB0-TXFR-J2KR-00000-00&amp;context=1519360" TargetMode="External" /><Relationship Id="rId35" Type="http://schemas.openxmlformats.org/officeDocument/2006/relationships/hyperlink" Target="https://advance.lexis.com/api/document?collection=cases&amp;id=urn:contentItem:42SP-K370-0038-X3YS-00000-00&amp;context=1519360" TargetMode="External" /><Relationship Id="rId36" Type="http://schemas.openxmlformats.org/officeDocument/2006/relationships/hyperlink" Target="https://advance.lexis.com/api/document?collection=cases&amp;id=urn:contentItem:5C97-1D51-F04K-J00W-00000-00&amp;context=1519360" TargetMode="External" /><Relationship Id="rId37" Type="http://schemas.openxmlformats.org/officeDocument/2006/relationships/hyperlink" Target="https://advance.lexis.com/api/document?collection=cases&amp;id=urn:contentItem:5734-0721-F04K-R1WH-00000-00&amp;context=1519360" TargetMode="External" /><Relationship Id="rId38" Type="http://schemas.openxmlformats.org/officeDocument/2006/relationships/hyperlink" Target="https://advance.lexis.com/api/document?collection=cases&amp;id=urn:contentItem:4MHB-1K20-0038-X0JF-00000-00&amp;context=1519360" TargetMode="External" /><Relationship Id="rId39" Type="http://schemas.openxmlformats.org/officeDocument/2006/relationships/hyperlink" Target="https://advance.lexis.com/api/document?collection=cases&amp;id=urn:contentItem:3S4X-41G0-003B-P4X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472-PY10-0038-X41H-00000-00&amp;context=1519360" TargetMode="External" /><Relationship Id="rId41" Type="http://schemas.openxmlformats.org/officeDocument/2006/relationships/hyperlink" Target="https://advance.lexis.com/api/document?collection=cases&amp;id=urn:contentItem:5DST-YP21-F04F-0438-00000-00&amp;context=1519360" TargetMode="External" /><Relationship Id="rId42" Type="http://schemas.openxmlformats.org/officeDocument/2006/relationships/hyperlink" Target="https://advance.lexis.com/api/document?collection=cases&amp;id=urn:contentItem:5JT0-KNW1-F04F-009W-00000-00&amp;context=1519360" TargetMode="External" /><Relationship Id="rId43" Type="http://schemas.openxmlformats.org/officeDocument/2006/relationships/hyperlink" Target="https://advance.lexis.com/api/document?collection=cases&amp;id=urn:contentItem:639J-3331-F30T-B4JT-00000-00&amp;context=1519360" TargetMode="External" /><Relationship Id="rId44" Type="http://schemas.openxmlformats.org/officeDocument/2006/relationships/hyperlink" Target="https://advance.lexis.com/api/document?collection=cases&amp;id=urn:contentItem:5V9F-XMT1-JWXF-22KJ-00000-00&amp;context=1519360" TargetMode="External" /><Relationship Id="rId45" Type="http://schemas.openxmlformats.org/officeDocument/2006/relationships/hyperlink" Target="https://advance.lexis.com/api/document?collection=cases&amp;id=urn:contentItem:5VHV-H751-FBFS-S1J5-00000-00&amp;context=1519360" TargetMode="External" /><Relationship Id="rId46" Type="http://schemas.openxmlformats.org/officeDocument/2006/relationships/hyperlink" Target="https://advance.lexis.com/api/document?collection=cases&amp;id=urn:contentItem:3YTB-PDB0-0038-X4PJ-00000-00&amp;context=1519360" TargetMode="External" /><Relationship Id="rId47" Type="http://schemas.openxmlformats.org/officeDocument/2006/relationships/hyperlink" Target="https://advance.lexis.com/api/document?collection=cases&amp;id=urn:contentItem:800K-H421-652J-D00D-00000-00&amp;context=1519360" TargetMode="External" /><Relationship Id="rId48" Type="http://schemas.openxmlformats.org/officeDocument/2006/relationships/hyperlink" Target="https://advance.lexis.com/api/document?collection=cases&amp;id=urn:contentItem:4NMF-D8W0-TVW3-P2X2-00000-00&amp;context=1519360" TargetMode="External" /><Relationship Id="rId49" Type="http://schemas.openxmlformats.org/officeDocument/2006/relationships/hyperlink" Target="https://advance.lexis.com/api/document?collection=cases&amp;id=urn:contentItem:4GM4-54M0-TVW3-P23W-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XMD-94V0-TXFR-J2MT-00000-00&amp;context=1519360" TargetMode="External" /><Relationship Id="rId51" Type="http://schemas.openxmlformats.org/officeDocument/2006/relationships/hyperlink" Target="https://advance.lexis.com/api/document?collection=cases&amp;id=urn:contentItem:51J2-M0K1-652R-00B4-00000-00&amp;context=1519360" TargetMode="External" /><Relationship Id="rId52" Type="http://schemas.openxmlformats.org/officeDocument/2006/relationships/hyperlink" Target="https://advance.lexis.com/api/document?collection=cases&amp;id=urn:contentItem:4JYC-1M80-0038-X139-00000-00&amp;context=1519360" TargetMode="External" /><Relationship Id="rId53" Type="http://schemas.openxmlformats.org/officeDocument/2006/relationships/hyperlink" Target="https://advance.lexis.com/api/document?collection=cases&amp;id=urn:contentItem:4M6J-0W40-TVW3-P2P2-00000-00&amp;context=1519360" TargetMode="External" /><Relationship Id="rId54" Type="http://schemas.openxmlformats.org/officeDocument/2006/relationships/hyperlink" Target="https://advance.lexis.com/api/document?collection=cases&amp;id=urn:contentItem:4N9P-DJ90-TVW3-P361-00000-00&amp;context=1519360" TargetMode="External" /><Relationship Id="rId55" Type="http://schemas.openxmlformats.org/officeDocument/2006/relationships/hyperlink" Target="https://advance.lexis.com/api/document?collection=cases&amp;id=urn:contentItem:5N4D-2N91-F04C-W088-00000-00&amp;context=1519360" TargetMode="External" /><Relationship Id="rId56" Type="http://schemas.openxmlformats.org/officeDocument/2006/relationships/hyperlink" Target="https://advance.lexis.com/api/document?collection=cases&amp;id=urn:contentItem:5RX8-P9K1-JNJT-B49M-00000-00&amp;context=1519360" TargetMode="External" /><Relationship Id="rId57" Type="http://schemas.openxmlformats.org/officeDocument/2006/relationships/hyperlink" Target="https://advance.lexis.com/api/document?collection=cases&amp;id=urn:contentItem:51FG-7471-652J-D000-00000-00&amp;context=1519360" TargetMode="External" /><Relationship Id="rId58" Type="http://schemas.openxmlformats.org/officeDocument/2006/relationships/hyperlink" Target="https://advance.lexis.com/api/document?collection=cases&amp;id=urn:contentItem:51FG-7471-652J-D002-00000-00&amp;context=1519360" TargetMode="External" /><Relationship Id="rId59" Type="http://schemas.openxmlformats.org/officeDocument/2006/relationships/hyperlink" Target="https://advance.lexis.com/api/document?collection=cases&amp;id=urn:contentItem:4B5C-Y070-0038-Y2V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JHK-TPR0-0038-X1PK-00000-00&amp;context=1519360" TargetMode="External" /><Relationship Id="rId61" Type="http://schemas.openxmlformats.org/officeDocument/2006/relationships/hyperlink" Target="https://advance.lexis.com/api/document?collection=cases&amp;id=urn:contentItem:5BBK-TN81-F04J-706D-00000-00&amp;context=1519360" TargetMode="External" /><Relationship Id="rId62" Type="http://schemas.openxmlformats.org/officeDocument/2006/relationships/hyperlink" Target="https://advance.lexis.com/api/document?collection=cases&amp;id=urn:contentItem:5CRK-V0W1-F04J-7153-00000-00&amp;context=1519360" TargetMode="External" /><Relationship Id="rId63" Type="http://schemas.openxmlformats.org/officeDocument/2006/relationships/hyperlink" Target="https://advance.lexis.com/api/document?collection=cases&amp;id=urn:contentItem:5K04-9VM1-F04J-718N-00000-00&amp;context=1519360" TargetMode="External" /><Relationship Id="rId64" Type="http://schemas.openxmlformats.org/officeDocument/2006/relationships/hyperlink" Target="https://advance.lexis.com/api/document?collection=cases&amp;id=urn:contentItem:5KS8-KJY1-F04J-73RB-00000-00&amp;context=1519360" TargetMode="External" /><Relationship Id="rId65" Type="http://schemas.openxmlformats.org/officeDocument/2006/relationships/hyperlink" Target="https://advance.lexis.com/api/document?collection=cases&amp;id=urn:contentItem:5F9Y-DWS1-F04K-J01H-00000-00&amp;context=1519360" TargetMode="External" /><Relationship Id="rId66" Type="http://schemas.openxmlformats.org/officeDocument/2006/relationships/hyperlink" Target="https://advance.lexis.com/api/document?collection=cases&amp;id=urn:contentItem:5PX5-J0P1-F04F-03N3-00000-00&amp;context=1519360" TargetMode="External" /><Relationship Id="rId67" Type="http://schemas.openxmlformats.org/officeDocument/2006/relationships/hyperlink" Target="https://advance.lexis.com/api/document?collection=cases&amp;id=urn:contentItem:5PXB-WK61-F1WF-M23M-00000-00&amp;context=1519360" TargetMode="External" /><Relationship Id="rId68" Type="http://schemas.openxmlformats.org/officeDocument/2006/relationships/hyperlink" Target="https://advance.lexis.com/api/document?collection=cases&amp;id=urn:contentItem:5JF0-J4D1-F04F-04S4-00000-00&amp;context=1519360" TargetMode="External" /><Relationship Id="rId69" Type="http://schemas.openxmlformats.org/officeDocument/2006/relationships/hyperlink" Target="https://advance.lexis.com/api/document?collection=cases&amp;id=urn:contentItem:56MG-X391-F04K-J1Y3-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94S-45M0-0038-Y0MX-00000-00&amp;context=1519360" TargetMode="External" /><Relationship Id="rId71" Type="http://schemas.openxmlformats.org/officeDocument/2006/relationships/hyperlink" Target="https://advance.lexis.com/api/document?collection=cases&amp;id=urn:contentItem:6549-HF11-JG02-S093-00000-00&amp;context=1519360" TargetMode="External" /><Relationship Id="rId72" Type="http://schemas.openxmlformats.org/officeDocument/2006/relationships/hyperlink" Target="https://advance.lexis.com/api/document?collection=cases&amp;id=urn:contentItem:54S2-8FV1-F04K-J048-00000-00&amp;context=1519360" TargetMode="External" /><Relationship Id="rId73" Type="http://schemas.openxmlformats.org/officeDocument/2006/relationships/hyperlink" Target="https://advance.lexis.com/api/document?collection=cases&amp;id=urn:contentItem:3W1P-R810-0038-X4SX-00000-00&amp;context=1519360" TargetMode="External" /><Relationship Id="rId74" Type="http://schemas.openxmlformats.org/officeDocument/2006/relationships/hyperlink" Target="https://advance.lexis.com/api/document?collection=cases&amp;id=urn:contentItem:3S4X-20F0-006F-M27G-00000-00&amp;context=1519360" TargetMode="External" /><Relationship Id="rId75" Type="http://schemas.openxmlformats.org/officeDocument/2006/relationships/hyperlink" Target="https://advance.lexis.com/api/document?collection=cases&amp;id=urn:contentItem:4KWS-VCG0-TVW3-P2KJ-00000-00&amp;context=1519360" TargetMode="External" /><Relationship Id="rId76" Type="http://schemas.openxmlformats.org/officeDocument/2006/relationships/hyperlink" Target="https://advance.lexis.com/api/document?collection=cases&amp;id=urn:contentItem:52BC-PM31-JCNC-80DJ-00000-00&amp;context=1519360" TargetMode="External" /><Relationship Id="rId77" Type="http://schemas.openxmlformats.org/officeDocument/2006/relationships/hyperlink" Target="https://advance.lexis.com/api/document?collection=cases&amp;id=urn:contentItem:3VH6-FTM0-0038-Y3R1-00000-00&amp;context=1519360" TargetMode="External" /><Relationship Id="rId78" Type="http://schemas.openxmlformats.org/officeDocument/2006/relationships/hyperlink" Target="https://advance.lexis.com/api/document?collection=cases&amp;id=urn:contentItem:3S4W-W9M0-0039-P09V-00000-00&amp;context=1519360" TargetMode="External" /><Relationship Id="rId79" Type="http://schemas.openxmlformats.org/officeDocument/2006/relationships/hyperlink" Target="https://advance.lexis.com/api/document?collection=cases&amp;id=urn:contentItem:3S4X-CBK0-003B-S1Y2-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4400-003B-P068-00000-00&amp;context=1519360" TargetMode="External" /><Relationship Id="rId81" Type="http://schemas.openxmlformats.org/officeDocument/2006/relationships/hyperlink" Target="https://advance.lexis.com/api/document?collection=cases&amp;id=urn:contentItem:3VRC-KY50-0038-Y0H1-00000-00&amp;context=1519360" TargetMode="External" /><Relationship Id="rId82" Type="http://schemas.openxmlformats.org/officeDocument/2006/relationships/hyperlink" Target="https://advance.lexis.com/api/document?collection=cases&amp;id=urn:contentItem:3S4X-JG00-00B1-D4G1-00000-00&amp;context=1519360" TargetMode="External" /><Relationship Id="rId83" Type="http://schemas.openxmlformats.org/officeDocument/2006/relationships/hyperlink" Target="https://advance.lexis.com/api/document?collection=cases&amp;id=urn:contentItem:54RN-D8X1-F04F-00BM-00000-00&amp;context=1519360" TargetMode="External" /><Relationship Id="rId84" Type="http://schemas.openxmlformats.org/officeDocument/2006/relationships/hyperlink" Target="https://advance.lexis.com/api/document?collection=cases&amp;id=urn:contentItem:82XX-V461-652J-D3MG-00000-00&amp;context=1519360" TargetMode="External" /><Relationship Id="rId85" Type="http://schemas.openxmlformats.org/officeDocument/2006/relationships/hyperlink" Target="https://advance.lexis.com/api/document?collection=cases&amp;id=urn:contentItem:4N2F-T570-TVW3-P31R-00000-00&amp;context=1519360" TargetMode="External" /><Relationship Id="rId86" Type="http://schemas.openxmlformats.org/officeDocument/2006/relationships/hyperlink" Target="https://advance.lexis.com/api/document?collection=cases&amp;id=urn:contentItem:48NC-SS30-0038-X4M8-00000-00&amp;context=1519360" TargetMode="External" /><Relationship Id="rId87" Type="http://schemas.openxmlformats.org/officeDocument/2006/relationships/hyperlink" Target="https://advance.lexis.com/api/document?collection=cases&amp;id=urn:contentItem:42JS-3SG0-0038-Y0JD-00000-00&amp;context=1519360" TargetMode="External" /><Relationship Id="rId88" Type="http://schemas.openxmlformats.org/officeDocument/2006/relationships/hyperlink" Target="https://advance.lexis.com/api/document?collection=cases&amp;id=urn:contentItem:3WP1-YX40-0038-X0G0-00000-00&amp;context=1519360" TargetMode="External" /><Relationship Id="rId89" Type="http://schemas.openxmlformats.org/officeDocument/2006/relationships/hyperlink" Target="https://advance.lexis.com/api/document?collection=cases&amp;id=urn:contentItem:622W-91K1-F81W-23PS-00000-00&amp;context=1519360" TargetMode="External" /><Relationship Id="rId9" Type="http://schemas.openxmlformats.org/officeDocument/2006/relationships/hyperlink" Target="https://advance.lexis.com/api/document?collection=cases&amp;id=urn:contentItem:6850-CRT1-JBT7-X504-00000-00&amp;context=1519360" TargetMode="External" /><Relationship Id="rId90" Type="http://schemas.openxmlformats.org/officeDocument/2006/relationships/hyperlink" Target="https://advance.lexis.com/api/document?collection=cases&amp;id=urn:contentItem:800V-V5T1-652R-000C-00000-00&amp;context=1519360" TargetMode="External" /><Relationship Id="rId91" Type="http://schemas.openxmlformats.org/officeDocument/2006/relationships/hyperlink" Target="https://advance.lexis.com/api/document?collection=cases&amp;id=urn:contentItem:55J1-3V61-F04K-J061-00000-00&amp;context=1519360" TargetMode="External" /><Relationship Id="rId92" Type="http://schemas.openxmlformats.org/officeDocument/2006/relationships/hyperlink" Target="https://advance.lexis.com/api/document?collection=cases&amp;id=urn:contentItem:521N-S681-652J-D148-00000-00&amp;context=1519360" TargetMode="External" /><Relationship Id="rId93" Type="http://schemas.openxmlformats.org/officeDocument/2006/relationships/hyperlink" Target="https://advance.lexis.com/api/document?collection=cases&amp;id=urn:contentItem:5R2M-XVS1-F04F-04Y4-00000-00&amp;context=1519360" TargetMode="External" /><Relationship Id="rId94" Type="http://schemas.openxmlformats.org/officeDocument/2006/relationships/hyperlink" Target="https://advance.lexis.com/api/document?collection=cases&amp;id=urn:contentItem:5VP4-0TN1-JT42-S4SK-00000-00&amp;context=1519360" TargetMode="External" /><Relationship Id="rId95" Type="http://schemas.openxmlformats.org/officeDocument/2006/relationships/hyperlink" Target="https://advance.lexis.com/api/document?collection=statutes-legislation&amp;id=urn:contentItem:69J2-YYM3-RSTH-12MB-00000-00&amp;context=1519360" TargetMode="External" /><Relationship Id="rId96" Type="http://schemas.openxmlformats.org/officeDocument/2006/relationships/hyperlink" Target="https://advance.lexis.com/api/document?collection=cases&amp;id=urn:contentItem:3S4X-2TS0-001B-K4RS-00000-00&amp;context=1519360" TargetMode="External" /><Relationship Id="rId97" Type="http://schemas.openxmlformats.org/officeDocument/2006/relationships/hyperlink" Target="https://advance.lexis.com/api/document?collection=cases&amp;id=urn:contentItem:3S4X-8XP0-0039-N1VY-00000-00&amp;context=1519360" TargetMode="External" /><Relationship Id="rId98" Type="http://schemas.openxmlformats.org/officeDocument/2006/relationships/hyperlink" Target="https://advance.lexis.com/api/document?collection=cases&amp;id=urn:contentItem:3S4X-3BT0-001B-K0SD-00000-00&amp;context=1519360" TargetMode="External" /><Relationship Id="rId99" Type="http://schemas.openxmlformats.org/officeDocument/2006/relationships/theme" Target="theme/theme1.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PX5-J0P1-F04F-03N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Haigler v. Fischer, 2023 U.S. Dist. LEXIS 76688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Doc::urn:hlct:5|contextualFeaturePermID::1519360</vt:lpwstr>
  </property>
  <property fmtid="{D5CDD505-2E9C-101B-9397-08002B2CF9AE}" pid="5" name="UserPermID">
    <vt:lpwstr>urn:user:PA186186283</vt:lpwstr>
  </property>
</Properties>
</file>