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Jeter v. Cleveland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 Charleston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Decided; April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2:22-cv-01651-SAL-MGB</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208204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8039772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Joshua Jeter, Plaintiff, v. Lt. Miguel Cleveland; Ofc. Prevost; Lt. Delk; Ofc. Ramp; Sgt. Christopher Timmons; Lieutenant Philip Douglas; Major Gregg; Lt. Jorge Romero; Warden Stephan; Associate Warden Devine Carter; Associate Warden Frederick; Associate Warden Peeples; Deputy Warden Tamara Collins; Lt. Tiarra Thomas; Brittany Cunningham; Counsel Substitute R. Rice; Captain Floravia Jones; Lt. Randy Ward; Mental Health Nurse Thurnese Williams; Nurse Christina Hendrickson,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Injunction denied by </w:t>
      </w:r>
      <w:hyperlink r:id="rId10" w:history="1">
        <w:r>
          <w:rPr>
            <w:rFonts w:ascii="arial" w:eastAsia="arial" w:hAnsi="arial" w:cs="arial"/>
            <w:b w:val="0"/>
            <w:i/>
            <w:strike w:val="0"/>
            <w:noProof w:val="0"/>
            <w:color w:val="0077CC"/>
            <w:position w:val="0"/>
            <w:sz w:val="20"/>
            <w:u w:val="single"/>
            <w:vertAlign w:val="baseline"/>
          </w:rPr>
          <w:t>Jeter v. Cleveland, 2023 U.S. Dist. LEXIS 207455, 2023 WL 8032433 (D.S.C., Nov. 20,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Jeter v. Cleveland, 2023 U.S. Dist. LEXIS 242845 (D.S.C., Feb. 21,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alleges, temporary restraining order, preliminary injunction, retaliation, injunctive, searches, cell</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Joshua Jeter, Plaintiff, Pro se, Columbia,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Lt. Miguel Cleveland, Ofc. Prevost, Lt. Delk, Ofc. Ramp, Sgt. Christopher Timmons, Lieutenant Philip Douglas, Major Gregg, Lt. Jorge Romero, Warden Stephan, Associate Warden Devine Carter, Associate Warden Frederick, Associate Warden Peeples, Deputy Warden Tamara Collins, Lt. Tiarra Thomas, Brittany Cunningham, Counsel Substitute R. Rice, Captain Floravia Jones, Lt. Randy Ward, Mental Health Nurse Thurnese Williams, Nurse Christina Hendrickson, Defendants: C Cliff Rollins, LEAD ATTORNEY, Richardson Plowden and Robinson (Col), Columbia, SC.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MARY GORDON BAKER,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MARY GORDON BAKER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Plaintiff Joshua Jeter, a state prisoner appearing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brings this action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filed this action on May 25, 2022. Plaintiff alleges that he was assaulted by correctional officers at Broad River Correctional Institution on several occasions and that he was retaliated against for filing a PREA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complaint. (Dkt. No. 29.) The Amended Complaint alleges events occurring from June of 2019 through November of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Currently before the Court is Plaintiff's Motion for Temporary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Restraining Order and Preliminary Injunction. (Dkt. No. 48.) The Motion largely focuses on events occurring in 2023 and asks that the Court "place a temporary restraining order on the mentioned [officers] and get the Defendants to stop retaliating against Plaintiff for invoking his constitutional rights."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Defendants filed a response in opposition on March 30, 2023 (Dkt. No. 50), to which Plaintiff filed a reply on April 13, 2023 (Dkt. No. 53). The Motion has been fully briefed and is ripe for review.</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For the reasons set forth below, the undersigned recommends Plaintiff's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w:t>
      </w:r>
    </w:p>
    <w:p>
      <w:pPr>
        <w:keepNext w:val="0"/>
        <w:spacing w:before="200" w:after="0" w:line="260" w:lineRule="atLeast"/>
        <w:ind w:left="0" w:right="0" w:firstLine="0"/>
        <w:jc w:val="both"/>
      </w:pPr>
      <w:bookmarkStart w:id="14" w:name="Bookmark_para_2"/>
      <w:bookmarkEnd w:id="14"/>
      <w:bookmarkStart w:id="15" w:name="Bookmark_I6BBK5S228T4800020000400"/>
      <w:bookmarkEnd w:id="15"/>
      <w:r>
        <w:rPr>
          <w:rFonts w:ascii="arial" w:eastAsia="arial" w:hAnsi="arial" w:cs="arial"/>
          <w:b w:val="0"/>
          <w:i w:val="0"/>
          <w:strike w:val="0"/>
          <w:noProof w:val="0"/>
          <w:color w:val="000000"/>
          <w:position w:val="0"/>
          <w:sz w:val="20"/>
          <w:u w:val="none"/>
          <w:vertAlign w:val="baseline"/>
        </w:rPr>
        <w:t xml:space="preserve">"The substantive standard for granting either a temporary restraining order or a preliminary injunction is the same." </w:t>
      </w:r>
      <w:bookmarkStart w:id="16" w:name="Bookmark_I6BBK5S228T4800010000400"/>
      <w:bookmarkEnd w:id="16"/>
      <w:hyperlink r:id="rId13" w:history="1">
        <w:r>
          <w:rPr>
            <w:rFonts w:ascii="arial" w:eastAsia="arial" w:hAnsi="arial" w:cs="arial"/>
            <w:b w:val="0"/>
            <w:i/>
            <w:strike w:val="0"/>
            <w:noProof w:val="0"/>
            <w:color w:val="0077CC"/>
            <w:position w:val="0"/>
            <w:sz w:val="20"/>
            <w:u w:val="single"/>
            <w:vertAlign w:val="baseline"/>
          </w:rPr>
          <w:t>Dyke v. Staphen</w:t>
        </w:r>
      </w:hyperlink>
      <w:hyperlink r:id="rId13" w:history="1">
        <w:r>
          <w:rPr>
            <w:rFonts w:ascii="arial" w:eastAsia="arial" w:hAnsi="arial" w:cs="arial"/>
            <w:b w:val="0"/>
            <w:i/>
            <w:strike w:val="0"/>
            <w:noProof w:val="0"/>
            <w:color w:val="0077CC"/>
            <w:position w:val="0"/>
            <w:sz w:val="20"/>
            <w:u w:val="single"/>
            <w:vertAlign w:val="baseline"/>
          </w:rPr>
          <w:t>, No. CV 6:18-402-TMC-KFM, 2018 U.S. Dist. LEXIS 78143, 2018 WL 2144551, at *1 (D.S.C. Apr. 19,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17" w:name="Bookmark_I6BBK5S228T4800030000400"/>
      <w:bookmarkEnd w:id="17"/>
      <w:hyperlink r:id="rId14" w:history="1">
        <w:r>
          <w:rPr>
            <w:rFonts w:ascii="arial" w:eastAsia="arial" w:hAnsi="arial" w:cs="arial"/>
            <w:b w:val="0"/>
            <w:i/>
            <w:strike w:val="0"/>
            <w:noProof w:val="0"/>
            <w:color w:val="0077CC"/>
            <w:position w:val="0"/>
            <w:sz w:val="20"/>
            <w:u w:val="single"/>
            <w:vertAlign w:val="baseline"/>
          </w:rPr>
          <w:t>2018 U.S. Dist. LEXIS 77902, 2018 WL 2136062 (D.S.C. May 9,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 w:name="Bookmark_I69PPM5328T4CX0050000400"/>
      <w:bookmarkEnd w:id="18"/>
      <w:hyperlink r:id="rId15" w:history="1">
        <w:r>
          <w:rPr>
            <w:rFonts w:ascii="arial" w:eastAsia="arial" w:hAnsi="arial" w:cs="arial"/>
            <w:b w:val="0"/>
            <w:i/>
            <w:strike w:val="0"/>
            <w:noProof w:val="0"/>
            <w:color w:val="0077CC"/>
            <w:position w:val="0"/>
            <w:sz w:val="20"/>
            <w:u w:val="single"/>
            <w:vertAlign w:val="baseline"/>
          </w:rPr>
          <w:t>Virginia v. Kelly</w:t>
        </w:r>
      </w:hyperlink>
      <w:hyperlink r:id="rId15" w:history="1">
        <w:r>
          <w:rPr>
            <w:rFonts w:ascii="arial" w:eastAsia="arial" w:hAnsi="arial" w:cs="arial"/>
            <w:b w:val="0"/>
            <w:i/>
            <w:strike w:val="0"/>
            <w:noProof w:val="0"/>
            <w:color w:val="0077CC"/>
            <w:position w:val="0"/>
            <w:sz w:val="20"/>
            <w:u w:val="single"/>
            <w:vertAlign w:val="baseline"/>
          </w:rPr>
          <w:t>, 29 F.3d 145, 147 (4th Cir. 1994)</w:t>
        </w:r>
      </w:hyperlink>
      <w:r>
        <w:rPr>
          <w:rFonts w:ascii="arial" w:eastAsia="arial" w:hAnsi="arial" w:cs="arial"/>
          <w:b w:val="0"/>
          <w:i w:val="0"/>
          <w:strike w:val="0"/>
          <w:noProof w:val="0"/>
          <w:color w:val="000000"/>
          <w:position w:val="0"/>
          <w:sz w:val="20"/>
          <w:u w:val="none"/>
          <w:vertAlign w:val="baseline"/>
        </w:rPr>
        <w:t xml:space="preserve"> (showing that the standard for a temporary restraining order is the same as that applied to motions for preliminary injunction). To obtain a preliminary injunction or a temporary restraining order, a party must make a "clear showing" that (1) he is likely to succeed on the merits; (2) he is likely to suffer irreparable harm in the absence of preliminary relief; (3) the balance of equities tips in his favor; and (4) an injunction 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public interest. </w:t>
      </w:r>
      <w:hyperlink r:id="rId16" w:history="1">
        <w:r>
          <w:rPr>
            <w:rFonts w:ascii="arial" w:eastAsia="arial" w:hAnsi="arial" w:cs="arial"/>
            <w:b w:val="0"/>
            <w:i/>
            <w:strike w:val="0"/>
            <w:noProof w:val="0"/>
            <w:color w:val="0077CC"/>
            <w:position w:val="0"/>
            <w:sz w:val="20"/>
            <w:u w:val="single"/>
            <w:vertAlign w:val="baseline"/>
          </w:rPr>
          <w:t>Winter v. Nat. Res. Def. Council, Inc.</w:t>
        </w:r>
      </w:hyperlink>
      <w:hyperlink r:id="rId16" w:history="1">
        <w:r>
          <w:rPr>
            <w:rFonts w:ascii="arial" w:eastAsia="arial" w:hAnsi="arial" w:cs="arial"/>
            <w:b w:val="0"/>
            <w:i/>
            <w:strike w:val="0"/>
            <w:noProof w:val="0"/>
            <w:color w:val="0077CC"/>
            <w:position w:val="0"/>
            <w:sz w:val="20"/>
            <w:u w:val="single"/>
            <w:vertAlign w:val="baseline"/>
          </w:rPr>
          <w:t>, 555 U.S. 7, 21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7" w:history="1">
        <w:r>
          <w:rPr>
            <w:rFonts w:ascii="arial" w:eastAsia="arial" w:hAnsi="arial" w:cs="arial"/>
            <w:b w:val="0"/>
            <w:i/>
            <w:strike w:val="0"/>
            <w:noProof w:val="0"/>
            <w:color w:val="0077CC"/>
            <w:position w:val="0"/>
            <w:sz w:val="20"/>
            <w:u w:val="single"/>
            <w:vertAlign w:val="baseline"/>
          </w:rPr>
          <w:t>Smith v Ozmint</w:t>
        </w:r>
      </w:hyperlink>
      <w:hyperlink r:id="rId17" w:history="1">
        <w:r>
          <w:rPr>
            <w:rFonts w:ascii="arial" w:eastAsia="arial" w:hAnsi="arial" w:cs="arial"/>
            <w:b w:val="0"/>
            <w:i/>
            <w:strike w:val="0"/>
            <w:noProof w:val="0"/>
            <w:color w:val="0077CC"/>
            <w:position w:val="0"/>
            <w:sz w:val="20"/>
            <w:u w:val="single"/>
            <w:vertAlign w:val="baseline"/>
          </w:rPr>
          <w:t>, 444 F. Supp. 2d 502, 504 (D.S.C. 2006)</w:t>
        </w:r>
      </w:hyperlink>
      <w:r>
        <w:rPr>
          <w:rFonts w:ascii="arial" w:eastAsia="arial" w:hAnsi="arial" w:cs="arial"/>
          <w:b w:val="0"/>
          <w:i w:val="0"/>
          <w:strike w:val="0"/>
          <w:noProof w:val="0"/>
          <w:color w:val="000000"/>
          <w:position w:val="0"/>
          <w:sz w:val="20"/>
          <w:u w:val="none"/>
          <w:vertAlign w:val="baseline"/>
        </w:rPr>
        <w:t xml:space="preserve">. All four requirements must be satisfied in order for relief to be granted. </w:t>
      </w:r>
      <w:hyperlink r:id="rId18" w:history="1">
        <w:r>
          <w:rPr>
            <w:rFonts w:ascii="arial" w:eastAsia="arial" w:hAnsi="arial" w:cs="arial"/>
            <w:b w:val="0"/>
            <w:i/>
            <w:strike w:val="0"/>
            <w:noProof w:val="0"/>
            <w:color w:val="0077CC"/>
            <w:position w:val="0"/>
            <w:sz w:val="20"/>
            <w:u w:val="single"/>
            <w:vertAlign w:val="baseline"/>
          </w:rPr>
          <w:t>Real Truth About Obama, Inc. v. Fed. Election Comm'n</w:t>
        </w:r>
      </w:hyperlink>
      <w:hyperlink r:id="rId18" w:history="1">
        <w:r>
          <w:rPr>
            <w:rFonts w:ascii="arial" w:eastAsia="arial" w:hAnsi="arial" w:cs="arial"/>
            <w:b w:val="0"/>
            <w:i/>
            <w:strike w:val="0"/>
            <w:noProof w:val="0"/>
            <w:color w:val="0077CC"/>
            <w:position w:val="0"/>
            <w:sz w:val="20"/>
            <w:u w:val="single"/>
            <w:vertAlign w:val="baseline"/>
          </w:rPr>
          <w:t>, 575 F.3d 342, 346 (4th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559 U.S. 1089 (2010)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3"/>
      <w:bookmarkEnd w:id="19"/>
      <w:r>
        <w:rPr>
          <w:rFonts w:ascii="arial" w:eastAsia="arial" w:hAnsi="arial" w:cs="arial"/>
          <w:b w:val="0"/>
          <w:i w:val="0"/>
          <w:strike w:val="0"/>
          <w:noProof w:val="0"/>
          <w:color w:val="000000"/>
          <w:position w:val="0"/>
          <w:sz w:val="20"/>
          <w:u w:val="none"/>
          <w:vertAlign w:val="baseline"/>
        </w:rPr>
        <w:t xml:space="preserve">Because Plaintiff is representing himself, this standard must be applied while liberally construing his filings in this case.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Erickson v. Pardus</w:t>
        </w:r>
      </w:hyperlink>
      <w:hyperlink r:id="rId19"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In his Motion, Plaintiff alleges that in February 2019 Officers Cleveland, Prevost, Delk, Santos, Hawkins, and Hall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"came to shake down my cell." (Dkt. No. 48 at 1.) According to Plaintiff, during this incident Defendant Prevost "snatched my boxers down striking my penis at the same time" and "grabbed my arm [and] started twisting it trying to pop it out of socket or possibly trying to break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During this time, "the others just watched."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alleges that thereafter, he "noticed a strange pattern of harassment/retaliation every 2 to 3 weeks" where the officers would "shake down my cell, strip search me, steal my canteen, steal my legal books, steal my personal books and personal mail, steal my shoes, kidnap me [and] place me in restraints [and] take me to RHU with no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Plaintiff further alleges that on February 10, 2023, "the mailroom deputy [Connie Eady] opened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my legal mail outside my presence intentionally" and let Officers "Cleveland, Delk, and Ramp read my legal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on February 13, 2023, he saw Lt. Cleveland in the law library and, thereafter, Lt. Cleveland "assembled his 5 man team . . . which consists of Lt. Cleveland, Lt. Delk, Lt. Ramp, Lt. Keith, and Lt. Adams."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Plaintiff alleges these officers went to shake down his cell while Plaintiff was not there. Plaintiff alleges that Lt. Keith and Lt. Adams met Plaintiff at the stairs, and Plaintiff was eventually taken to "Broad River secure facility" and placed in a steel cell. Plaintiff was later charged with solicitation and threatening to inflict harm, and he had certain privileges suspended for 120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asserts that a temporary restraining order and preliminary injunction are warranted on these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More specifically, he asks that the Court "place a temporary restraining order on [the] mentioned [officers] and get the Defendants to stop retaliating against Plaintiff for invoking his constitutional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Plaintiff has attached to his reply brief his affidavit in which he largely recounts the above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allegations. (Dkt. No. 53-1 at 2-4.)</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In response to Plaintiff's Motion, Defendants have submitted affidavits from Connie Eady, a Postal Courier at SCDC, and Defendant Micquel Cleveland, a Lieutenant at SCDC. (Dkt. Nos. 50-1; 60.)</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Eady avers that she "inadvertently" opened Plaintiff's envelope in front of another inmate on February 10, 2023, and told Plaintiff of her "error," offering to write an incident report about what happened. (Dkt. No. 50-1 at 3.) According to Eady, on February 13, 2023, Plaintiff approached her in the mailroom and said things that made her "very uncomfortable."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 told Lt. Cole and Lt. Cleveland about the incident and prepared an incident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In his affidavit, Cleveland avers that Plaintiff is a known gang member who is "systematically 'plugged in' to prison gang activities." (Dkt. No. 60 at 2.) According to Cleveland, "these activities include a persistent and repeated tendency to deal in contraband that amounts to the operation of an unauthorized 'prison store' within the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Cleveland avers that in the past, they have found on Plaintiff "no less than 30 bags of rice in his possession," and "methamphetamines concealed within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bags of rice, or other illicit drugs or [sic] concealed within boxes of mashed instant potatoes."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Cleveland avers that Plaintiff "is highly skilled at having cell phones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his possession, and this behavior provides the particularized suspicion that underlies most searches of [Plaintiff] or his environment."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Cleveland denies Plaintiff's claims that "he is being singled out or searched in retaliation for filing the PREA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 xml:space="preserve">Upon review, the Court finds that Plaintiff has failed to make the required showing under </w:t>
      </w:r>
      <w:r>
        <w:rPr>
          <w:rFonts w:ascii="arial" w:eastAsia="arial" w:hAnsi="arial" w:cs="arial"/>
          <w:b w:val="0"/>
          <w:i/>
          <w:strike w:val="0"/>
          <w:noProof w:val="0"/>
          <w:color w:val="000000"/>
          <w:position w:val="0"/>
          <w:sz w:val="20"/>
          <w:u w:val="none"/>
          <w:vertAlign w:val="baseline"/>
        </w:rPr>
        <w:t>Winter</w:t>
      </w:r>
      <w:r>
        <w:rPr>
          <w:rFonts w:ascii="arial" w:eastAsia="arial" w:hAnsi="arial" w:cs="arial"/>
          <w:b w:val="0"/>
          <w:i w:val="0"/>
          <w:strike w:val="0"/>
          <w:noProof w:val="0"/>
          <w:color w:val="000000"/>
          <w:position w:val="0"/>
          <w:sz w:val="20"/>
          <w:u w:val="none"/>
          <w:vertAlign w:val="baseline"/>
        </w:rPr>
        <w:t>. First, Plaintiff has failed to demonstrate a likelihood of success on the merits of his claims for injunctive relief. The undersigned cannot find Plaintiff is likely to succeed on the merits of his constitutional claims where the record contains no compelling evidence to support his allegations of retaliation and excessive force. At this time, Plaintiff has only his conclusory allegations to support his claims. It appears there were valid reasons for the searches at issue, as set forth in Cleveland's affidavit, and there is no evidence of physical injury from any alleged use of force. (Dkt. No. 60.) Further, Plaintiff has failed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make a clear showing that he will suffer irreparable harm absent the injunctive relief.</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Finally, Plaintiff has failed to establish that the balance of equities tips in his favor, and he has failed to show that an injunction is in the public interest. As the Fourth Circuit explained in </w:t>
      </w:r>
      <w:r>
        <w:rPr>
          <w:rFonts w:ascii="arial" w:eastAsia="arial" w:hAnsi="arial" w:cs="arial"/>
          <w:b w:val="0"/>
          <w:i/>
          <w:strike w:val="0"/>
          <w:noProof w:val="0"/>
          <w:color w:val="000000"/>
          <w:position w:val="0"/>
          <w:sz w:val="20"/>
          <w:u w:val="none"/>
          <w:vertAlign w:val="baseline"/>
        </w:rPr>
        <w:t>Wetzel v. Edwards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 xml:space="preserve">The realities of running a penal institution are complex and unique to the prison environment. Federal courts have traditionally been reluctant to interfere in the problems of prison administration. Indeed, the decisions made by prison administrators in their informed discretion have been accorded "wide-ranging deference" by the federal courts. . . . </w:t>
      </w:r>
      <w:r>
        <w:rPr>
          <w:rFonts w:ascii="arial" w:eastAsia="arial" w:hAnsi="arial" w:cs="arial"/>
          <w:b w:val="0"/>
          <w:i/>
          <w:strike w:val="0"/>
          <w:noProof w:val="0"/>
          <w:color w:val="000000"/>
          <w:position w:val="0"/>
          <w:sz w:val="20"/>
          <w:u w:val="none"/>
          <w:vertAlign w:val="baseline"/>
        </w:rPr>
        <w:t>Furthermore, federal courts have an additional reason to show deference to the decisions of prison authorities, where a state penal institution is involved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Procunier v. Martinez, [416 U.S. 396, 94 S. Ct. 1800, 40 L. Ed. 2d 224 (1974)]</w:t>
        </w:r>
      </w:hyperlink>
      <w:r>
        <w:rPr>
          <w:rFonts w:ascii="arial" w:eastAsia="arial" w:hAnsi="arial" w:cs="arial"/>
          <w:b w:val="0"/>
          <w:i w:val="0"/>
          <w:strike w:val="0"/>
          <w:noProof w:val="0"/>
          <w:color w:val="000000"/>
          <w:position w:val="0"/>
          <w:sz w:val="20"/>
          <w:u w:val="none"/>
          <w:vertAlign w:val="baseline"/>
        </w:rPr>
        <w:t>. The possible injury to the defendant-appellants if the preliminary injunction stands is potentially grave. The informed discretion of these penological experts could be radically limited with respect to inmate transfers specifically and, more importantly, with respect to prison discipline in general.</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635 F.2d 283, 288 (4th Cir. 1980)</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Here, Plaintiff is essentially asking that prison officials be precluded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conducting strip searches of Plaintiff and/or searching his cell. The undersigned cannot conclude that the public interest would be best served by mandating such extraordinary relief where the record contains only the Plaintiff's allegations in support, and there is evidence that Plaintiff has possessed contraband in the past.</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As Plaintiff has not demonstrated a likelihood of success on the merits or more than a possibility of irreparable harm, and because the balance of the equities and the public interest involved do not warrant the extraordinary remedy of injunctive relief, Plaintiff's Motion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 xml:space="preserve">For the foregoing reasons, this Court recommends that Plaintiff's Motion for a Temporary Restraining Order and Preliminary Injunction (Dkt. No. 48)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4"/>
      <w:bookmarkEnd w:id="32"/>
      <w:r>
        <w:rPr>
          <w:rFonts w:ascii="arial" w:eastAsia="arial" w:hAnsi="arial" w:cs="arial"/>
          <w:b/>
          <w:i w:val="0"/>
          <w:strike w:val="0"/>
          <w:noProof w:val="0"/>
          <w:color w:val="000000"/>
          <w:position w:val="0"/>
          <w:sz w:val="20"/>
          <w:u w:val="none"/>
          <w:vertAlign w:val="baseline"/>
        </w:rPr>
        <w:t>IT IS SO RECOMMENDED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April 18, 2023</w:t>
      </w:r>
    </w:p>
    <w:p>
      <w:pPr>
        <w:keepNext w:val="0"/>
        <w:spacing w:before="20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Charleston, South Carolina</w:t>
      </w:r>
    </w:p>
    <w:p>
      <w:pPr>
        <w:keepNext w:val="0"/>
        <w:spacing w:before="200" w:after="0" w:line="260" w:lineRule="atLeast"/>
        <w:ind w:left="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/s/ Mary Gordon Baker</w:t>
      </w:r>
    </w:p>
    <w:p>
      <w:pPr>
        <w:keepNext w:val="0"/>
        <w:spacing w:before="200" w:after="0" w:line="260" w:lineRule="atLeast"/>
        <w:ind w:left="0" w:right="0" w:firstLine="0"/>
        <w:jc w:val="both"/>
      </w:pPr>
      <w:bookmarkStart w:id="36" w:name="Bookmark_para_18"/>
      <w:bookmarkEnd w:id="36"/>
      <w:r>
        <w:rPr>
          <w:rFonts w:ascii="arial" w:eastAsia="arial" w:hAnsi="arial" w:cs="arial"/>
          <w:b w:val="0"/>
          <w:i w:val="0"/>
          <w:strike w:val="0"/>
          <w:noProof w:val="0"/>
          <w:color w:val="000000"/>
          <w:position w:val="0"/>
          <w:sz w:val="20"/>
          <w:u w:val="none"/>
          <w:vertAlign w:val="baseline"/>
        </w:rPr>
        <w:t>MARY GORDON BAKER</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Under Local Civil Rule 73.02(B)(2) (D.S.C.), pretrial proceedings in this action have been referred to the assigned United States Magistrate Judge.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PREA is an acronym for the Prison Rape Elimination Act.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Plaintiff also asks that he be allowed to amend his complaint. He later filed a separate motion on this issue, which the Court denied on April 17, 2023. (Dkt. Nos. 54; 57.)</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Pursuant to </w:t>
      </w:r>
      <w:hyperlink r:id="rId1" w:history="1">
        <w:r>
          <w:rPr>
            <w:rFonts w:ascii="arial" w:eastAsia="arial" w:hAnsi="arial" w:cs="arial"/>
            <w:b w:val="0"/>
            <w:i/>
            <w:strike w:val="0"/>
            <w:noProof w:val="0"/>
            <w:color w:val="0077CC"/>
            <w:position w:val="0"/>
            <w:sz w:val="18"/>
            <w:u w:val="single"/>
            <w:vertAlign w:val="baseline"/>
          </w:rPr>
          <w:t>28 U.S.C. §636(b)(1)</w:t>
        </w:r>
      </w:hyperlink>
      <w:r>
        <w:rPr>
          <w:rFonts w:ascii="arial" w:eastAsia="arial" w:hAnsi="arial" w:cs="arial"/>
          <w:b w:val="0"/>
          <w:i w:val="0"/>
          <w:strike w:val="0"/>
          <w:noProof w:val="0"/>
          <w:color w:val="000000"/>
          <w:position w:val="0"/>
          <w:sz w:val="18"/>
          <w:u w:val="none"/>
          <w:vertAlign w:val="baseline"/>
        </w:rPr>
        <w:t xml:space="preserve"> and Local Rule 73.02(B)(2)(e), D.S.C., all pretrial matters in cases involving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litigants are referred to a United States Magistrate Judge.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Plaintiff does not list any first names. Santos, Hawkins, and Hall are not named Defendants in this action.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4" w:name="Bookmark_fnpara_6"/>
      <w:bookmarkEnd w:id="24"/>
      <w:r>
        <w:rPr>
          <w:rFonts w:ascii="arial" w:eastAsia="arial" w:hAnsi="arial" w:cs="arial"/>
          <w:b w:val="0"/>
          <w:i w:val="0"/>
          <w:strike w:val="0"/>
          <w:noProof w:val="0"/>
          <w:color w:val="000000"/>
          <w:position w:val="0"/>
          <w:sz w:val="18"/>
          <w:u w:val="none"/>
          <w:vertAlign w:val="baseline"/>
        </w:rPr>
        <w:t>Defendants misfiled an affidavit from another case with their original response and later supplemented their brief with Lieutenant Cleveland's affidavit.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Jeter v. Cleveland, 2023 U.S. Dist. LEXIS 208204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P2-5GV1-JPP5-22KX-00000-00&amp;context=1519360" TargetMode="External" /><Relationship Id="rId11" Type="http://schemas.openxmlformats.org/officeDocument/2006/relationships/hyperlink" Target="https://advance.lexis.com/api/document?collection=cases&amp;id=urn:contentItem:6D51-6DX3-RSHG-R4K2-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cases&amp;id=urn:contentItem:5S90-F5D1-JTGH-B0G5-00000-00&amp;context=1519360" TargetMode="External" /><Relationship Id="rId14" Type="http://schemas.openxmlformats.org/officeDocument/2006/relationships/hyperlink" Target="https://advance.lexis.com/api/document?collection=cases&amp;id=urn:contentItem:5S8Y-R8M1-F57G-S4BH-00000-00&amp;context=1519360" TargetMode="External" /><Relationship Id="rId15" Type="http://schemas.openxmlformats.org/officeDocument/2006/relationships/hyperlink" Target="https://advance.lexis.com/api/document?collection=cases&amp;id=urn:contentItem:3S4X-4KW0-003B-P24S-00000-00&amp;context=1519360" TargetMode="External" /><Relationship Id="rId16" Type="http://schemas.openxmlformats.org/officeDocument/2006/relationships/hyperlink" Target="https://advance.lexis.com/api/document?collection=cases&amp;id=urn:contentItem:4TX2-8KV0-TXFX-13DV-00000-00&amp;context=1519360" TargetMode="External" /><Relationship Id="rId17" Type="http://schemas.openxmlformats.org/officeDocument/2006/relationships/hyperlink" Target="https://advance.lexis.com/api/document?collection=cases&amp;id=urn:contentItem:4KKR-5GK0-TVWP-42M9-00000-00&amp;context=1519360" TargetMode="External" /><Relationship Id="rId18" Type="http://schemas.openxmlformats.org/officeDocument/2006/relationships/hyperlink" Target="https://advance.lexis.com/api/document?collection=cases&amp;id=urn:contentItem:4WXT-PCW0-TXFX-629M-00000-00&amp;context=1519360" TargetMode="External" /><Relationship Id="rId19" Type="http://schemas.openxmlformats.org/officeDocument/2006/relationships/hyperlink" Target="https://advance.lexis.com/api/document?collection=cases&amp;id=urn:contentItem:4NWM-S330-004B-Y00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CD20-003B-S31D-00000-00&amp;context=1519360" TargetMode="External" /><Relationship Id="rId21" Type="http://schemas.openxmlformats.org/officeDocument/2006/relationships/hyperlink" Target="https://advance.lexis.com/api/document?collection=cases&amp;id=urn:contentItem:3S4X-8CB0-0039-W071-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P5-JWR1-DXHD-G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Jeter v. Cleveland, 2023 U.S. Dist. LEXIS 208204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urn:user:PA186186283</vt:lpwstr>
  </property>
</Properties>
</file>