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Hutchison (McLennan Cnty. #104003) v. Atkinson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Western District of Texas, Waco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2023, Decided; August 30,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W-22-CA-601-ADA</w:t>
      </w:r>
    </w:p>
    <w:p>
      <w:pPr>
        <w:keepNext w:val="0"/>
        <w:spacing w:after="0" w:line="240" w:lineRule="atLeast"/>
        <w:ind w:right="0"/>
        <w:jc w:val="both"/>
      </w:pPr>
      <w:bookmarkStart w:id="0" w:name="Bookmark_3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154466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HUTCHISON (McLennan County #104003) v. OFFICER ATKINSON, et al.</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touching, detainees, squat, Jail, cough, summary judgment, contraband, buttocks, summary judgment motion, strip search, searched, chair, male, corrections officer, allegations, change-out, spreading, cavity, taser, constitutional right, qualified immunity, excessive force, asserts, sexual assault, body cavity, non-moving, undisputed, contends, damages, courts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OFFICER JANE DOE, Officer for McLennan County, Officer John Doe, Officer for McLennan County Jail, Officer FNU Aitkens, Officer at McLennan County Jail, Officer FNU Lofton, Officer for McLennan County Jail, Defendants: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Robert Hutchison, Plaintiff, Pro se, Waco, TX.</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ALAN D ALBRIGHT,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ALAN D ALBRIGHT</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Before the Court are Plaintiff's complaint (#1), more definite statements (#8, 9), amended complaint (#14), Defendant Atkinson's Motion for Summary Judgment (#28), Plaintiff's response (#32), and Defendant's reply (#33). Plaintiff is proceeding pro se and in forma pauperis.</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STATEMENT OF THE CASE</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At the time he filed his complaint pursuant to </w:t>
      </w:r>
      <w:hyperlink r:id="rId9"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Plaintiff was confined in McLennan County Jail. Plaintiff brought claims alleging excessive force, failure to provide access to courts, retaliation, violation of his </w:t>
      </w:r>
      <w:hyperlink r:id="rId10" w:history="1">
        <w:r>
          <w:rPr>
            <w:rFonts w:ascii="arial" w:eastAsia="arial" w:hAnsi="arial" w:cs="arial"/>
            <w:b w:val="0"/>
            <w:i/>
            <w:strike w:val="0"/>
            <w:noProof w:val="0"/>
            <w:color w:val="0077CC"/>
            <w:position w:val="0"/>
            <w:sz w:val="20"/>
            <w:u w:val="single"/>
            <w:vertAlign w:val="baseline"/>
          </w:rPr>
          <w:t>First Amendment</w:t>
        </w:r>
      </w:hyperlink>
      <w:r>
        <w:rPr>
          <w:rFonts w:ascii="arial" w:eastAsia="arial" w:hAnsi="arial" w:cs="arial"/>
          <w:b w:val="0"/>
          <w:i w:val="0"/>
          <w:strike w:val="0"/>
          <w:noProof w:val="0"/>
          <w:color w:val="000000"/>
          <w:position w:val="0"/>
          <w:sz w:val="20"/>
          <w:u w:val="none"/>
          <w:vertAlign w:val="baseline"/>
        </w:rPr>
        <w:t xml:space="preserve"> freedom of religion, and illegal search in violation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Plaintiff sought only $200,000 in punitive damages.</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November 15, 2022, Defendants filed motions to dismiss and Defendant Atkinson filed a motion for partial dismissal. On January 20, 2023, the Court granted the motions to dismiss and partial motion to dismiss, dismissing all of Plaintiff's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claims except for his remaining claim against Atkinson for unreasonable search premised on an alleged sexual assault. On March 22, 2023, Atkinson filed a motion for summary judgment on the only remaining claim. Plaintiff filed his response to the summary judgment motion on June 12, 2023, and Atkinson filed his reply on June 19, 2023.</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DISCUSSION AND 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Factual Background</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Plaintiff claims that on April 29, 2021, he turned himself into the McLennan County Court House for a misdemeanor warrant. He was eventually handcuffed and transported to jail for what he claims was a "very short stay". Upon his arrival, Plaintiff threatened to cause a fight if he was housed with other inmates. Plaintiff was moved to another cell, and during the move Plaintiff was aggressive with the officers and had to be placed in restraints.</w:t>
      </w:r>
    </w:p>
    <w:p>
      <w:pPr>
        <w:keepNext w:val="0"/>
        <w:spacing w:before="200" w:after="0" w:line="260" w:lineRule="atLeast"/>
        <w:ind w:left="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Plaintiff was searched for contraband. The purpose of this search was to prevent the flow of drugs and contraband into the Jail, for the security of the detainees, and the security of Jail personnel. Plaintiff contends that this was a pretext. As Defendants' unopposed summary judgment evidence shows, though all detainees are searched for contraband, not all detainees undergo</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strip searches. Only detainees who will be assigned to the Jail general population or for whom there is documented, reasonable suspicion are strip searched. Based on Plaintiff's criminal history, and because he would be in the Jail's general population, Plaintiff was then subjected to a strip search. A Jail strip search consists of ordering a detainee to remove his clothing and to squat and cough. A strip search is a visual inspection of the detainee's body, including their genital area, and for males, of their anal cavity. Having a naked male detainee squat and cough allows officers to visually inspect the detainee's anal cavity without physically touching the detainee. If contraband were present in a male detainee's anal cavity, the contraband would be expelled by squatting and coughing while naked.</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Defendant's unopposed summary judgment evidence shows that Plaintiff was escorted to the change-out room so that he could be changed into a Jail uniform, searched for contraband, and strip searched. Defendant Atkinson was present to assist Officer Escobedo in the change-out room. In addition, because of Plaintiff's unruly behavior when he was first placed in a holding cell, Corporal Barron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Sergeant Kimberly King stood outside of the change-out room.</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During the change-out process, Officer Escobedo instructed Plaintiff to remove his clothing and to squat and cough. Plaintiff removed his clothing, but refused the order to squat and cough, and instead began yelling at officers indicating his refusal to squat and cough. Plaintiff started balling his fist as if he was going to punch an officer. Plaintiff was again instructed to squat and cough. Plaintiff again refused to comply. Defendant Atkinson informed Plaintiff that if he did not comply, the officers would make him comply. Plaintiff responded by making a fist, acting aggressively, and saying something to the effect of "do what you got to do." Defendant Atkinson repeated the instruction to squat and cough, but Plaintiff again refused to comply.</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Atkinson then attempted to move Plaintiff into the squatting position by applying downward pressure on his right shoulder with his right hand while repeating the order. Plaintiff resisted the pressure. Having heard the officers commanding Plaintiff to squat and Plaintiff loudly refusing their commands, Corporal Barron and Sergeant King entered the room. Officer Escobedo then applied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 knee strike to Plaintiff's right thigh, but it was ineffective. Defendant Atkinson then applied a knee strike to Plaintiff's lower left leg while instructing Plaintiff to stop resisting. Plaintiff instead began trying to pull away from the officers. Atkinson then stepped back about five feet, drew and activated his taser, aimed it at Plaintiff, announced his intention, and deployed his taser. Atkinson remained about five feet away, holding the taser on Plaintiff until the taser probes were removed from Plaintiff's back.</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Once Plaintiff was hit by the taser prongs, Officer Escobedo placed Plaintiff on the floor. Plaintiff then tried to break free, claiming that he would try to beat-up the officers. Plaintiff was rolled over on his stomach. Corporal Barron bent Plaintiff's legs at the knees and crossed his ankles to prevent him from kicking. Plaintiff alleges that, at this time, an officer "spread his ass cheeks" or "touched his ass cheek." Plaintiff does not identify which officer allegedly took this action. A nurse then removed the taser probes from Plaintiff's back.</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At this time, Plaintiff had been restrained, but he was still naked. Thus, Sergeant King and Corporal Barron, who are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females, left the room. Plaintiff was lifted to his feet and attempted again to pull away. Defendant Atkinson applied a wrist lock to Plaintiff's right wrist in order to gain Plaintiff's compliance. Once Plaintiff stopped pulling away, Defendant Atkinson relaxed the pressure on Plaintiff's wrist.</w:t>
      </w:r>
    </w:p>
    <w:p>
      <w:pPr>
        <w:keepNext w:val="0"/>
        <w:spacing w:before="200" w:after="0" w:line="260" w:lineRule="atLeast"/>
        <w:ind w:left="0" w:right="0" w:firstLine="0"/>
        <w:jc w:val="both"/>
      </w:pPr>
      <w:bookmarkStart w:id="17" w:name="Bookmark_para_11"/>
      <w:bookmarkEnd w:id="17"/>
      <w:r>
        <w:rPr>
          <w:rFonts w:ascii="arial" w:eastAsia="arial" w:hAnsi="arial" w:cs="arial"/>
          <w:b w:val="0"/>
          <w:i w:val="0"/>
          <w:strike w:val="0"/>
          <w:noProof w:val="0"/>
          <w:color w:val="000000"/>
          <w:position w:val="0"/>
          <w:sz w:val="20"/>
          <w:u w:val="none"/>
          <w:vertAlign w:val="baseline"/>
        </w:rPr>
        <w:t>Defendant Atkinson and other officers escorted Plaintiff to the emergency restraint chair and placed him in the chair. Defendant Atkinson assisted in this process by keeping Plaintiff's shoulders back in the chair while other officers secured Plaintiff in the chair. Plaintiff attempted to lean forward toward the officers while they secured his legs and Defendant Atkinson applied pressure to Plaintiff's pressure points under his jaw and instructed Plaintiff to stop pulling away from the chair. Plaintiff complied and Atkinson released the pressure, though Atkinson left his hands in place as a precaution while Plaintiff was secured in the chair. After being secured in the chair, the nurse assessed and cleared Plaintiff. Plaintiff was taken to his detention area and Defendant Atkinson resumed his normal duties.</w:t>
      </w:r>
    </w:p>
    <w:p>
      <w:pPr>
        <w:keepNext w:val="0"/>
        <w:spacing w:before="200" w:after="0" w:line="260" w:lineRule="atLeast"/>
        <w:ind w:left="0" w:right="0" w:firstLine="0"/>
        <w:jc w:val="both"/>
      </w:pPr>
      <w:bookmarkStart w:id="18" w:name="Bookmark_para_12"/>
      <w:bookmarkEnd w:id="18"/>
      <w:r>
        <w:rPr>
          <w:rFonts w:ascii="arial" w:eastAsia="arial" w:hAnsi="arial" w:cs="arial"/>
          <w:b w:val="0"/>
          <w:i w:val="0"/>
          <w:strike w:val="0"/>
          <w:noProof w:val="0"/>
          <w:color w:val="000000"/>
          <w:position w:val="0"/>
          <w:sz w:val="20"/>
          <w:u w:val="none"/>
          <w:vertAlign w:val="baseline"/>
        </w:rPr>
        <w:t>Plaintiff filed a grievance about the incident and it was investigated by prison authorities.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Plaintiff asserted that Atkinson sexually assaulted Plaintiff by conducting a manual body cavity search. Defendant Atkinson was found to have acted reasonably and no misconduct was found. Defendant Atkinson was not disciplined for any of his conduct with regard to Plaintiff.</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Summary Judgment Standard</w:t>
      </w:r>
    </w:p>
    <w:p>
      <w:pPr>
        <w:keepNext w:val="0"/>
        <w:spacing w:before="240" w:after="0" w:line="260" w:lineRule="atLeast"/>
        <w:ind w:left="0" w:right="0" w:firstLine="0"/>
        <w:jc w:val="both"/>
      </w:pPr>
      <w:bookmarkStart w:id="19" w:name="Bookmark_para_13"/>
      <w:bookmarkEnd w:id="19"/>
      <w:bookmarkStart w:id="20" w:name="Bookmark_I693VRT028T4DG0020000400"/>
      <w:bookmarkEnd w:id="20"/>
      <w:bookmarkStart w:id="21" w:name="Bookmark_I693VRT12HM6W60010000400"/>
      <w:bookmarkEnd w:id="21"/>
      <w:r>
        <w:rPr>
          <w:rFonts w:ascii="arial" w:eastAsia="arial" w:hAnsi="arial" w:cs="arial"/>
          <w:b w:val="0"/>
          <w:i w:val="0"/>
          <w:strike w:val="0"/>
          <w:noProof w:val="0"/>
          <w:color w:val="000000"/>
          <w:position w:val="0"/>
          <w:sz w:val="20"/>
          <w:u w:val="none"/>
          <w:vertAlign w:val="baseline"/>
        </w:rPr>
        <w:t xml:space="preserve">A court will, on a motion for summary judgment, render judgment if the evidence shows that there is no genuine issue as to any material fact and that the moving party is entitled to a judgment as a matter of law. </w:t>
      </w:r>
      <w:bookmarkStart w:id="22" w:name="Bookmark_I693VRT028T4DG0010000400"/>
      <w:bookmarkEnd w:id="22"/>
      <w:hyperlink r:id="rId12" w:history="1">
        <w:r>
          <w:rPr>
            <w:rFonts w:ascii="arial" w:eastAsia="arial" w:hAnsi="arial" w:cs="arial"/>
            <w:b w:val="0"/>
            <w:i/>
            <w:strike w:val="0"/>
            <w:noProof w:val="0"/>
            <w:color w:val="0077CC"/>
            <w:position w:val="0"/>
            <w:sz w:val="20"/>
            <w:u w:val="single"/>
            <w:vertAlign w:val="baseline"/>
          </w:rPr>
          <w:t>Eason v. Thaler</w:t>
        </w:r>
      </w:hyperlink>
      <w:hyperlink r:id="rId12" w:history="1">
        <w:r>
          <w:rPr>
            <w:rFonts w:ascii="arial" w:eastAsia="arial" w:hAnsi="arial" w:cs="arial"/>
            <w:b w:val="0"/>
            <w:i/>
            <w:strike w:val="0"/>
            <w:noProof w:val="0"/>
            <w:color w:val="0077CC"/>
            <w:position w:val="0"/>
            <w:sz w:val="20"/>
            <w:u w:val="single"/>
            <w:vertAlign w:val="baseline"/>
          </w:rPr>
          <w:t>, 73 F.3d 1322, 1325 (5th Cir. 1996)</w:t>
        </w:r>
      </w:hyperlink>
      <w:r>
        <w:rPr>
          <w:rFonts w:ascii="arial" w:eastAsia="arial" w:hAnsi="arial" w:cs="arial"/>
          <w:b w:val="0"/>
          <w:i w:val="0"/>
          <w:strike w:val="0"/>
          <w:noProof w:val="0"/>
          <w:color w:val="000000"/>
          <w:position w:val="0"/>
          <w:sz w:val="20"/>
          <w:u w:val="none"/>
          <w:vertAlign w:val="baseline"/>
        </w:rPr>
        <w:t xml:space="preserve">; </w:t>
      </w:r>
      <w:bookmarkStart w:id="23" w:name="Bookmark_I693VRT028T4DG0030000400"/>
      <w:bookmarkEnd w:id="23"/>
      <w:hyperlink r:id="rId13" w:history="1">
        <w:r>
          <w:rPr>
            <w:rFonts w:ascii="arial" w:eastAsia="arial" w:hAnsi="arial" w:cs="arial"/>
            <w:b w:val="0"/>
            <w:i/>
            <w:strike w:val="0"/>
            <w:noProof w:val="0"/>
            <w:color w:val="0077CC"/>
            <w:position w:val="0"/>
            <w:sz w:val="20"/>
            <w:u w:val="single"/>
            <w:vertAlign w:val="baseline"/>
          </w:rPr>
          <w:t>Int'l Shortstop, Inc. v. Rally's Inc.</w:t>
        </w:r>
      </w:hyperlink>
      <w:hyperlink r:id="rId13" w:history="1">
        <w:r>
          <w:rPr>
            <w:rFonts w:ascii="arial" w:eastAsia="arial" w:hAnsi="arial" w:cs="arial"/>
            <w:b w:val="0"/>
            <w:i/>
            <w:strike w:val="0"/>
            <w:noProof w:val="0"/>
            <w:color w:val="0077CC"/>
            <w:position w:val="0"/>
            <w:sz w:val="20"/>
            <w:u w:val="single"/>
            <w:vertAlign w:val="baseline"/>
          </w:rPr>
          <w:t>, 939 F.2d 1257, 1263 (5th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502 U.S. 1059, 112 S. Ct. 936, 117 L. Ed. 2d 107 (1992)</w:t>
      </w:r>
      <w:r>
        <w:rPr>
          <w:rFonts w:ascii="arial" w:eastAsia="arial" w:hAnsi="arial" w:cs="arial"/>
          <w:b w:val="0"/>
          <w:i w:val="0"/>
          <w:strike w:val="0"/>
          <w:noProof w:val="0"/>
          <w:color w:val="000000"/>
          <w:position w:val="0"/>
          <w:sz w:val="20"/>
          <w:u w:val="none"/>
          <w:vertAlign w:val="baseline"/>
        </w:rPr>
        <w:t xml:space="preserve">. When a motion for summary judgment is made and supported, an adverse party may not rest upon mere allegations or denials but must set forth specific facts showing there is a genuine issue for trial. </w:t>
      </w:r>
      <w:bookmarkStart w:id="24" w:name="Bookmark_I693VRT028T4DG0050000400"/>
      <w:bookmarkEnd w:id="24"/>
      <w:hyperlink r:id="rId14" w:history="1">
        <w:r>
          <w:rPr>
            <w:rFonts w:ascii="arial" w:eastAsia="arial" w:hAnsi="arial" w:cs="arial"/>
            <w:b w:val="0"/>
            <w:i/>
            <w:strike w:val="0"/>
            <w:noProof w:val="0"/>
            <w:color w:val="0077CC"/>
            <w:position w:val="0"/>
            <w:sz w:val="20"/>
            <w:u w:val="single"/>
            <w:vertAlign w:val="baseline"/>
          </w:rPr>
          <w:t>Ray v. Tandem Computers, Inc.</w:t>
        </w:r>
      </w:hyperlink>
      <w:hyperlink r:id="rId14" w:history="1">
        <w:r>
          <w:rPr>
            <w:rFonts w:ascii="arial" w:eastAsia="arial" w:hAnsi="arial" w:cs="arial"/>
            <w:b w:val="0"/>
            <w:i/>
            <w:strike w:val="0"/>
            <w:noProof w:val="0"/>
            <w:color w:val="0077CC"/>
            <w:position w:val="0"/>
            <w:sz w:val="20"/>
            <w:u w:val="single"/>
            <w:vertAlign w:val="baseline"/>
          </w:rPr>
          <w:t>, 63 F.3d 429, 433 (5th Cir. 1995)</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Fed. R. Civ. P. 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14"/>
      <w:bookmarkEnd w:id="25"/>
      <w:bookmarkStart w:id="26" w:name="Bookmark_I693VRT12HM6W60030000400"/>
      <w:bookmarkEnd w:id="26"/>
      <w:r>
        <w:rPr>
          <w:rFonts w:ascii="arial" w:eastAsia="arial" w:hAnsi="arial" w:cs="arial"/>
          <w:b w:val="0"/>
          <w:i w:val="0"/>
          <w:strike w:val="0"/>
          <w:noProof w:val="0"/>
          <w:color w:val="000000"/>
          <w:position w:val="0"/>
          <w:sz w:val="20"/>
          <w:u w:val="none"/>
          <w:vertAlign w:val="baseline"/>
        </w:rPr>
        <w:t xml:space="preserve">Both movants and non-movants bear burdens of proof in the summary judgment process. </w:t>
      </w:r>
      <w:bookmarkStart w:id="27" w:name="Bookmark_I693VRT12HM6W60050000400"/>
      <w:bookmarkEnd w:id="27"/>
      <w:bookmarkStart w:id="28" w:name="Bookmark_I693VRT12HM6W60020000400"/>
      <w:bookmarkEnd w:id="28"/>
      <w:hyperlink r:id="rId16" w:history="1">
        <w:r>
          <w:rPr>
            <w:rFonts w:ascii="arial" w:eastAsia="arial" w:hAnsi="arial" w:cs="arial"/>
            <w:b w:val="0"/>
            <w:i/>
            <w:strike w:val="0"/>
            <w:noProof w:val="0"/>
            <w:color w:val="0077CC"/>
            <w:position w:val="0"/>
            <w:sz w:val="20"/>
            <w:u w:val="single"/>
            <w:vertAlign w:val="baseline"/>
          </w:rPr>
          <w:t>Celotex Corp. v. Catrett</w:t>
        </w:r>
      </w:hyperlink>
      <w:hyperlink r:id="rId16" w:history="1">
        <w:r>
          <w:rPr>
            <w:rFonts w:ascii="arial" w:eastAsia="arial" w:hAnsi="arial" w:cs="arial"/>
            <w:b w:val="0"/>
            <w:i/>
            <w:strike w:val="0"/>
            <w:noProof w:val="0"/>
            <w:color w:val="0077CC"/>
            <w:position w:val="0"/>
            <w:sz w:val="20"/>
            <w:u w:val="single"/>
            <w:vertAlign w:val="baseline"/>
          </w:rPr>
          <w:t>, 477 U.S. 317, 106 S. Ct. 2548, 91 L. Ed. 2d 265 (1986)</w:t>
        </w:r>
      </w:hyperlink>
      <w:r>
        <w:rPr>
          <w:rFonts w:ascii="arial" w:eastAsia="arial" w:hAnsi="arial" w:cs="arial"/>
          <w:b w:val="0"/>
          <w:i w:val="0"/>
          <w:strike w:val="0"/>
          <w:noProof w:val="0"/>
          <w:color w:val="000000"/>
          <w:position w:val="0"/>
          <w:sz w:val="20"/>
          <w:u w:val="none"/>
          <w:vertAlign w:val="baseline"/>
        </w:rPr>
        <w:t xml:space="preserve">. The movant with the burden of proof at trial must establish every essential element of its claim or affirmative defense. </w:t>
      </w:r>
      <w:bookmarkStart w:id="29" w:name="Bookmark_I693VRT12HM6W60050000400_2"/>
      <w:bookmarkEnd w:id="29"/>
      <w:bookmarkStart w:id="30" w:name="Bookmark_I693VRT22SF88M0020000400"/>
      <w:bookmarkEnd w:id="30"/>
      <w:bookmarkStart w:id="31" w:name="Bookmark_I693VRT12HM6W60040000400"/>
      <w:bookmarkEnd w:id="31"/>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322</w:t>
        </w:r>
      </w:hyperlink>
      <w:r>
        <w:rPr>
          <w:rFonts w:ascii="arial" w:eastAsia="arial" w:hAnsi="arial" w:cs="arial"/>
          <w:b w:val="0"/>
          <w:i w:val="0"/>
          <w:strike w:val="0"/>
          <w:noProof w:val="0"/>
          <w:color w:val="000000"/>
          <w:position w:val="0"/>
          <w:sz w:val="20"/>
          <w:u w:val="none"/>
          <w:vertAlign w:val="baseline"/>
        </w:rPr>
        <w:t xml:space="preserve">. </w:t>
      </w:r>
      <w:bookmarkStart w:id="32" w:name="Bookmark_I693VRT22SF88M0020000400_2"/>
      <w:bookmarkEnd w:id="32"/>
      <w:bookmarkStart w:id="33" w:name="Bookmark_I693VRT22SF88M0040000400"/>
      <w:bookmarkEnd w:id="33"/>
      <w:r>
        <w:rPr>
          <w:rFonts w:ascii="arial" w:eastAsia="arial" w:hAnsi="arial" w:cs="arial"/>
          <w:b w:val="0"/>
          <w:i w:val="0"/>
          <w:strike w:val="0"/>
          <w:noProof w:val="0"/>
          <w:color w:val="000000"/>
          <w:position w:val="0"/>
          <w:sz w:val="20"/>
          <w:u w:val="none"/>
          <w:vertAlign w:val="baseline"/>
        </w:rPr>
        <w:t xml:space="preserve">In so doing, the moving party without the burden of proof need only point to the absence of evidence on an essential element of the non-movant's claims or affirmative defenses. </w:t>
      </w:r>
      <w:bookmarkStart w:id="34" w:name="Bookmark_I693VRT22SF88M0010000400"/>
      <w:bookmarkEnd w:id="34"/>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323-24</w:t>
        </w:r>
      </w:hyperlink>
      <w:r>
        <w:rPr>
          <w:rFonts w:ascii="arial" w:eastAsia="arial" w:hAnsi="arial" w:cs="arial"/>
          <w:b w:val="0"/>
          <w:i w:val="0"/>
          <w:strike w:val="0"/>
          <w:noProof w:val="0"/>
          <w:color w:val="000000"/>
          <w:position w:val="0"/>
          <w:sz w:val="20"/>
          <w:u w:val="none"/>
          <w:vertAlign w:val="baseline"/>
        </w:rPr>
        <w:t xml:space="preserve">. </w:t>
      </w:r>
      <w:bookmarkStart w:id="35" w:name="Bookmark_I693VRT22SF88M0040000400_2"/>
      <w:bookmarkEnd w:id="35"/>
      <w:bookmarkStart w:id="36" w:name="Bookmark_I693VRT228T4DT0010000400"/>
      <w:bookmarkEnd w:id="36"/>
      <w:r>
        <w:rPr>
          <w:rFonts w:ascii="arial" w:eastAsia="arial" w:hAnsi="arial" w:cs="arial"/>
          <w:b w:val="0"/>
          <w:i w:val="0"/>
          <w:strike w:val="0"/>
          <w:noProof w:val="0"/>
          <w:color w:val="000000"/>
          <w:position w:val="0"/>
          <w:sz w:val="20"/>
          <w:u w:val="none"/>
          <w:vertAlign w:val="baseline"/>
        </w:rPr>
        <w:t>At that point, the burden shifts to the non-moving party to "produce evidence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support of its claims or affirmative defenses . . . designating specific facts showing that there is a genuine issue for trial." </w:t>
      </w:r>
      <w:bookmarkStart w:id="37" w:name="Bookmark_I693VRT22SF88M0030000400"/>
      <w:bookmarkEnd w:id="37"/>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324</w:t>
        </w:r>
      </w:hyperlink>
      <w:r>
        <w:rPr>
          <w:rFonts w:ascii="arial" w:eastAsia="arial" w:hAnsi="arial" w:cs="arial"/>
          <w:b w:val="0"/>
          <w:i w:val="0"/>
          <w:strike w:val="0"/>
          <w:noProof w:val="0"/>
          <w:color w:val="000000"/>
          <w:position w:val="0"/>
          <w:sz w:val="20"/>
          <w:u w:val="none"/>
          <w:vertAlign w:val="baseline"/>
        </w:rPr>
        <w:t xml:space="preserve">. </w:t>
      </w:r>
      <w:bookmarkStart w:id="38" w:name="Bookmark_I693VRT228T4DT0010000400_2"/>
      <w:bookmarkEnd w:id="38"/>
      <w:r>
        <w:rPr>
          <w:rFonts w:ascii="arial" w:eastAsia="arial" w:hAnsi="arial" w:cs="arial"/>
          <w:b w:val="0"/>
          <w:i w:val="0"/>
          <w:strike w:val="0"/>
          <w:noProof w:val="0"/>
          <w:color w:val="000000"/>
          <w:position w:val="0"/>
          <w:sz w:val="20"/>
          <w:u w:val="none"/>
          <w:vertAlign w:val="baseline"/>
        </w:rPr>
        <w:t xml:space="preserve">The non-moving party must produce "specific facts" showing a genuine issue for trial, not mere general allegations. </w:t>
      </w:r>
      <w:bookmarkStart w:id="39" w:name="Bookmark_I693VRT22SF88M0050000400"/>
      <w:bookmarkEnd w:id="39"/>
      <w:r>
        <w:rPr>
          <w:rFonts w:ascii="arial" w:eastAsia="arial" w:hAnsi="arial" w:cs="arial"/>
          <w:b w:val="0"/>
          <w:i/>
          <w:strike w:val="0"/>
          <w:noProof w:val="0"/>
          <w:color w:val="000000"/>
          <w:position w:val="0"/>
          <w:sz w:val="20"/>
          <w:u w:val="none"/>
          <w:vertAlign w:val="baseline"/>
        </w:rPr>
        <w:t>Tubacex v. M/V Risan</w:t>
      </w:r>
      <w:r>
        <w:rPr>
          <w:rFonts w:ascii="arial" w:eastAsia="arial" w:hAnsi="arial" w:cs="arial"/>
          <w:b w:val="0"/>
          <w:i/>
          <w:strike w:val="0"/>
          <w:noProof w:val="0"/>
          <w:color w:val="000000"/>
          <w:position w:val="0"/>
          <w:sz w:val="20"/>
          <w:u w:val="none"/>
          <w:vertAlign w:val="baseline"/>
        </w:rPr>
        <w:t>, 45 F.3d 951, 954 (5th Cir. 1995)</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15"/>
      <w:bookmarkEnd w:id="40"/>
      <w:bookmarkStart w:id="41" w:name="Bookmark_I693VRT228T4DT0030000400"/>
      <w:bookmarkEnd w:id="41"/>
      <w:r>
        <w:rPr>
          <w:rFonts w:ascii="arial" w:eastAsia="arial" w:hAnsi="arial" w:cs="arial"/>
          <w:b w:val="0"/>
          <w:i w:val="0"/>
          <w:strike w:val="0"/>
          <w:noProof w:val="0"/>
          <w:color w:val="000000"/>
          <w:position w:val="0"/>
          <w:sz w:val="20"/>
          <w:u w:val="none"/>
          <w:vertAlign w:val="baseline"/>
        </w:rPr>
        <w:t xml:space="preserve">In deciding whether to grant summary judgment, the Court should view the evidence in the light most favorable to the party opposing summary judgment and indulge all reasonable inferences in favor of that party. The Fifth Circuit has concluded "[t]he standard of review is not merely whether there is a sufficient factual dispute to permit the case to go forward, but whether a rational trier of fact could find for the non-moving party based upon the evidence before the court." </w:t>
      </w:r>
      <w:bookmarkStart w:id="42" w:name="Bookmark_I693VRT228T4DT0020000400"/>
      <w:bookmarkEnd w:id="42"/>
      <w:hyperlink r:id="rId17" w:history="1">
        <w:r>
          <w:rPr>
            <w:rFonts w:ascii="arial" w:eastAsia="arial" w:hAnsi="arial" w:cs="arial"/>
            <w:b w:val="0"/>
            <w:i/>
            <w:strike w:val="0"/>
            <w:noProof w:val="0"/>
            <w:color w:val="0077CC"/>
            <w:position w:val="0"/>
            <w:sz w:val="20"/>
            <w:u w:val="single"/>
            <w:vertAlign w:val="baseline"/>
          </w:rPr>
          <w:t>James v. Sadler</w:t>
        </w:r>
      </w:hyperlink>
      <w:hyperlink r:id="rId17" w:history="1">
        <w:r>
          <w:rPr>
            <w:rFonts w:ascii="arial" w:eastAsia="arial" w:hAnsi="arial" w:cs="arial"/>
            <w:b w:val="0"/>
            <w:i/>
            <w:strike w:val="0"/>
            <w:noProof w:val="0"/>
            <w:color w:val="0077CC"/>
            <w:position w:val="0"/>
            <w:sz w:val="20"/>
            <w:u w:val="single"/>
            <w:vertAlign w:val="baseline"/>
          </w:rPr>
          <w:t>, 909 F.2d 834, 837 (5th Cir. 1990)</w:t>
        </w:r>
      </w:hyperlink>
      <w:r>
        <w:rPr>
          <w:rFonts w:ascii="arial" w:eastAsia="arial" w:hAnsi="arial" w:cs="arial"/>
          <w:b w:val="0"/>
          <w:i w:val="0"/>
          <w:strike w:val="0"/>
          <w:noProof w:val="0"/>
          <w:color w:val="000000"/>
          <w:position w:val="0"/>
          <w:sz w:val="20"/>
          <w:u w:val="none"/>
          <w:vertAlign w:val="baseline"/>
        </w:rPr>
        <w:t xml:space="preserve"> (citing </w:t>
      </w:r>
      <w:bookmarkStart w:id="43" w:name="Bookmark_I693VRT228T4DT0040000400"/>
      <w:bookmarkEnd w:id="43"/>
      <w:hyperlink r:id="rId18"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18" w:history="1">
        <w:r>
          <w:rPr>
            <w:rFonts w:ascii="arial" w:eastAsia="arial" w:hAnsi="arial" w:cs="arial"/>
            <w:b w:val="0"/>
            <w:i/>
            <w:strike w:val="0"/>
            <w:noProof w:val="0"/>
            <w:color w:val="0077CC"/>
            <w:position w:val="0"/>
            <w:sz w:val="20"/>
            <w:u w:val="single"/>
            <w:vertAlign w:val="baseline"/>
          </w:rPr>
          <w:t>, 475 U.S. 574, 586, 106 S. Ct. 1348, 89 L. Ed. 2d 538 (1986)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 w:name="Bookmark_para_16"/>
      <w:bookmarkEnd w:id="44"/>
      <w:r>
        <w:rPr>
          <w:rFonts w:ascii="arial" w:eastAsia="arial" w:hAnsi="arial" w:cs="arial"/>
          <w:b w:val="0"/>
          <w:i w:val="0"/>
          <w:strike w:val="0"/>
          <w:noProof w:val="0"/>
          <w:color w:val="000000"/>
          <w:position w:val="0"/>
          <w:sz w:val="20"/>
          <w:u w:val="none"/>
          <w:vertAlign w:val="baseline"/>
        </w:rPr>
        <w:t>Defendant argues he is entitled to summary judgment because the strip search of Plaintiff was not unreasonable. Further, Defendant argues that Plaintiff is unable to show that Defendant Atkinson was the officer who allegedly touched Plaintiff inappropriately. Indeed, Defendant asserts that the undisputed summary judgment evidence shows that Atkinson was five feet away holding his taser at the time Plaintiff alleges he was improperly touched incident to a</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search. Finally, Defendant Atkinson asserts that Plaintiff is unable to meet the standard for punitive damages, the only damages he seeks.</w:t>
      </w:r>
    </w:p>
    <w:p>
      <w:pPr>
        <w:keepNext w:val="0"/>
        <w:spacing w:before="200" w:after="0" w:line="260" w:lineRule="atLeast"/>
        <w:ind w:left="0" w:right="0" w:firstLine="0"/>
        <w:jc w:val="both"/>
      </w:pPr>
      <w:bookmarkStart w:id="45" w:name="Bookmark_para_17"/>
      <w:bookmarkEnd w:id="45"/>
      <w:r>
        <w:rPr>
          <w:rFonts w:ascii="arial" w:eastAsia="arial" w:hAnsi="arial" w:cs="arial"/>
          <w:b w:val="0"/>
          <w:i w:val="0"/>
          <w:strike w:val="0"/>
          <w:noProof w:val="0"/>
          <w:color w:val="000000"/>
          <w:position w:val="0"/>
          <w:sz w:val="20"/>
          <w:u w:val="none"/>
          <w:vertAlign w:val="baseline"/>
        </w:rPr>
        <w:t>Plaintiff's only response to the summary judgment motion is to argue that Defendant Atkinson is not entitled to qualified immunity. Plaintiff appears to abandon his claims regarding the alleged sexual assault or unreasonable search. Instead, Plaintiff asserts that Texas passed a law on April 28, 2021, prohibiting officers from applying pressure to a person's throat and neck in a way that impedes breathing or blood flow. Plaintiff contends that Atkinson violated Texas law because Atkinson applied pressure to Plaintiff's neck.</w:t>
      </w:r>
    </w:p>
    <w:p>
      <w:pPr>
        <w:keepNext w:val="0"/>
        <w:spacing w:before="200" w:after="0" w:line="260" w:lineRule="atLeast"/>
        <w:ind w:left="0" w:right="0" w:firstLine="0"/>
        <w:jc w:val="both"/>
      </w:pPr>
      <w:bookmarkStart w:id="46" w:name="Bookmark_para_18"/>
      <w:bookmarkEnd w:id="46"/>
      <w:r>
        <w:rPr>
          <w:rFonts w:ascii="arial" w:eastAsia="arial" w:hAnsi="arial" w:cs="arial"/>
          <w:b w:val="0"/>
          <w:i w:val="0"/>
          <w:strike w:val="0"/>
          <w:noProof w:val="0"/>
          <w:color w:val="000000"/>
          <w:position w:val="0"/>
          <w:sz w:val="20"/>
          <w:u w:val="none"/>
          <w:vertAlign w:val="baseline"/>
        </w:rPr>
        <w:t>QDefendant, in his reply, asserts that Plaintiff's failure to rebut any of Defendant's evidence entitles him to summary judgment. Defendant also asserts that, to the extent Plaintiff raises a new argument regarding his previously dismissed excessive force claim, such an argument is untimely. Defendant also asserts that, even if the new excessive force argument were properly before the Court, Plaintiff failed to provide any support for his argument.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val="0"/>
          <w:strike w:val="0"/>
          <w:noProof w:val="0"/>
          <w:color w:val="000000"/>
          <w:position w:val="0"/>
          <w:sz w:val="20"/>
          <w:u w:val="single"/>
          <w:vertAlign w:val="baseline"/>
        </w:rPr>
        <w:t>McLennan County</w:t>
      </w:r>
    </w:p>
    <w:p>
      <w:pPr>
        <w:keepNext w:val="0"/>
        <w:spacing w:before="240" w:after="0" w:line="260" w:lineRule="atLeast"/>
        <w:ind w:left="0" w:right="0" w:firstLine="0"/>
        <w:jc w:val="both"/>
      </w:pPr>
      <w:bookmarkStart w:id="47" w:name="Bookmark_para_19"/>
      <w:bookmarkEnd w:id="47"/>
      <w:r>
        <w:rPr>
          <w:rFonts w:ascii="arial" w:eastAsia="arial" w:hAnsi="arial" w:cs="arial"/>
          <w:b w:val="0"/>
          <w:i w:val="0"/>
          <w:strike w:val="0"/>
          <w:noProof w:val="0"/>
          <w:color w:val="000000"/>
          <w:position w:val="0"/>
          <w:sz w:val="20"/>
          <w:u w:val="none"/>
          <w:vertAlign w:val="baseline"/>
        </w:rPr>
        <w:t>To the extent Plaintiff brings claims against Defendant Atkinson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in his official capacity, those claims are the same as if Plaintiff brought claims against McLennan County. </w:t>
      </w:r>
      <w:bookmarkStart w:id="48" w:name="Bookmark_I693VRT228T4DX0020000400"/>
      <w:bookmarkEnd w:id="48"/>
      <w:r>
        <w:rPr>
          <w:rFonts w:ascii="arial" w:eastAsia="arial" w:hAnsi="arial" w:cs="arial"/>
          <w:b w:val="0"/>
          <w:i w:val="0"/>
          <w:strike w:val="0"/>
          <w:noProof w:val="0"/>
          <w:color w:val="000000"/>
          <w:position w:val="0"/>
          <w:sz w:val="20"/>
          <w:u w:val="none"/>
          <w:vertAlign w:val="baseline"/>
        </w:rPr>
        <w:t xml:space="preserve">Such claims are dismissed. A political subdivision cannot be held responsible for a deprivation of a constitutional right merely because it employs a tortfeasor; in other words a local government unit cannot be held responsible for civil rights violations under the theory of respondeat superior. </w:t>
      </w:r>
      <w:bookmarkStart w:id="49" w:name="Bookmark_I693VRT228T4DX0040000400"/>
      <w:bookmarkEnd w:id="49"/>
      <w:bookmarkStart w:id="50" w:name="Bookmark_I693VRT228T4DX0010000400"/>
      <w:bookmarkEnd w:id="50"/>
      <w:hyperlink r:id="rId19" w:history="1">
        <w:r>
          <w:rPr>
            <w:rFonts w:ascii="arial" w:eastAsia="arial" w:hAnsi="arial" w:cs="arial"/>
            <w:b w:val="0"/>
            <w:i/>
            <w:strike w:val="0"/>
            <w:noProof w:val="0"/>
            <w:color w:val="0077CC"/>
            <w:position w:val="0"/>
            <w:sz w:val="20"/>
            <w:u w:val="single"/>
            <w:vertAlign w:val="baseline"/>
          </w:rPr>
          <w:t>Johnson v. Moore</w:t>
        </w:r>
      </w:hyperlink>
      <w:hyperlink r:id="rId19" w:history="1">
        <w:r>
          <w:rPr>
            <w:rFonts w:ascii="arial" w:eastAsia="arial" w:hAnsi="arial" w:cs="arial"/>
            <w:b w:val="0"/>
            <w:i/>
            <w:strike w:val="0"/>
            <w:noProof w:val="0"/>
            <w:color w:val="0077CC"/>
            <w:position w:val="0"/>
            <w:sz w:val="20"/>
            <w:u w:val="single"/>
            <w:vertAlign w:val="baseline"/>
          </w:rPr>
          <w:t>, 958 F.2d 92, 94 (5th Cir. 1992)</w:t>
        </w:r>
      </w:hyperlink>
      <w:r>
        <w:rPr>
          <w:rFonts w:ascii="arial" w:eastAsia="arial" w:hAnsi="arial" w:cs="arial"/>
          <w:b w:val="0"/>
          <w:i w:val="0"/>
          <w:strike w:val="0"/>
          <w:noProof w:val="0"/>
          <w:color w:val="000000"/>
          <w:position w:val="0"/>
          <w:sz w:val="20"/>
          <w:u w:val="none"/>
          <w:vertAlign w:val="baseline"/>
        </w:rPr>
        <w:t xml:space="preserve">. </w:t>
      </w:r>
      <w:bookmarkStart w:id="51" w:name="Bookmark_I693VRT228T4DX0040000400_2"/>
      <w:bookmarkEnd w:id="51"/>
      <w:r>
        <w:rPr>
          <w:rFonts w:ascii="arial" w:eastAsia="arial" w:hAnsi="arial" w:cs="arial"/>
          <w:b w:val="0"/>
          <w:i w:val="0"/>
          <w:strike w:val="0"/>
          <w:noProof w:val="0"/>
          <w:color w:val="000000"/>
          <w:position w:val="0"/>
          <w:sz w:val="20"/>
          <w:u w:val="none"/>
          <w:vertAlign w:val="baseline"/>
        </w:rPr>
        <w:t xml:space="preserve">The standard for holding a local government unit responsible under </w:t>
      </w:r>
      <w:hyperlink r:id="rId9"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requires that there be a custom or policy that caused the plaintiff to be subjected to the deprivation of a constitutional right. </w:t>
      </w:r>
      <w:bookmarkStart w:id="52" w:name="Bookmark_I693VRT22D6NXF0010000400"/>
      <w:bookmarkEnd w:id="52"/>
      <w:r>
        <w:rPr>
          <w:rFonts w:ascii="arial" w:eastAsia="arial" w:hAnsi="arial" w:cs="arial"/>
          <w:b w:val="0"/>
          <w:i/>
          <w:strike w:val="0"/>
          <w:noProof w:val="0"/>
          <w:color w:val="000000"/>
          <w:position w:val="0"/>
          <w:sz w:val="20"/>
          <w:u w:val="none"/>
          <w:vertAlign w:val="baseline"/>
        </w:rPr>
        <w:t xml:space="preserve">Id. </w:t>
      </w:r>
      <w:bookmarkStart w:id="53" w:name="Bookmark_I693VRT228T4DX0030000400"/>
      <w:bookmarkEnd w:id="53"/>
      <w:hyperlink r:id="rId20" w:history="1">
        <w:r>
          <w:rPr>
            <w:rFonts w:ascii="arial" w:eastAsia="arial" w:hAnsi="arial" w:cs="arial"/>
            <w:b w:val="0"/>
            <w:i/>
            <w:strike w:val="0"/>
            <w:noProof w:val="0"/>
            <w:color w:val="0077CC"/>
            <w:position w:val="0"/>
            <w:sz w:val="20"/>
            <w:u w:val="single"/>
            <w:vertAlign w:val="baseline"/>
          </w:rPr>
          <w:t>Collins v. City of Harker Heights, Tex.</w:t>
        </w:r>
      </w:hyperlink>
      <w:hyperlink r:id="rId20" w:history="1">
        <w:r>
          <w:rPr>
            <w:rFonts w:ascii="arial" w:eastAsia="arial" w:hAnsi="arial" w:cs="arial"/>
            <w:b w:val="0"/>
            <w:i/>
            <w:strike w:val="0"/>
            <w:noProof w:val="0"/>
            <w:color w:val="0077CC"/>
            <w:position w:val="0"/>
            <w:sz w:val="20"/>
            <w:u w:val="single"/>
            <w:vertAlign w:val="baseline"/>
          </w:rPr>
          <w:t>, 916 F.2d 284, 286 (5th Cir. 1990)</w:t>
        </w:r>
      </w:hyperlink>
      <w:r>
        <w:rPr>
          <w:rFonts w:ascii="arial" w:eastAsia="arial" w:hAnsi="arial" w:cs="arial"/>
          <w:b w:val="0"/>
          <w:i w:val="0"/>
          <w:strike w:val="0"/>
          <w:noProof w:val="0"/>
          <w:color w:val="000000"/>
          <w:position w:val="0"/>
          <w:sz w:val="20"/>
          <w:u w:val="none"/>
          <w:vertAlign w:val="baseline"/>
        </w:rPr>
        <w:t xml:space="preserve">. </w:t>
      </w:r>
      <w:bookmarkStart w:id="54" w:name="Bookmark_I693VRT22D6NXF0010000400_2"/>
      <w:bookmarkEnd w:id="54"/>
      <w:r>
        <w:rPr>
          <w:rFonts w:ascii="arial" w:eastAsia="arial" w:hAnsi="arial" w:cs="arial"/>
          <w:b w:val="0"/>
          <w:i w:val="0"/>
          <w:strike w:val="0"/>
          <w:noProof w:val="0"/>
          <w:color w:val="000000"/>
          <w:position w:val="0"/>
          <w:sz w:val="20"/>
          <w:u w:val="none"/>
          <w:vertAlign w:val="baseline"/>
        </w:rPr>
        <w:t xml:space="preserve">Thus, McLennan County would violate an individual's rights only through implementation of a formally declared policy, such as direct orders or promulgations, or through informal acceptance of a course of action by its employees based upon custom or usage. </w:t>
      </w:r>
      <w:bookmarkStart w:id="55" w:name="Bookmark_I693VRT228T4DX0050000400"/>
      <w:bookmarkEnd w:id="55"/>
      <w:hyperlink r:id="rId21" w:history="1">
        <w:r>
          <w:rPr>
            <w:rFonts w:ascii="arial" w:eastAsia="arial" w:hAnsi="arial" w:cs="arial"/>
            <w:b w:val="0"/>
            <w:i/>
            <w:strike w:val="0"/>
            <w:noProof w:val="0"/>
            <w:color w:val="0077CC"/>
            <w:position w:val="0"/>
            <w:sz w:val="20"/>
            <w:u w:val="single"/>
            <w:vertAlign w:val="baseline"/>
          </w:rPr>
          <w:t>Bennett v. City of Slidell</w:t>
        </w:r>
      </w:hyperlink>
      <w:hyperlink r:id="rId21" w:history="1">
        <w:r>
          <w:rPr>
            <w:rFonts w:ascii="arial" w:eastAsia="arial" w:hAnsi="arial" w:cs="arial"/>
            <w:b w:val="0"/>
            <w:i/>
            <w:strike w:val="0"/>
            <w:noProof w:val="0"/>
            <w:color w:val="0077CC"/>
            <w:position w:val="0"/>
            <w:sz w:val="20"/>
            <w:u w:val="single"/>
            <w:vertAlign w:val="baseline"/>
          </w:rPr>
          <w:t>, 728 F.2d 762, 768 (5th Cir. 1984)</w:t>
        </w:r>
      </w:hyperlink>
      <w:r>
        <w:rPr>
          <w:rFonts w:ascii="arial" w:eastAsia="arial" w:hAnsi="arial" w:cs="arial"/>
          <w:b w:val="0"/>
          <w:i w:val="0"/>
          <w:strike w:val="0"/>
          <w:noProof w:val="0"/>
          <w:color w:val="000000"/>
          <w:position w:val="0"/>
          <w:sz w:val="20"/>
          <w:u w:val="none"/>
          <w:vertAlign w:val="baseline"/>
        </w:rPr>
        <w:t>. Plaintiff fails to allege that any custom or policy of McLennan County deprived him of a constitutional right. Accordingly, to the extent Plaintiff brings any claims against Defendant in his official capacity or against McLennan County, those claims are dismissed.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val="0"/>
          <w:i w:val="0"/>
          <w:strike w:val="0"/>
          <w:noProof w:val="0"/>
          <w:color w:val="000000"/>
          <w:position w:val="0"/>
          <w:sz w:val="20"/>
          <w:u w:val="single"/>
          <w:vertAlign w:val="baseline"/>
        </w:rPr>
        <w:t>Qualified Immunity</w:t>
      </w:r>
    </w:p>
    <w:p>
      <w:pPr>
        <w:keepNext w:val="0"/>
        <w:spacing w:before="240" w:after="0" w:line="260" w:lineRule="atLeast"/>
        <w:ind w:left="0" w:right="0" w:firstLine="0"/>
        <w:jc w:val="both"/>
      </w:pPr>
      <w:bookmarkStart w:id="56" w:name="Bookmark_para_20"/>
      <w:bookmarkEnd w:id="56"/>
      <w:bookmarkStart w:id="57" w:name="Bookmark_I693VRT22D6NXF0030000400"/>
      <w:bookmarkEnd w:id="57"/>
      <w:r>
        <w:rPr>
          <w:rFonts w:ascii="arial" w:eastAsia="arial" w:hAnsi="arial" w:cs="arial"/>
          <w:b w:val="0"/>
          <w:i w:val="0"/>
          <w:strike w:val="0"/>
          <w:noProof w:val="0"/>
          <w:color w:val="000000"/>
          <w:position w:val="0"/>
          <w:sz w:val="20"/>
          <w:u w:val="none"/>
          <w:vertAlign w:val="baseline"/>
        </w:rPr>
        <w:t>A government official performing a discretionary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function is entitled to qualified immunity unless his actions violate a clearly established right of which a reasonable person would have known. </w:t>
      </w:r>
      <w:bookmarkStart w:id="58" w:name="Bookmark_I693VRT22D6NXF0050000400"/>
      <w:bookmarkEnd w:id="58"/>
      <w:bookmarkStart w:id="59" w:name="Bookmark_I693VRT22D6NXF0020000400"/>
      <w:bookmarkEnd w:id="59"/>
      <w:hyperlink r:id="rId22" w:history="1">
        <w:r>
          <w:rPr>
            <w:rFonts w:ascii="arial" w:eastAsia="arial" w:hAnsi="arial" w:cs="arial"/>
            <w:b w:val="0"/>
            <w:i/>
            <w:strike w:val="0"/>
            <w:noProof w:val="0"/>
            <w:color w:val="0077CC"/>
            <w:position w:val="0"/>
            <w:sz w:val="20"/>
            <w:u w:val="single"/>
            <w:vertAlign w:val="baseline"/>
          </w:rPr>
          <w:t>Harlow v. Fitzgerald</w:t>
        </w:r>
      </w:hyperlink>
      <w:hyperlink r:id="rId22"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A plaintiff seeking to overcome qualified immunity must plead specific facts that allow the court to draw the reasonable inference that the defendant is liable for the harm he has alleged. </w:t>
      </w:r>
      <w:bookmarkStart w:id="60" w:name="Bookmark_I693VRT22D6NXF0050000400_2"/>
      <w:bookmarkEnd w:id="60"/>
      <w:r>
        <w:rPr>
          <w:rFonts w:ascii="arial" w:eastAsia="arial" w:hAnsi="arial" w:cs="arial"/>
          <w:b w:val="0"/>
          <w:i/>
          <w:strike w:val="0"/>
          <w:noProof w:val="0"/>
          <w:color w:val="000000"/>
          <w:position w:val="0"/>
          <w:sz w:val="20"/>
          <w:u w:val="none"/>
          <w:vertAlign w:val="baseline"/>
        </w:rPr>
        <w:t xml:space="preserve">See </w:t>
      </w:r>
      <w:bookmarkStart w:id="61" w:name="Bookmark_I693VRT22D6NXF0040000400"/>
      <w:bookmarkEnd w:id="61"/>
      <w:hyperlink r:id="rId23" w:history="1">
        <w:r>
          <w:rPr>
            <w:rFonts w:ascii="arial" w:eastAsia="arial" w:hAnsi="arial" w:cs="arial"/>
            <w:b w:val="0"/>
            <w:i/>
            <w:strike w:val="0"/>
            <w:noProof w:val="0"/>
            <w:color w:val="0077CC"/>
            <w:position w:val="0"/>
            <w:sz w:val="20"/>
            <w:u w:val="single"/>
            <w:vertAlign w:val="baseline"/>
          </w:rPr>
          <w:t>Bosarge v. Miss. Bureau of Narcotics</w:t>
        </w:r>
      </w:hyperlink>
      <w:hyperlink r:id="rId23" w:history="1">
        <w:r>
          <w:rPr>
            <w:rFonts w:ascii="arial" w:eastAsia="arial" w:hAnsi="arial" w:cs="arial"/>
            <w:b w:val="0"/>
            <w:i/>
            <w:strike w:val="0"/>
            <w:noProof w:val="0"/>
            <w:color w:val="0077CC"/>
            <w:position w:val="0"/>
            <w:sz w:val="20"/>
            <w:u w:val="single"/>
            <w:vertAlign w:val="baseline"/>
          </w:rPr>
          <w:t>, 796 F.3d 435, 439 (5th Cir. 2015)</w:t>
        </w:r>
      </w:hyperlink>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00" w:after="0" w:line="260" w:lineRule="atLeast"/>
        <w:ind w:left="0" w:right="0" w:firstLine="0"/>
        <w:jc w:val="both"/>
      </w:pPr>
      <w:bookmarkStart w:id="62" w:name="Bookmark_para_21"/>
      <w:bookmarkEnd w:id="62"/>
      <w:r>
        <w:rPr>
          <w:rFonts w:ascii="arial" w:eastAsia="arial" w:hAnsi="arial" w:cs="arial"/>
          <w:b w:val="0"/>
          <w:i w:val="0"/>
          <w:strike w:val="0"/>
          <w:noProof w:val="0"/>
          <w:color w:val="000000"/>
          <w:position w:val="0"/>
          <w:sz w:val="20"/>
          <w:u w:val="none"/>
          <w:vertAlign w:val="baseline"/>
        </w:rPr>
        <w:t xml:space="preserve">Plaintiff contends that Atkinson violated the McLennan County Jail policy regarding cavity searches and Plaintiff's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against unreasonable search and seizure. </w:t>
      </w:r>
      <w:bookmarkStart w:id="63" w:name="Bookmark_I693VRT32D6NXK0020000400"/>
      <w:bookmarkEnd w:id="63"/>
      <w:r>
        <w:rPr>
          <w:rFonts w:ascii="arial" w:eastAsia="arial" w:hAnsi="arial" w:cs="arial"/>
          <w:b w:val="0"/>
          <w:i w:val="0"/>
          <w:strike w:val="0"/>
          <w:noProof w:val="0"/>
          <w:color w:val="000000"/>
          <w:position w:val="0"/>
          <w:sz w:val="20"/>
          <w:u w:val="none"/>
          <w:vertAlign w:val="baseline"/>
        </w:rPr>
        <w:t xml:space="preserve">As an initial matter, to the extent Plaintiff complains Defendant failed to follow McLennan County Jail policies with regard to strip searches and cavity searches, he fails to state a constitutional violation. The mere allegation that prison policies were not followed does not state a claim. </w:t>
      </w:r>
      <w:bookmarkStart w:id="64" w:name="Bookmark_I693VRT32D6NXK0010000400"/>
      <w:bookmarkEnd w:id="64"/>
      <w:hyperlink r:id="rId24" w:history="1">
        <w:r>
          <w:rPr>
            <w:rFonts w:ascii="arial" w:eastAsia="arial" w:hAnsi="arial" w:cs="arial"/>
            <w:b w:val="0"/>
            <w:i/>
            <w:strike w:val="0"/>
            <w:noProof w:val="0"/>
            <w:color w:val="0077CC"/>
            <w:position w:val="0"/>
            <w:sz w:val="20"/>
            <w:u w:val="single"/>
            <w:vertAlign w:val="baseline"/>
          </w:rPr>
          <w:t>Myers v. Klevenhagen</w:t>
        </w:r>
      </w:hyperlink>
      <w:hyperlink r:id="rId24" w:history="1">
        <w:r>
          <w:rPr>
            <w:rFonts w:ascii="arial" w:eastAsia="arial" w:hAnsi="arial" w:cs="arial"/>
            <w:b w:val="0"/>
            <w:i/>
            <w:strike w:val="0"/>
            <w:noProof w:val="0"/>
            <w:color w:val="0077CC"/>
            <w:position w:val="0"/>
            <w:sz w:val="20"/>
            <w:u w:val="single"/>
            <w:vertAlign w:val="baseline"/>
          </w:rPr>
          <w:t>, 97 F.3d 91, 94 (5th Cir. 1996)</w:t>
        </w:r>
      </w:hyperlink>
      <w:r>
        <w:rPr>
          <w:rFonts w:ascii="arial" w:eastAsia="arial" w:hAnsi="arial" w:cs="arial"/>
          <w:b w:val="0"/>
          <w:i w:val="0"/>
          <w:strike w:val="0"/>
          <w:noProof w:val="0"/>
          <w:color w:val="000000"/>
          <w:position w:val="0"/>
          <w:sz w:val="20"/>
          <w:u w:val="none"/>
          <w:vertAlign w:val="baseline"/>
        </w:rPr>
        <w:t xml:space="preserve"> (per curiam). </w:t>
      </w:r>
      <w:bookmarkStart w:id="65" w:name="Bookmark_I693VRT32D6NXK0040000400"/>
      <w:bookmarkEnd w:id="65"/>
      <w:r>
        <w:rPr>
          <w:rFonts w:ascii="arial" w:eastAsia="arial" w:hAnsi="arial" w:cs="arial"/>
          <w:b w:val="0"/>
          <w:i w:val="0"/>
          <w:strike w:val="0"/>
          <w:noProof w:val="0"/>
          <w:color w:val="000000"/>
          <w:position w:val="0"/>
          <w:sz w:val="20"/>
          <w:u w:val="none"/>
          <w:vertAlign w:val="baseline"/>
        </w:rPr>
        <w:t xml:space="preserve">Furthermore, the </w:t>
      </w:r>
      <w:hyperlink r:id="rId25" w:history="1">
        <w:r>
          <w:rPr>
            <w:rFonts w:ascii="arial" w:eastAsia="arial" w:hAnsi="arial" w:cs="arial"/>
            <w:b w:val="0"/>
            <w:i/>
            <w:strike w:val="0"/>
            <w:noProof w:val="0"/>
            <w:color w:val="0077CC"/>
            <w:position w:val="0"/>
            <w:sz w:val="20"/>
            <w:u w:val="single"/>
            <w:vertAlign w:val="baseline"/>
          </w:rPr>
          <w:t>Prison Litigation Reform Act, 42 U.S.C. § 1997e(e)</w:t>
        </w:r>
      </w:hyperlink>
      <w:r>
        <w:rPr>
          <w:rFonts w:ascii="arial" w:eastAsia="arial" w:hAnsi="arial" w:cs="arial"/>
          <w:b w:val="0"/>
          <w:i w:val="0"/>
          <w:strike w:val="0"/>
          <w:noProof w:val="0"/>
          <w:color w:val="000000"/>
          <w:position w:val="0"/>
          <w:sz w:val="20"/>
          <w:u w:val="none"/>
          <w:vertAlign w:val="baseline"/>
        </w:rPr>
        <w:t xml:space="preserve">, bars recovery of damages for mental anguish absent a showing that the plaintiff suffered a physical injury while in custody. The Fifth Circuit has held that allegations of "mental anguish, emotional distress, psychological harm, and insomnia" are barred by </w:t>
      </w:r>
      <w:hyperlink r:id="rId25" w:history="1">
        <w:r>
          <w:rPr>
            <w:rFonts w:ascii="arial" w:eastAsia="arial" w:hAnsi="arial" w:cs="arial"/>
            <w:b w:val="0"/>
            <w:i/>
            <w:strike w:val="0"/>
            <w:noProof w:val="0"/>
            <w:color w:val="0077CC"/>
            <w:position w:val="0"/>
            <w:sz w:val="20"/>
            <w:u w:val="single"/>
            <w:vertAlign w:val="baseline"/>
          </w:rPr>
          <w:t>§ 1997e(e)</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66" w:name="Bookmark_I693VRT32D6NXK0030000400"/>
      <w:bookmarkEnd w:id="66"/>
      <w:hyperlink r:id="rId26" w:history="1">
        <w:r>
          <w:rPr>
            <w:rFonts w:ascii="arial" w:eastAsia="arial" w:hAnsi="arial" w:cs="arial"/>
            <w:b w:val="0"/>
            <w:i/>
            <w:strike w:val="0"/>
            <w:noProof w:val="0"/>
            <w:color w:val="0077CC"/>
            <w:position w:val="0"/>
            <w:sz w:val="20"/>
            <w:u w:val="single"/>
            <w:vertAlign w:val="baseline"/>
          </w:rPr>
          <w:t>Geiger v. Jowers</w:t>
        </w:r>
      </w:hyperlink>
      <w:hyperlink r:id="rId26" w:history="1">
        <w:r>
          <w:rPr>
            <w:rFonts w:ascii="arial" w:eastAsia="arial" w:hAnsi="arial" w:cs="arial"/>
            <w:b w:val="0"/>
            <w:i/>
            <w:strike w:val="0"/>
            <w:noProof w:val="0"/>
            <w:color w:val="0077CC"/>
            <w:position w:val="0"/>
            <w:sz w:val="20"/>
            <w:u w:val="single"/>
            <w:vertAlign w:val="baseline"/>
          </w:rPr>
          <w:t>, 404 F.3d 371, 374 (5th Cir. 2005)</w:t>
        </w:r>
      </w:hyperlink>
      <w:r>
        <w:rPr>
          <w:rFonts w:ascii="arial" w:eastAsia="arial" w:hAnsi="arial" w:cs="arial"/>
          <w:b w:val="0"/>
          <w:i w:val="0"/>
          <w:strike w:val="0"/>
          <w:noProof w:val="0"/>
          <w:color w:val="000000"/>
          <w:position w:val="0"/>
          <w:sz w:val="20"/>
          <w:u w:val="none"/>
          <w:vertAlign w:val="baseline"/>
        </w:rPr>
        <w:t>. Plaintiff does not allege any physical injury, therefore any claims for damages against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Defendant for mental and emotional distress are barred.</w:t>
      </w:r>
    </w:p>
    <w:p>
      <w:pPr>
        <w:keepNext w:val="0"/>
        <w:spacing w:before="240" w:after="0" w:line="260" w:lineRule="atLeast"/>
        <w:ind w:left="0" w:right="0" w:firstLine="0"/>
        <w:jc w:val="both"/>
      </w:pPr>
      <w:bookmarkStart w:id="67" w:name="Bookmark_para_22"/>
      <w:bookmarkEnd w:id="67"/>
      <w:bookmarkStart w:id="68" w:name="Bookmark_I693VRT428T4F90010000400"/>
      <w:bookmarkEnd w:id="68"/>
      <w:r>
        <w:rPr>
          <w:rFonts w:ascii="arial" w:eastAsia="arial" w:hAnsi="arial" w:cs="arial"/>
          <w:b w:val="0"/>
          <w:i w:val="0"/>
          <w:strike w:val="0"/>
          <w:noProof w:val="0"/>
          <w:color w:val="000000"/>
          <w:position w:val="0"/>
          <w:sz w:val="20"/>
          <w:u w:val="none"/>
          <w:vertAlign w:val="baseline"/>
        </w:rPr>
        <w:t xml:space="preserve">Plaintiff's claim against Defendant regarding the alleged sexual assault also fails to state a constitutional violation. Sexual assault by a prison official upon an inmate can constitute cruel and unusual punishment under the </w:t>
      </w:r>
      <w:hyperlink r:id="rId2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bookmarkStart w:id="69" w:name="Bookmark_I693VRT428T4F90030000400"/>
      <w:bookmarkEnd w:id="69"/>
      <w:bookmarkStart w:id="70" w:name="Bookmark_I693VRT32D6NXK0050000400"/>
      <w:bookmarkEnd w:id="70"/>
      <w:hyperlink r:id="rId28" w:history="1">
        <w:r>
          <w:rPr>
            <w:rFonts w:ascii="arial" w:eastAsia="arial" w:hAnsi="arial" w:cs="arial"/>
            <w:b w:val="0"/>
            <w:i/>
            <w:strike w:val="0"/>
            <w:noProof w:val="0"/>
            <w:color w:val="0077CC"/>
            <w:position w:val="0"/>
            <w:sz w:val="20"/>
            <w:u w:val="single"/>
            <w:vertAlign w:val="baseline"/>
          </w:rPr>
          <w:t>Burns v. United States</w:t>
        </w:r>
      </w:hyperlink>
      <w:hyperlink r:id="rId28" w:history="1">
        <w:r>
          <w:rPr>
            <w:rFonts w:ascii="arial" w:eastAsia="arial" w:hAnsi="arial" w:cs="arial"/>
            <w:b w:val="0"/>
            <w:i/>
            <w:strike w:val="0"/>
            <w:noProof w:val="0"/>
            <w:color w:val="0077CC"/>
            <w:position w:val="0"/>
            <w:sz w:val="20"/>
            <w:u w:val="single"/>
            <w:vertAlign w:val="baseline"/>
          </w:rPr>
          <w:t>, 265 F.3d 1059, 2001 U.S. App. LEXIS 17760 at *1 (5th Cir. 2001)</w:t>
        </w:r>
      </w:hyperlink>
      <w:r>
        <w:rPr>
          <w:rFonts w:ascii="arial" w:eastAsia="arial" w:hAnsi="arial" w:cs="arial"/>
          <w:b w:val="0"/>
          <w:i w:val="0"/>
          <w:strike w:val="0"/>
          <w:noProof w:val="0"/>
          <w:color w:val="000000"/>
          <w:position w:val="0"/>
          <w:sz w:val="20"/>
          <w:u w:val="none"/>
          <w:vertAlign w:val="baseline"/>
        </w:rPr>
        <w:t xml:space="preserve"> (per curiam). </w:t>
      </w:r>
      <w:bookmarkStart w:id="71" w:name="Bookmark_I693VRT428T4F90030000400_2"/>
      <w:bookmarkEnd w:id="71"/>
      <w:r>
        <w:rPr>
          <w:rFonts w:ascii="arial" w:eastAsia="arial" w:hAnsi="arial" w:cs="arial"/>
          <w:b w:val="0"/>
          <w:i w:val="0"/>
          <w:strike w:val="0"/>
          <w:noProof w:val="0"/>
          <w:color w:val="000000"/>
          <w:position w:val="0"/>
          <w:sz w:val="20"/>
          <w:u w:val="none"/>
          <w:vertAlign w:val="baseline"/>
        </w:rPr>
        <w:t xml:space="preserve">However, allegations of sexual or non-consensual touching by a prison official may not be objectively serious enough to show harm of federal constitutional proportions. </w:t>
      </w:r>
      <w:r>
        <w:rPr>
          <w:rFonts w:ascii="arial" w:eastAsia="arial" w:hAnsi="arial" w:cs="arial"/>
          <w:b w:val="0"/>
          <w:i/>
          <w:strike w:val="0"/>
          <w:noProof w:val="0"/>
          <w:color w:val="000000"/>
          <w:position w:val="0"/>
          <w:sz w:val="20"/>
          <w:u w:val="none"/>
          <w:vertAlign w:val="baseline"/>
        </w:rPr>
        <w:t xml:space="preserve">See </w:t>
      </w:r>
      <w:bookmarkStart w:id="72" w:name="Bookmark_I693VRT428T4F90020000400"/>
      <w:bookmarkEnd w:id="72"/>
      <w:hyperlink r:id="rId29" w:history="1">
        <w:r>
          <w:rPr>
            <w:rFonts w:ascii="arial" w:eastAsia="arial" w:hAnsi="arial" w:cs="arial"/>
            <w:b w:val="0"/>
            <w:i/>
            <w:strike w:val="0"/>
            <w:noProof w:val="0"/>
            <w:color w:val="0077CC"/>
            <w:position w:val="0"/>
            <w:sz w:val="20"/>
            <w:u w:val="single"/>
            <w:vertAlign w:val="baseline"/>
          </w:rPr>
          <w:t>Pryer v. Walker</w:t>
        </w:r>
      </w:hyperlink>
      <w:hyperlink r:id="rId29" w:history="1">
        <w:r>
          <w:rPr>
            <w:rFonts w:ascii="arial" w:eastAsia="arial" w:hAnsi="arial" w:cs="arial"/>
            <w:b w:val="0"/>
            <w:i/>
            <w:strike w:val="0"/>
            <w:noProof w:val="0"/>
            <w:color w:val="0077CC"/>
            <w:position w:val="0"/>
            <w:sz w:val="20"/>
            <w:u w:val="single"/>
            <w:vertAlign w:val="baseline"/>
          </w:rPr>
          <w:t>, 385 F. App'x 417, 418 (5th Cir. 2010)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3" w:name="Bookmark_I693VRT428T4F90040000400"/>
      <w:bookmarkEnd w:id="73"/>
      <w:r>
        <w:rPr>
          <w:rFonts w:ascii="arial" w:eastAsia="arial" w:hAnsi="arial" w:cs="arial"/>
          <w:b w:val="0"/>
          <w:i/>
          <w:strike w:val="0"/>
          <w:noProof w:val="0"/>
          <w:color w:val="000000"/>
          <w:position w:val="0"/>
          <w:sz w:val="20"/>
          <w:u w:val="none"/>
          <w:vertAlign w:val="baseline"/>
        </w:rPr>
        <w:t>Allen v. Johnson</w:t>
      </w:r>
      <w:r>
        <w:rPr>
          <w:rFonts w:ascii="arial" w:eastAsia="arial" w:hAnsi="arial" w:cs="arial"/>
          <w:b w:val="0"/>
          <w:i/>
          <w:strike w:val="0"/>
          <w:noProof w:val="0"/>
          <w:color w:val="000000"/>
          <w:position w:val="0"/>
          <w:sz w:val="20"/>
          <w:u w:val="none"/>
          <w:vertAlign w:val="baseline"/>
        </w:rPr>
        <w:t>, 66 Fed. Appx. 525, 2003 WL 21017401 at *1 (5th Cir. 2003)</w:t>
      </w:r>
      <w:r>
        <w:rPr>
          <w:rFonts w:ascii="arial" w:eastAsia="arial" w:hAnsi="arial" w:cs="arial"/>
          <w:b w:val="0"/>
          <w:i w:val="0"/>
          <w:strike w:val="0"/>
          <w:noProof w:val="0"/>
          <w:color w:val="000000"/>
          <w:position w:val="0"/>
          <w:sz w:val="20"/>
          <w:u w:val="none"/>
          <w:vertAlign w:val="baseline"/>
        </w:rPr>
        <w:t xml:space="preserve"> (per curiam) (claim of sexual abuse insufficient where prison guard touched inmate in a sexual manner during routine pat-down searches); </w:t>
      </w:r>
      <w:bookmarkStart w:id="74" w:name="Bookmark_I693VRT52HM6X00010000400"/>
      <w:bookmarkEnd w:id="74"/>
      <w:hyperlink r:id="rId30" w:history="1">
        <w:r>
          <w:rPr>
            <w:rFonts w:ascii="arial" w:eastAsia="arial" w:hAnsi="arial" w:cs="arial"/>
            <w:b w:val="0"/>
            <w:i/>
            <w:strike w:val="0"/>
            <w:noProof w:val="0"/>
            <w:color w:val="0077CC"/>
            <w:position w:val="0"/>
            <w:sz w:val="20"/>
            <w:u w:val="single"/>
            <w:vertAlign w:val="baseline"/>
          </w:rPr>
          <w:t>Brown v. Wilson</w:t>
        </w:r>
      </w:hyperlink>
      <w:hyperlink r:id="rId30" w:history="1">
        <w:r>
          <w:rPr>
            <w:rFonts w:ascii="arial" w:eastAsia="arial" w:hAnsi="arial" w:cs="arial"/>
            <w:b w:val="0"/>
            <w:i/>
            <w:strike w:val="0"/>
            <w:noProof w:val="0"/>
            <w:color w:val="0077CC"/>
            <w:position w:val="0"/>
            <w:sz w:val="20"/>
            <w:u w:val="single"/>
            <w:vertAlign w:val="baseline"/>
          </w:rPr>
          <w:t>, No. 5:10-CV-181, 2012 U.S. Dist. LEXIS 182729 at *8-9 (N.D. Tex. Apr. 30, 2012)</w:t>
        </w:r>
      </w:hyperlink>
      <w:r>
        <w:rPr>
          <w:rFonts w:ascii="arial" w:eastAsia="arial" w:hAnsi="arial" w:cs="arial"/>
          <w:b w:val="0"/>
          <w:i w:val="0"/>
          <w:strike w:val="0"/>
          <w:noProof w:val="0"/>
          <w:color w:val="000000"/>
          <w:position w:val="0"/>
          <w:sz w:val="20"/>
          <w:u w:val="none"/>
          <w:vertAlign w:val="baseline"/>
        </w:rPr>
        <w:t xml:space="preserve"> (claim that guard grabbed prisoner's buttocks and whispered sexual remarks was not severe enough to invoke </w:t>
      </w:r>
      <w:hyperlink r:id="rId27"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 (</w:t>
      </w:r>
      <w:r>
        <w:rPr>
          <w:rFonts w:ascii="arial" w:eastAsia="arial" w:hAnsi="arial" w:cs="arial"/>
          <w:b w:val="0"/>
          <w:i/>
          <w:strike w:val="0"/>
          <w:noProof w:val="0"/>
          <w:color w:val="000000"/>
          <w:position w:val="0"/>
          <w:sz w:val="20"/>
          <w:u w:val="none"/>
          <w:vertAlign w:val="baseline"/>
        </w:rPr>
        <w:t>report adopted as modified on other grounds</w:t>
      </w:r>
      <w:r>
        <w:rPr>
          <w:rFonts w:ascii="arial" w:eastAsia="arial" w:hAnsi="arial" w:cs="arial"/>
          <w:b w:val="0"/>
          <w:i w:val="0"/>
          <w:strike w:val="0"/>
          <w:noProof w:val="0"/>
          <w:color w:val="000000"/>
          <w:position w:val="0"/>
          <w:sz w:val="20"/>
          <w:u w:val="none"/>
          <w:vertAlign w:val="baseline"/>
        </w:rPr>
        <w:t xml:space="preserve">, </w:t>
      </w:r>
      <w:bookmarkStart w:id="75" w:name="Bookmark_I693VRT52HM6X00030000400"/>
      <w:bookmarkEnd w:id="75"/>
      <w:hyperlink r:id="rId31" w:history="1">
        <w:r>
          <w:rPr>
            <w:rFonts w:ascii="arial" w:eastAsia="arial" w:hAnsi="arial" w:cs="arial"/>
            <w:b w:val="0"/>
            <w:i/>
            <w:strike w:val="0"/>
            <w:noProof w:val="0"/>
            <w:color w:val="0077CC"/>
            <w:position w:val="0"/>
            <w:sz w:val="20"/>
            <w:u w:val="single"/>
            <w:vertAlign w:val="baseline"/>
          </w:rPr>
          <w:t>2012 U.S. Dist. LEXIS 182084 (N.D. Tex. Dec. 27,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 w:name="Bookmark_para_23"/>
      <w:bookmarkEnd w:id="76"/>
      <w:r>
        <w:rPr>
          <w:rFonts w:ascii="arial" w:eastAsia="arial" w:hAnsi="arial" w:cs="arial"/>
          <w:b w:val="0"/>
          <w:i w:val="0"/>
          <w:strike w:val="0"/>
          <w:noProof w:val="0"/>
          <w:color w:val="000000"/>
          <w:position w:val="0"/>
          <w:sz w:val="20"/>
          <w:u w:val="none"/>
          <w:vertAlign w:val="baseline"/>
        </w:rPr>
        <w:t>In this case, Plaintiff has alleged, at most, a touching or spreading of his buttocks incident to a strip search wherein he refused to comply with officer instructions. In addition, Plaintiff is unable to identify Defendant Atkinson as the officer who allegedly touched him. Defendant Atkinson presents undisputed summary judgment evidence that he did not ever touch Plaintiff's buttocks in any way. He also presents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undisputed evidence that, at no time, did he conduct a manual body cavity search on Plaintiff. </w:t>
      </w:r>
      <w:bookmarkStart w:id="77" w:name="Bookmark_I693VRT52D6NXY0010000400"/>
      <w:bookmarkEnd w:id="77"/>
      <w:r>
        <w:rPr>
          <w:rFonts w:ascii="arial" w:eastAsia="arial" w:hAnsi="arial" w:cs="arial"/>
          <w:b w:val="0"/>
          <w:i w:val="0"/>
          <w:strike w:val="0"/>
          <w:noProof w:val="0"/>
          <w:color w:val="000000"/>
          <w:position w:val="0"/>
          <w:sz w:val="20"/>
          <w:u w:val="none"/>
          <w:vertAlign w:val="baseline"/>
        </w:rPr>
        <w:t xml:space="preserve">Indeed, Atkinson attests that he has never conducted a manual body cavity search on any inmate. Plaintiff does not dispute this evidence. In short, Plaintiff "has not alleged sufficiently serious assaultive behavior or resulting injury to show a constitutional violation." </w:t>
      </w:r>
      <w:bookmarkStart w:id="78" w:name="Bookmark_I693VRT52HM6X00050000400"/>
      <w:bookmarkEnd w:id="78"/>
      <w:hyperlink r:id="rId29" w:history="1">
        <w:r>
          <w:rPr>
            <w:rFonts w:ascii="arial" w:eastAsia="arial" w:hAnsi="arial" w:cs="arial"/>
            <w:b w:val="0"/>
            <w:i/>
            <w:strike w:val="0"/>
            <w:noProof w:val="0"/>
            <w:color w:val="0077CC"/>
            <w:position w:val="0"/>
            <w:sz w:val="20"/>
            <w:u w:val="single"/>
            <w:vertAlign w:val="baseline"/>
          </w:rPr>
          <w:t>Pryer</w:t>
        </w:r>
      </w:hyperlink>
      <w:hyperlink r:id="rId29" w:history="1">
        <w:r>
          <w:rPr>
            <w:rFonts w:ascii="arial" w:eastAsia="arial" w:hAnsi="arial" w:cs="arial"/>
            <w:b w:val="0"/>
            <w:i/>
            <w:strike w:val="0"/>
            <w:noProof w:val="0"/>
            <w:color w:val="0077CC"/>
            <w:position w:val="0"/>
            <w:sz w:val="20"/>
            <w:u w:val="single"/>
            <w:vertAlign w:val="baseline"/>
          </w:rPr>
          <w:t>, 385 F. App'x at 418</w:t>
        </w:r>
      </w:hyperlink>
      <w:r>
        <w:rPr>
          <w:rFonts w:ascii="arial" w:eastAsia="arial" w:hAnsi="arial" w:cs="arial"/>
          <w:b w:val="0"/>
          <w:i w:val="0"/>
          <w:strike w:val="0"/>
          <w:noProof w:val="0"/>
          <w:color w:val="000000"/>
          <w:position w:val="0"/>
          <w:sz w:val="20"/>
          <w:u w:val="none"/>
          <w:vertAlign w:val="baseline"/>
        </w:rPr>
        <w:t xml:space="preserve"> (citing </w:t>
      </w:r>
      <w:bookmarkStart w:id="79" w:name="Bookmark_I693VRT52D6NXY0020000400"/>
      <w:bookmarkEnd w:id="79"/>
      <w:hyperlink r:id="rId32" w:history="1">
        <w:r>
          <w:rPr>
            <w:rFonts w:ascii="arial" w:eastAsia="arial" w:hAnsi="arial" w:cs="arial"/>
            <w:b w:val="0"/>
            <w:i/>
            <w:strike w:val="0"/>
            <w:noProof w:val="0"/>
            <w:color w:val="0077CC"/>
            <w:position w:val="0"/>
            <w:sz w:val="20"/>
            <w:u w:val="single"/>
            <w:vertAlign w:val="baseline"/>
          </w:rPr>
          <w:t>Boddie</w:t>
        </w:r>
      </w:hyperlink>
      <w:hyperlink r:id="rId32" w:history="1">
        <w:r>
          <w:rPr>
            <w:rFonts w:ascii="arial" w:eastAsia="arial" w:hAnsi="arial" w:cs="arial"/>
            <w:b w:val="0"/>
            <w:i/>
            <w:strike w:val="0"/>
            <w:noProof w:val="0"/>
            <w:color w:val="0077CC"/>
            <w:position w:val="0"/>
            <w:sz w:val="20"/>
            <w:u w:val="single"/>
            <w:vertAlign w:val="baseline"/>
          </w:rPr>
          <w:t>, 105 F.3d at 860-61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0" w:name="Bookmark_para_24"/>
      <w:bookmarkEnd w:id="80"/>
      <w:bookmarkStart w:id="81" w:name="Bookmark_I693VRT52D6NXY0050000400"/>
      <w:bookmarkEnd w:id="81"/>
      <w:bookmarkStart w:id="82" w:name="Bookmark_I693VRT52SF89H0020000400"/>
      <w:bookmarkEnd w:id="82"/>
      <w:r>
        <w:rPr>
          <w:rFonts w:ascii="arial" w:eastAsia="arial" w:hAnsi="arial" w:cs="arial"/>
          <w:b w:val="0"/>
          <w:i w:val="0"/>
          <w:strike w:val="0"/>
          <w:noProof w:val="0"/>
          <w:color w:val="000000"/>
          <w:position w:val="0"/>
          <w:sz w:val="20"/>
          <w:u w:val="none"/>
          <w:vertAlign w:val="baseline"/>
        </w:rPr>
        <w:t xml:space="preserve">To the extent Plaintiff contends that Atkinson conducted a body cavity search without justification, such allegations, if true, could plausibly be the cause of the violation of Plaintiff's Due Process rights. </w:t>
      </w:r>
      <w:bookmarkStart w:id="83" w:name="Bookmark_I693VRT628T4FR0010000400"/>
      <w:bookmarkEnd w:id="83"/>
      <w:bookmarkStart w:id="84" w:name="Bookmark_I693VRT52D6NXY0040000400"/>
      <w:bookmarkEnd w:id="84"/>
      <w:hyperlink r:id="rId33" w:history="1">
        <w:r>
          <w:rPr>
            <w:rFonts w:ascii="arial" w:eastAsia="arial" w:hAnsi="arial" w:cs="arial"/>
            <w:b w:val="0"/>
            <w:i/>
            <w:strike w:val="0"/>
            <w:noProof w:val="0"/>
            <w:color w:val="0077CC"/>
            <w:position w:val="0"/>
            <w:sz w:val="20"/>
            <w:u w:val="single"/>
            <w:vertAlign w:val="baseline"/>
          </w:rPr>
          <w:t>Estate of Henson</w:t>
        </w:r>
      </w:hyperlink>
      <w:hyperlink r:id="rId33" w:history="1">
        <w:r>
          <w:rPr>
            <w:rFonts w:ascii="arial" w:eastAsia="arial" w:hAnsi="arial" w:cs="arial"/>
            <w:b w:val="0"/>
            <w:i/>
            <w:strike w:val="0"/>
            <w:noProof w:val="0"/>
            <w:color w:val="0077CC"/>
            <w:position w:val="0"/>
            <w:sz w:val="20"/>
            <w:u w:val="single"/>
            <w:vertAlign w:val="baseline"/>
          </w:rPr>
          <w:t>, 795 F.3d 456, 468 (5th Cir. 2015)</w:t>
        </w:r>
      </w:hyperlink>
      <w:r>
        <w:rPr>
          <w:rFonts w:ascii="arial" w:eastAsia="arial" w:hAnsi="arial" w:cs="arial"/>
          <w:b w:val="0"/>
          <w:i w:val="0"/>
          <w:strike w:val="0"/>
          <w:noProof w:val="0"/>
          <w:color w:val="000000"/>
          <w:position w:val="0"/>
          <w:sz w:val="20"/>
          <w:u w:val="none"/>
          <w:vertAlign w:val="baseline"/>
        </w:rPr>
        <w:t xml:space="preserve">. </w:t>
      </w:r>
      <w:bookmarkStart w:id="85" w:name="Bookmark_I693VRT628T4FR0030000400"/>
      <w:bookmarkEnd w:id="85"/>
      <w:r>
        <w:rPr>
          <w:rFonts w:ascii="arial" w:eastAsia="arial" w:hAnsi="arial" w:cs="arial"/>
          <w:b w:val="0"/>
          <w:i w:val="0"/>
          <w:strike w:val="0"/>
          <w:noProof w:val="0"/>
          <w:color w:val="000000"/>
          <w:position w:val="0"/>
          <w:sz w:val="20"/>
          <w:u w:val="none"/>
          <w:vertAlign w:val="baseline"/>
        </w:rPr>
        <w:t xml:space="preserve">"The need for a particular search must be balanced against the resulting invasion of personal rights." </w:t>
      </w:r>
      <w:bookmarkStart w:id="86" w:name="Bookmark_I693VRT52SF89H0010000400"/>
      <w:bookmarkEnd w:id="86"/>
      <w:hyperlink r:id="rId34" w:history="1">
        <w:r>
          <w:rPr>
            <w:rFonts w:ascii="arial" w:eastAsia="arial" w:hAnsi="arial" w:cs="arial"/>
            <w:b w:val="0"/>
            <w:i/>
            <w:strike w:val="0"/>
            <w:noProof w:val="0"/>
            <w:color w:val="0077CC"/>
            <w:position w:val="0"/>
            <w:sz w:val="20"/>
            <w:u w:val="single"/>
            <w:vertAlign w:val="baseline"/>
          </w:rPr>
          <w:t>Florence v. Bd. of Chosen Freeholders</w:t>
        </w:r>
      </w:hyperlink>
      <w:hyperlink r:id="rId34" w:history="1">
        <w:r>
          <w:rPr>
            <w:rFonts w:ascii="arial" w:eastAsia="arial" w:hAnsi="arial" w:cs="arial"/>
            <w:b w:val="0"/>
            <w:i/>
            <w:strike w:val="0"/>
            <w:noProof w:val="0"/>
            <w:color w:val="0077CC"/>
            <w:position w:val="0"/>
            <w:sz w:val="20"/>
            <w:u w:val="single"/>
            <w:vertAlign w:val="baseline"/>
          </w:rPr>
          <w:t>, 566 U.S. 318, 327, 132 S. Ct. 1510, 182 L. Ed. 2d 566 (2011)</w:t>
        </w:r>
      </w:hyperlink>
      <w:r>
        <w:rPr>
          <w:rFonts w:ascii="arial" w:eastAsia="arial" w:hAnsi="arial" w:cs="arial"/>
          <w:b w:val="0"/>
          <w:i w:val="0"/>
          <w:strike w:val="0"/>
          <w:noProof w:val="0"/>
          <w:color w:val="000000"/>
          <w:position w:val="0"/>
          <w:sz w:val="20"/>
          <w:u w:val="none"/>
          <w:vertAlign w:val="baseline"/>
        </w:rPr>
        <w:t xml:space="preserve"> (citing </w:t>
      </w:r>
      <w:bookmarkStart w:id="87" w:name="Bookmark_I693VRT52SF89H0030000400"/>
      <w:bookmarkEnd w:id="87"/>
      <w:hyperlink r:id="rId35" w:history="1">
        <w:r>
          <w:rPr>
            <w:rFonts w:ascii="arial" w:eastAsia="arial" w:hAnsi="arial" w:cs="arial"/>
            <w:b w:val="0"/>
            <w:i/>
            <w:strike w:val="0"/>
            <w:noProof w:val="0"/>
            <w:color w:val="0077CC"/>
            <w:position w:val="0"/>
            <w:sz w:val="20"/>
            <w:u w:val="single"/>
            <w:vertAlign w:val="baseline"/>
          </w:rPr>
          <w:t>Bell v. Wolfish</w:t>
        </w:r>
      </w:hyperlink>
      <w:hyperlink r:id="rId35" w:history="1">
        <w:r>
          <w:rPr>
            <w:rFonts w:ascii="arial" w:eastAsia="arial" w:hAnsi="arial" w:cs="arial"/>
            <w:b w:val="0"/>
            <w:i/>
            <w:strike w:val="0"/>
            <w:noProof w:val="0"/>
            <w:color w:val="0077CC"/>
            <w:position w:val="0"/>
            <w:sz w:val="20"/>
            <w:u w:val="single"/>
            <w:vertAlign w:val="baseline"/>
          </w:rPr>
          <w:t>, 441 U.S. 520, 558, 99 S. Ct. 1861, 60 L. Ed. 2d 447 (1979)</w:t>
        </w:r>
      </w:hyperlink>
      <w:r>
        <w:rPr>
          <w:rFonts w:ascii="arial" w:eastAsia="arial" w:hAnsi="arial" w:cs="arial"/>
          <w:b w:val="0"/>
          <w:i w:val="0"/>
          <w:strike w:val="0"/>
          <w:noProof w:val="0"/>
          <w:color w:val="000000"/>
          <w:position w:val="0"/>
          <w:sz w:val="20"/>
          <w:u w:val="none"/>
          <w:vertAlign w:val="baseline"/>
        </w:rPr>
        <w:t xml:space="preserve">). </w:t>
      </w:r>
      <w:bookmarkStart w:id="88" w:name="Bookmark_I693VRT628T4FR0030000400_2"/>
      <w:bookmarkEnd w:id="88"/>
      <w:bookmarkStart w:id="89" w:name="Bookmark_I693VRT628T4FR0010000400_2"/>
      <w:bookmarkEnd w:id="89"/>
      <w:r>
        <w:rPr>
          <w:rFonts w:ascii="arial" w:eastAsia="arial" w:hAnsi="arial" w:cs="arial"/>
          <w:b w:val="0"/>
          <w:i w:val="0"/>
          <w:strike w:val="0"/>
          <w:noProof w:val="0"/>
          <w:color w:val="000000"/>
          <w:position w:val="0"/>
          <w:sz w:val="20"/>
          <w:u w:val="none"/>
          <w:vertAlign w:val="baseline"/>
        </w:rPr>
        <w:t xml:space="preserve">"Correctional officials have a legitimate interest, indeed a responsibility, to ensure that jails are not made less secure by reason of what new detainees may carry in or on their bodies." </w:t>
      </w:r>
      <w:bookmarkStart w:id="90" w:name="Bookmark_I693VRT52SF89H0050000400"/>
      <w:bookmarkEnd w:id="90"/>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322</w:t>
        </w:r>
      </w:hyperlink>
      <w:r>
        <w:rPr>
          <w:rFonts w:ascii="arial" w:eastAsia="arial" w:hAnsi="arial" w:cs="arial"/>
          <w:b w:val="0"/>
          <w:i w:val="0"/>
          <w:strike w:val="0"/>
          <w:noProof w:val="0"/>
          <w:color w:val="000000"/>
          <w:position w:val="0"/>
          <w:sz w:val="20"/>
          <w:u w:val="none"/>
          <w:vertAlign w:val="baseline"/>
        </w:rPr>
        <w:t xml:space="preserve">. Courts "must defer to the judgment of correctional officials unless the record contains </w:t>
      </w:r>
      <w:r>
        <w:rPr>
          <w:rFonts w:ascii="arial" w:eastAsia="arial" w:hAnsi="arial" w:cs="arial"/>
          <w:b w:val="0"/>
          <w:i/>
          <w:strike w:val="0"/>
          <w:noProof w:val="0"/>
          <w:color w:val="000000"/>
          <w:position w:val="0"/>
          <w:sz w:val="20"/>
          <w:u w:val="none"/>
          <w:vertAlign w:val="baseline"/>
        </w:rPr>
        <w:t>substantial evidence</w:t>
      </w:r>
      <w:r>
        <w:rPr>
          <w:rFonts w:ascii="arial" w:eastAsia="arial" w:hAnsi="arial" w:cs="arial"/>
          <w:b w:val="0"/>
          <w:i w:val="0"/>
          <w:strike w:val="0"/>
          <w:noProof w:val="0"/>
          <w:color w:val="000000"/>
          <w:position w:val="0"/>
          <w:sz w:val="20"/>
          <w:u w:val="none"/>
          <w:vertAlign w:val="baseline"/>
        </w:rPr>
        <w:t xml:space="preserve"> showing their policies are an unnecessary or unjustified response to problems of jail security." </w:t>
      </w:r>
      <w:bookmarkStart w:id="91" w:name="Bookmark_I693VRT628T4FR0020000400"/>
      <w:bookmarkEnd w:id="91"/>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323</w:t>
        </w:r>
      </w:hyperlink>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both"/>
      </w:pPr>
      <w:bookmarkStart w:id="92" w:name="Bookmark_para_25"/>
      <w:bookmarkEnd w:id="92"/>
      <w:bookmarkStart w:id="93" w:name="Bookmark_I693VRT628T4FR0050000400"/>
      <w:bookmarkEnd w:id="93"/>
      <w:bookmarkStart w:id="94" w:name="Bookmark_I693VRT62HM6X70020000400"/>
      <w:bookmarkEnd w:id="94"/>
      <w:r>
        <w:rPr>
          <w:rFonts w:ascii="arial" w:eastAsia="arial" w:hAnsi="arial" w:cs="arial"/>
          <w:b w:val="0"/>
          <w:i w:val="0"/>
          <w:strike w:val="0"/>
          <w:noProof w:val="0"/>
          <w:color w:val="000000"/>
          <w:position w:val="0"/>
          <w:sz w:val="20"/>
          <w:u w:val="none"/>
          <w:vertAlign w:val="baseline"/>
        </w:rPr>
        <w:t>"The difficulties of operating a detention center must not be underestimated by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courts." </w:t>
      </w:r>
      <w:bookmarkStart w:id="95" w:name="Bookmark_I693VRT628T4FR0040000400"/>
      <w:bookmarkEnd w:id="95"/>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326</w:t>
        </w:r>
      </w:hyperlink>
      <w:r>
        <w:rPr>
          <w:rFonts w:ascii="arial" w:eastAsia="arial" w:hAnsi="arial" w:cs="arial"/>
          <w:b w:val="0"/>
          <w:i w:val="0"/>
          <w:strike w:val="0"/>
          <w:noProof w:val="0"/>
          <w:color w:val="000000"/>
          <w:position w:val="0"/>
          <w:sz w:val="20"/>
          <w:u w:val="none"/>
          <w:vertAlign w:val="baseline"/>
        </w:rPr>
        <w:t xml:space="preserve"> (citation omitted). </w:t>
      </w:r>
      <w:bookmarkStart w:id="96" w:name="Bookmark_I693VRT62N1RRF0010000400"/>
      <w:bookmarkEnd w:id="96"/>
      <w:r>
        <w:rPr>
          <w:rFonts w:ascii="arial" w:eastAsia="arial" w:hAnsi="arial" w:cs="arial"/>
          <w:b w:val="0"/>
          <w:i w:val="0"/>
          <w:strike w:val="0"/>
          <w:noProof w:val="0"/>
          <w:color w:val="000000"/>
          <w:position w:val="0"/>
          <w:sz w:val="20"/>
          <w:u w:val="none"/>
          <w:vertAlign w:val="baseline"/>
        </w:rPr>
        <w:t xml:space="preserve">"Maintaining safety and order at these institutions requires the expertise of correctional officials, who must have substantial discretion to devise reasonable solutions to the problems they face."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Supreme Court has confirmed "the importance of deference to correctional officials and explained that a regulation impinging on an inmate's constitutional rights must be upheld 'if it is reasonably related to legitimate penological interests.'"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97" w:name="Bookmark_I693VRT62N1RRF0030000400"/>
      <w:bookmarkEnd w:id="97"/>
      <w:r>
        <w:rPr>
          <w:rFonts w:ascii="arial" w:eastAsia="arial" w:hAnsi="arial" w:cs="arial"/>
          <w:b w:val="0"/>
          <w:i w:val="0"/>
          <w:strike w:val="0"/>
          <w:noProof w:val="0"/>
          <w:color w:val="000000"/>
          <w:position w:val="0"/>
          <w:sz w:val="20"/>
          <w:u w:val="none"/>
          <w:vertAlign w:val="baseline"/>
        </w:rPr>
        <w:t xml:space="preserve">Correctional officials "must be permitted to devise reasonable search policies to detect and deter the possession of contraband in their facilities." </w:t>
      </w:r>
      <w:bookmarkStart w:id="98" w:name="Bookmark_I693VRT62HM6X70010000400"/>
      <w:bookmarkEnd w:id="98"/>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328</w:t>
        </w:r>
      </w:hyperlink>
      <w:r>
        <w:rPr>
          <w:rFonts w:ascii="arial" w:eastAsia="arial" w:hAnsi="arial" w:cs="arial"/>
          <w:b w:val="0"/>
          <w:i w:val="0"/>
          <w:strike w:val="0"/>
          <w:noProof w:val="0"/>
          <w:color w:val="000000"/>
          <w:position w:val="0"/>
          <w:sz w:val="20"/>
          <w:u w:val="none"/>
          <w:vertAlign w:val="baseline"/>
        </w:rPr>
        <w:t xml:space="preserve"> (citing </w:t>
      </w:r>
      <w:bookmarkStart w:id="99" w:name="Bookmark_I693VRT62HM6X70030000400"/>
      <w:bookmarkEnd w:id="99"/>
      <w:hyperlink r:id="rId35" w:history="1">
        <w:r>
          <w:rPr>
            <w:rFonts w:ascii="arial" w:eastAsia="arial" w:hAnsi="arial" w:cs="arial"/>
            <w:b w:val="0"/>
            <w:i/>
            <w:strike w:val="0"/>
            <w:noProof w:val="0"/>
            <w:color w:val="0077CC"/>
            <w:position w:val="0"/>
            <w:sz w:val="20"/>
            <w:u w:val="single"/>
            <w:vertAlign w:val="baseline"/>
          </w:rPr>
          <w:t>Bell, 441 U.S. at 546</w:t>
        </w:r>
      </w:hyperlink>
      <w:r>
        <w:rPr>
          <w:rFonts w:ascii="arial" w:eastAsia="arial" w:hAnsi="arial" w:cs="arial"/>
          <w:b w:val="0"/>
          <w:i w:val="0"/>
          <w:strike w:val="0"/>
          <w:noProof w:val="0"/>
          <w:color w:val="000000"/>
          <w:position w:val="0"/>
          <w:sz w:val="20"/>
          <w:u w:val="none"/>
          <w:vertAlign w:val="baseline"/>
        </w:rPr>
        <w:t xml:space="preserve">). </w:t>
      </w:r>
      <w:bookmarkStart w:id="100" w:name="Bookmark_I693VRT62N1RRF0030000400_2"/>
      <w:bookmarkEnd w:id="100"/>
      <w:bookmarkStart w:id="101" w:name="Bookmark_I693VRT62N1RRF0010000400_2"/>
      <w:bookmarkEnd w:id="101"/>
      <w:r>
        <w:rPr>
          <w:rFonts w:ascii="arial" w:eastAsia="arial" w:hAnsi="arial" w:cs="arial"/>
          <w:b w:val="0"/>
          <w:i w:val="0"/>
          <w:strike w:val="0"/>
          <w:noProof w:val="0"/>
          <w:color w:val="000000"/>
          <w:position w:val="0"/>
          <w:sz w:val="20"/>
          <w:u w:val="none"/>
          <w:vertAlign w:val="baseline"/>
        </w:rPr>
        <w:t xml:space="preserve">"The task of determining whether a policy is reasonably related to legitimate security interests is 'peculiarly within the province and professional expertise of corrections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02" w:name="Bookmark_I693VRT62HM6X70050000400"/>
      <w:bookmarkEnd w:id="102"/>
      <w:hyperlink r:id="rId35" w:history="1">
        <w:r>
          <w:rPr>
            <w:rFonts w:ascii="arial" w:eastAsia="arial" w:hAnsi="arial" w:cs="arial"/>
            <w:b w:val="0"/>
            <w:i/>
            <w:strike w:val="0"/>
            <w:noProof w:val="0"/>
            <w:color w:val="0077CC"/>
            <w:position w:val="0"/>
            <w:sz w:val="20"/>
            <w:u w:val="single"/>
            <w:vertAlign w:val="baseline"/>
          </w:rPr>
          <w:t>Bell, 441 U.S. at 548</w:t>
        </w:r>
      </w:hyperlink>
      <w:r>
        <w:rPr>
          <w:rFonts w:ascii="arial" w:eastAsia="arial" w:hAnsi="arial" w:cs="arial"/>
          <w:b w:val="0"/>
          <w:i w:val="0"/>
          <w:strike w:val="0"/>
          <w:noProof w:val="0"/>
          <w:color w:val="000000"/>
          <w:position w:val="0"/>
          <w:sz w:val="20"/>
          <w:u w:val="none"/>
          <w:vertAlign w:val="baseline"/>
        </w:rPr>
        <w:t xml:space="preserve">). </w:t>
      </w:r>
      <w:bookmarkStart w:id="103" w:name="Bookmark_I693VRT62D6NY60020000400"/>
      <w:bookmarkEnd w:id="103"/>
      <w:r>
        <w:rPr>
          <w:rFonts w:ascii="arial" w:eastAsia="arial" w:hAnsi="arial" w:cs="arial"/>
          <w:b w:val="0"/>
          <w:i w:val="0"/>
          <w:strike w:val="0"/>
          <w:noProof w:val="0"/>
          <w:color w:val="000000"/>
          <w:position w:val="0"/>
          <w:sz w:val="20"/>
          <w:u w:val="none"/>
          <w:vertAlign w:val="baseline"/>
        </w:rPr>
        <w:t xml:space="preserve">The Supreme Court "has repeated the admonition that, 'in the absence of substantial evidence in the record to indicate that the officials have exaggerated their response to these considerations courts should ordinarily defer to their expert judgment in such matters.'"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104" w:name="Bookmark_I693VRT62N1RRF0020000400"/>
      <w:bookmarkEnd w:id="104"/>
      <w:hyperlink r:id="rId36" w:history="1">
        <w:r>
          <w:rPr>
            <w:rFonts w:ascii="arial" w:eastAsia="arial" w:hAnsi="arial" w:cs="arial"/>
            <w:b w:val="0"/>
            <w:i/>
            <w:strike w:val="0"/>
            <w:noProof w:val="0"/>
            <w:color w:val="0077CC"/>
            <w:position w:val="0"/>
            <w:sz w:val="20"/>
            <w:u w:val="single"/>
            <w:vertAlign w:val="baseline"/>
          </w:rPr>
          <w:t>Block v. Rutherford</w:t>
        </w:r>
      </w:hyperlink>
      <w:hyperlink r:id="rId36" w:history="1">
        <w:r>
          <w:rPr>
            <w:rFonts w:ascii="arial" w:eastAsia="arial" w:hAnsi="arial" w:cs="arial"/>
            <w:b w:val="0"/>
            <w:i/>
            <w:strike w:val="0"/>
            <w:noProof w:val="0"/>
            <w:color w:val="0077CC"/>
            <w:position w:val="0"/>
            <w:sz w:val="20"/>
            <w:u w:val="single"/>
            <w:vertAlign w:val="baseline"/>
          </w:rPr>
          <w:t>, 468 U.S. 576, 584-85, 104 S. Ct. 3227, 82 L. Ed. 2d 438 (1984)</w:t>
        </w:r>
      </w:hyperlink>
      <w:r>
        <w:rPr>
          <w:rFonts w:ascii="arial" w:eastAsia="arial" w:hAnsi="arial" w:cs="arial"/>
          <w:b w:val="0"/>
          <w:i w:val="0"/>
          <w:strike w:val="0"/>
          <w:noProof w:val="0"/>
          <w:color w:val="000000"/>
          <w:position w:val="0"/>
          <w:sz w:val="20"/>
          <w:u w:val="none"/>
          <w:vertAlign w:val="baseline"/>
        </w:rPr>
        <w:t xml:space="preserve">; </w:t>
      </w:r>
      <w:bookmarkStart w:id="105" w:name="Bookmark_I693VRT62N1RRF0040000400"/>
      <w:bookmarkEnd w:id="105"/>
      <w:hyperlink r:id="rId35" w:history="1">
        <w:r>
          <w:rPr>
            <w:rFonts w:ascii="arial" w:eastAsia="arial" w:hAnsi="arial" w:cs="arial"/>
            <w:b w:val="0"/>
            <w:i/>
            <w:strike w:val="0"/>
            <w:noProof w:val="0"/>
            <w:color w:val="0077CC"/>
            <w:position w:val="0"/>
            <w:sz w:val="20"/>
            <w:u w:val="single"/>
            <w:vertAlign w:val="baseline"/>
          </w:rPr>
          <w:t>Bell, 441 U.S. at 548</w:t>
        </w:r>
      </w:hyperlink>
      <w:r>
        <w:rPr>
          <w:rFonts w:ascii="arial" w:eastAsia="arial" w:hAnsi="arial" w:cs="arial"/>
          <w:b w:val="0"/>
          <w:i w:val="0"/>
          <w:strike w:val="0"/>
          <w:noProof w:val="0"/>
          <w:color w:val="000000"/>
          <w:position w:val="0"/>
          <w:sz w:val="20"/>
          <w:u w:val="none"/>
          <w:vertAlign w:val="baseline"/>
        </w:rPr>
        <w:t xml:space="preserve">. </w:t>
      </w:r>
      <w:bookmarkStart w:id="106" w:name="Bookmark_I693VRT62D6NY60020000400_2"/>
      <w:bookmarkEnd w:id="106"/>
      <w:r>
        <w:rPr>
          <w:rFonts w:ascii="arial" w:eastAsia="arial" w:hAnsi="arial" w:cs="arial"/>
          <w:b w:val="0"/>
          <w:i w:val="0"/>
          <w:strike w:val="0"/>
          <w:noProof w:val="0"/>
          <w:color w:val="000000"/>
          <w:position w:val="0"/>
          <w:sz w:val="20"/>
          <w:u w:val="none"/>
          <w:vertAlign w:val="baseline"/>
        </w:rPr>
        <w:t>Finally, the Supreme Court is clear that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correctional officials need not have reasonable suspicion in order to strip search individuals, including nonindictable offenders, being admitted to general populations of such facilities. </w:t>
      </w:r>
      <w:bookmarkStart w:id="107" w:name="Bookmark_I693VRT62D6NY60010000400"/>
      <w:bookmarkEnd w:id="107"/>
      <w:hyperlink r:id="rId34" w:history="1">
        <w:r>
          <w:rPr>
            <w:rFonts w:ascii="arial" w:eastAsia="arial" w:hAnsi="arial" w:cs="arial"/>
            <w:b w:val="0"/>
            <w:i/>
            <w:strike w:val="0"/>
            <w:noProof w:val="0"/>
            <w:color w:val="0077CC"/>
            <w:position w:val="0"/>
            <w:sz w:val="20"/>
            <w:u w:val="single"/>
            <w:vertAlign w:val="baseline"/>
          </w:rPr>
          <w:t>Id.</w:t>
        </w:r>
      </w:hyperlink>
      <w:hyperlink r:id="rId34" w:history="1">
        <w:r>
          <w:rPr>
            <w:rFonts w:ascii="arial" w:eastAsia="arial" w:hAnsi="arial" w:cs="arial"/>
            <w:b w:val="0"/>
            <w:i/>
            <w:strike w:val="0"/>
            <w:noProof w:val="0"/>
            <w:color w:val="0077CC"/>
            <w:position w:val="0"/>
            <w:sz w:val="20"/>
            <w:u w:val="single"/>
            <w:vertAlign w:val="baseline"/>
          </w:rPr>
          <w:t xml:space="preserve"> at 322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26"/>
      <w:bookmarkEnd w:id="108"/>
      <w:bookmarkStart w:id="109" w:name="Bookmark_I693VRT62D6NY60040000400"/>
      <w:bookmarkEnd w:id="109"/>
      <w:bookmarkStart w:id="110" w:name="Bookmark_I693VRT62N1RRH0010000400"/>
      <w:bookmarkEnd w:id="110"/>
      <w:r>
        <w:rPr>
          <w:rFonts w:ascii="arial" w:eastAsia="arial" w:hAnsi="arial" w:cs="arial"/>
          <w:b w:val="0"/>
          <w:i w:val="0"/>
          <w:strike w:val="0"/>
          <w:noProof w:val="0"/>
          <w:color w:val="000000"/>
          <w:position w:val="0"/>
          <w:sz w:val="20"/>
          <w:u w:val="none"/>
          <w:vertAlign w:val="baseline"/>
        </w:rPr>
        <w:t xml:space="preserve">In addition, the alleged spreading of a male pretrial detainee's buttocks in a private setting with only male guards present is not an unreasonable search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11" w:name="Bookmark_I693VRT62D6NY60030000400"/>
      <w:bookmarkEnd w:id="111"/>
      <w:hyperlink r:id="rId37" w:history="1">
        <w:r>
          <w:rPr>
            <w:rFonts w:ascii="arial" w:eastAsia="arial" w:hAnsi="arial" w:cs="arial"/>
            <w:b w:val="0"/>
            <w:i/>
            <w:strike w:val="0"/>
            <w:noProof w:val="0"/>
            <w:color w:val="0077CC"/>
            <w:position w:val="0"/>
            <w:sz w:val="20"/>
            <w:u w:val="single"/>
            <w:vertAlign w:val="baseline"/>
          </w:rPr>
          <w:t>Parker v. Woods</w:t>
        </w:r>
      </w:hyperlink>
      <w:hyperlink r:id="rId37" w:history="1">
        <w:r>
          <w:rPr>
            <w:rFonts w:ascii="arial" w:eastAsia="arial" w:hAnsi="arial" w:cs="arial"/>
            <w:b w:val="0"/>
            <w:i/>
            <w:strike w:val="0"/>
            <w:noProof w:val="0"/>
            <w:color w:val="0077CC"/>
            <w:position w:val="0"/>
            <w:sz w:val="20"/>
            <w:u w:val="single"/>
            <w:vertAlign w:val="baseline"/>
          </w:rPr>
          <w:t>, 834 Fed. Appx. 92 (5th Cir. 2020)</w:t>
        </w:r>
      </w:hyperlink>
      <w:r>
        <w:rPr>
          <w:rFonts w:ascii="arial" w:eastAsia="arial" w:hAnsi="arial" w:cs="arial"/>
          <w:b w:val="0"/>
          <w:i w:val="0"/>
          <w:strike w:val="0"/>
          <w:noProof w:val="0"/>
          <w:color w:val="000000"/>
          <w:position w:val="0"/>
          <w:sz w:val="20"/>
          <w:u w:val="none"/>
          <w:vertAlign w:val="baseline"/>
        </w:rPr>
        <w:t xml:space="preserve"> (per curiam). </w:t>
      </w:r>
      <w:bookmarkStart w:id="112" w:name="Bookmark_I693VRT62N1RRH0030000400"/>
      <w:bookmarkEnd w:id="112"/>
      <w:r>
        <w:rPr>
          <w:rFonts w:ascii="arial" w:eastAsia="arial" w:hAnsi="arial" w:cs="arial"/>
          <w:b w:val="0"/>
          <w:i w:val="0"/>
          <w:strike w:val="0"/>
          <w:noProof w:val="0"/>
          <w:color w:val="000000"/>
          <w:position w:val="0"/>
          <w:sz w:val="20"/>
          <w:u w:val="none"/>
          <w:vertAlign w:val="baseline"/>
        </w:rPr>
        <w:t xml:space="preserve">In </w:t>
      </w:r>
      <w:bookmarkStart w:id="113" w:name="Bookmark_I693VRT62N1RRH0030000400_2"/>
      <w:bookmarkEnd w:id="113"/>
      <w:bookmarkStart w:id="114" w:name="Bookmark_I693VRT62N1RRH0010000400_2"/>
      <w:bookmarkEnd w:id="114"/>
      <w:bookmarkStart w:id="115" w:name="Bookmark_I693VRT62D6NY60040000400_2"/>
      <w:bookmarkEnd w:id="115"/>
      <w:bookmarkStart w:id="116" w:name="Bookmark_I693VRT62D6NY60050000400"/>
      <w:bookmarkEnd w:id="116"/>
      <w:hyperlink r:id="rId37" w:history="1">
        <w:r>
          <w:rPr>
            <w:rFonts w:ascii="arial" w:eastAsia="arial" w:hAnsi="arial" w:cs="arial"/>
            <w:b w:val="0"/>
            <w:i/>
            <w:strike w:val="0"/>
            <w:noProof w:val="0"/>
            <w:color w:val="0077CC"/>
            <w:position w:val="0"/>
            <w:sz w:val="20"/>
            <w:u w:val="single"/>
            <w:vertAlign w:val="baseline"/>
          </w:rPr>
          <w:t>Parker</w:t>
        </w:r>
      </w:hyperlink>
      <w:r>
        <w:rPr>
          <w:rFonts w:ascii="arial" w:eastAsia="arial" w:hAnsi="arial" w:cs="arial"/>
          <w:b w:val="0"/>
          <w:i w:val="0"/>
          <w:strike w:val="0"/>
          <w:noProof w:val="0"/>
          <w:color w:val="000000"/>
          <w:position w:val="0"/>
          <w:sz w:val="20"/>
          <w:u w:val="none"/>
          <w:vertAlign w:val="baseline"/>
        </w:rPr>
        <w:t xml:space="preserve">, a male pre-trial detainee was taken to a shower area by male guards and ordered to undress and to squat and cough. </w:t>
      </w:r>
      <w:bookmarkStart w:id="117" w:name="Bookmark_I693VRT62N1RRH0020000400"/>
      <w:bookmarkEnd w:id="117"/>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94</w:t>
        </w:r>
      </w:hyperlink>
      <w:r>
        <w:rPr>
          <w:rFonts w:ascii="arial" w:eastAsia="arial" w:hAnsi="arial" w:cs="arial"/>
          <w:b w:val="0"/>
          <w:i w:val="0"/>
          <w:strike w:val="0"/>
          <w:noProof w:val="0"/>
          <w:color w:val="000000"/>
          <w:position w:val="0"/>
          <w:sz w:val="20"/>
          <w:u w:val="none"/>
          <w:vertAlign w:val="baseline"/>
        </w:rPr>
        <w:t xml:space="preserve">. </w:t>
      </w:r>
      <w:bookmarkStart w:id="118" w:name="Bookmark_I693VRT62N1RRH0050000400"/>
      <w:bookmarkEnd w:id="118"/>
      <w:r>
        <w:rPr>
          <w:rFonts w:ascii="arial" w:eastAsia="arial" w:hAnsi="arial" w:cs="arial"/>
          <w:b w:val="0"/>
          <w:i w:val="0"/>
          <w:strike w:val="0"/>
          <w:noProof w:val="0"/>
          <w:color w:val="000000"/>
          <w:position w:val="0"/>
          <w:sz w:val="20"/>
          <w:u w:val="none"/>
          <w:vertAlign w:val="baseline"/>
        </w:rPr>
        <w:t xml:space="preserve">Allegedly, a guard then pushed the detainee over a chair and manually spread his buttocks.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Parker allegedly complained about Woods' spreading of his buttocks and claimed that Woods "'was staring at [Parker's] penis and smiling.'"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Fifth Circuit affirmed the district court's granting of summary judgment to Woods. </w:t>
      </w:r>
      <w:bookmarkStart w:id="119" w:name="Bookmark_I693VRT62N1RRH0040000400"/>
      <w:bookmarkEnd w:id="119"/>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96</w:t>
        </w:r>
      </w:hyperlink>
      <w:r>
        <w:rPr>
          <w:rFonts w:ascii="arial" w:eastAsia="arial" w:hAnsi="arial" w:cs="arial"/>
          <w:b w:val="0"/>
          <w:i w:val="0"/>
          <w:strike w:val="0"/>
          <w:noProof w:val="0"/>
          <w:color w:val="000000"/>
          <w:position w:val="0"/>
          <w:sz w:val="20"/>
          <w:u w:val="none"/>
          <w:vertAlign w:val="baseline"/>
        </w:rPr>
        <w:t xml:space="preserve">. The court found that the search was justified, was conducted in private and by officers of the same sex, and the search did not appear to be unduly lengthy.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(citations omitted). </w:t>
      </w:r>
      <w:bookmarkStart w:id="120" w:name="Bookmark_I693VRT62D6NY70020000400"/>
      <w:bookmarkEnd w:id="120"/>
      <w:r>
        <w:rPr>
          <w:rFonts w:ascii="arial" w:eastAsia="arial" w:hAnsi="arial" w:cs="arial"/>
          <w:b w:val="0"/>
          <w:i w:val="0"/>
          <w:strike w:val="0"/>
          <w:noProof w:val="0"/>
          <w:color w:val="000000"/>
          <w:position w:val="0"/>
          <w:sz w:val="20"/>
          <w:u w:val="none"/>
          <w:vertAlign w:val="baseline"/>
        </w:rPr>
        <w:t xml:space="preserve">The Fifth Circuit also found that Woods allegedly manually spreading Parker's buttocks and smiling at his genitals did not raise a material dispute as to the reasonableness of the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court found that "the touching involved was incident to a legitimate body cavity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"Given the 'great deference and flexibility' courts must afford prison officials in maintaining institutional security," the Fifth Circuit upheld the grant of summary judgment. </w:t>
      </w:r>
      <w:bookmarkStart w:id="121" w:name="Bookmark_I693VRT62D6NY70010000400"/>
      <w:bookmarkEnd w:id="121"/>
      <w:hyperlink r:id="rId37" w:history="1">
        <w:r>
          <w:rPr>
            <w:rFonts w:ascii="arial" w:eastAsia="arial" w:hAnsi="arial" w:cs="arial"/>
            <w:b w:val="0"/>
            <w:i/>
            <w:strike w:val="0"/>
            <w:noProof w:val="0"/>
            <w:color w:val="0077CC"/>
            <w:position w:val="0"/>
            <w:sz w:val="20"/>
            <w:u w:val="single"/>
            <w:vertAlign w:val="baseline"/>
          </w:rPr>
          <w:t>Id.</w:t>
        </w:r>
      </w:hyperlink>
      <w:hyperlink r:id="rId37" w:history="1">
        <w:r>
          <w:rPr>
            <w:rFonts w:ascii="arial" w:eastAsia="arial" w:hAnsi="arial" w:cs="arial"/>
            <w:b w:val="0"/>
            <w:i/>
            <w:strike w:val="0"/>
            <w:noProof w:val="0"/>
            <w:color w:val="0077CC"/>
            <w:position w:val="0"/>
            <w:sz w:val="20"/>
            <w:u w:val="single"/>
            <w:vertAlign w:val="baseline"/>
          </w:rPr>
          <w:t xml:space="preserve"> at 97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22" w:name="Bookmark_para_27"/>
      <w:bookmarkEnd w:id="122"/>
      <w:r>
        <w:rPr>
          <w:rFonts w:ascii="arial" w:eastAsia="arial" w:hAnsi="arial" w:cs="arial"/>
          <w:b w:val="0"/>
          <w:i w:val="0"/>
          <w:strike w:val="0"/>
          <w:noProof w:val="0"/>
          <w:color w:val="000000"/>
          <w:position w:val="0"/>
          <w:sz w:val="20"/>
          <w:u w:val="none"/>
          <w:vertAlign w:val="baseline"/>
        </w:rPr>
        <w:t xml:space="preserve">Plaintiff fails to provide any evidence, much less substantial evidence, that Defendant's orders for him to squat and cough in order to conduct a cavity search were unnecessary. Even if Atkinson had touched Plaintiff's buttocks during the altercation arising from Plaintiff's failure to comply, such a touching would not constitute an unreasonable search in violation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Defendant's undisputed evidence shows that the reasonable, legitimate, and important purpose of the search was to prevent the flow of drugs and contraband into the Jail, for the security of the detainees, and the security of Jail personnel. Plaintiff's refusal to squat and cough could also create additional reasonable suspicion supporting the search. Plaintiff's search was conducted in a private setting by officers of the same sex. The officers in the change-out room were all males, like Plaintiff. Corporal Barron and Sergeant King, two females,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only entered the change-out room upon hearing the commotion caused by Plaintiff's failure to follow the lawfully given orders to squat and cough, and they left once Plaintiff had been secured. Additionally, the search was not unduly lengthy. The officers took Plaintiff to the change-out room, gave him orders to disrobe, and ordered him to turn towards the wall and squat and cough. That would have been the end of the strip search, but for Plaintiff's non-compliance.</w:t>
      </w:r>
    </w:p>
    <w:p>
      <w:pPr>
        <w:keepNext w:val="0"/>
        <w:spacing w:before="200" w:after="0" w:line="260" w:lineRule="atLeast"/>
        <w:ind w:left="0" w:right="0" w:firstLine="0"/>
        <w:jc w:val="both"/>
      </w:pPr>
      <w:bookmarkStart w:id="123" w:name="Bookmark_para_28"/>
      <w:bookmarkEnd w:id="123"/>
      <w:bookmarkStart w:id="124" w:name="Bookmark_I693VRT62D6NY70040000400"/>
      <w:bookmarkEnd w:id="124"/>
      <w:r>
        <w:rPr>
          <w:rFonts w:ascii="arial" w:eastAsia="arial" w:hAnsi="arial" w:cs="arial"/>
          <w:b w:val="0"/>
          <w:i w:val="0"/>
          <w:strike w:val="0"/>
          <w:noProof w:val="0"/>
          <w:color w:val="000000"/>
          <w:position w:val="0"/>
          <w:sz w:val="20"/>
          <w:u w:val="none"/>
          <w:vertAlign w:val="baseline"/>
        </w:rPr>
        <w:t xml:space="preserve">Even assuming Defendant Atkinson had touched Plaintiff's buttocks as described by Plaintiff, the touching took place during the physical altercation caused by Plaintiff and the touching would have been incidental to a lawful search. </w:t>
      </w:r>
      <w:bookmarkStart w:id="125" w:name="Bookmark_I693VRT62SF89P0010000400"/>
      <w:bookmarkEnd w:id="125"/>
      <w:bookmarkStart w:id="126" w:name="Bookmark_I693VRT62D6NY70030000400"/>
      <w:bookmarkEnd w:id="126"/>
      <w:hyperlink r:id="rId37" w:history="1">
        <w:r>
          <w:rPr>
            <w:rFonts w:ascii="arial" w:eastAsia="arial" w:hAnsi="arial" w:cs="arial"/>
            <w:b w:val="0"/>
            <w:i/>
            <w:strike w:val="0"/>
            <w:noProof w:val="0"/>
            <w:color w:val="0077CC"/>
            <w:position w:val="0"/>
            <w:sz w:val="20"/>
            <w:u w:val="single"/>
            <w:vertAlign w:val="baseline"/>
          </w:rPr>
          <w:t>Parker, 834 Fed. Appx. at 96</w:t>
        </w:r>
      </w:hyperlink>
      <w:r>
        <w:rPr>
          <w:rFonts w:ascii="arial" w:eastAsia="arial" w:hAnsi="arial" w:cs="arial"/>
          <w:b w:val="0"/>
          <w:i w:val="0"/>
          <w:strike w:val="0"/>
          <w:noProof w:val="0"/>
          <w:color w:val="000000"/>
          <w:position w:val="0"/>
          <w:sz w:val="20"/>
          <w:u w:val="none"/>
          <w:vertAlign w:val="baseline"/>
        </w:rPr>
        <w:t xml:space="preserve">. </w:t>
      </w:r>
      <w:bookmarkStart w:id="127" w:name="Bookmark_I693VRT62SF89P0030000400"/>
      <w:bookmarkEnd w:id="127"/>
      <w:r>
        <w:rPr>
          <w:rFonts w:ascii="arial" w:eastAsia="arial" w:hAnsi="arial" w:cs="arial"/>
          <w:b w:val="0"/>
          <w:i w:val="0"/>
          <w:strike w:val="0"/>
          <w:noProof w:val="0"/>
          <w:color w:val="000000"/>
          <w:position w:val="0"/>
          <w:sz w:val="20"/>
          <w:u w:val="none"/>
          <w:vertAlign w:val="baseline"/>
        </w:rPr>
        <w:t xml:space="preserve">Even if Defendant Atkinson spread Plaintiff's buttocks, like in Parker, that alleged act would not render the search unreasonable under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28" w:name="Bookmark_I693VRT62SF89P0030000400_2"/>
      <w:bookmarkEnd w:id="128"/>
      <w:bookmarkStart w:id="129" w:name="Bookmark_I693VRT62SF89P0010000400_2"/>
      <w:bookmarkEnd w:id="129"/>
      <w:bookmarkStart w:id="130" w:name="Bookmark_I693VRT62D6NY70050000400"/>
      <w:bookmarkEnd w:id="130"/>
      <w:hyperlink r:id="rId37" w:history="1">
        <w:r>
          <w:rPr>
            <w:rFonts w:ascii="arial" w:eastAsia="arial" w:hAnsi="arial" w:cs="arial"/>
            <w:b w:val="0"/>
            <w:i/>
            <w:strike w:val="0"/>
            <w:noProof w:val="0"/>
            <w:color w:val="0077CC"/>
            <w:position w:val="0"/>
            <w:sz w:val="20"/>
            <w:u w:val="single"/>
            <w:vertAlign w:val="baseline"/>
          </w:rPr>
          <w:t>Parker, 834 Fed. Appx. at 96</w:t>
        </w:r>
      </w:hyperlink>
      <w:r>
        <w:rPr>
          <w:rFonts w:ascii="arial" w:eastAsia="arial" w:hAnsi="arial" w:cs="arial"/>
          <w:b w:val="0"/>
          <w:i w:val="0"/>
          <w:strike w:val="0"/>
          <w:noProof w:val="0"/>
          <w:color w:val="000000"/>
          <w:position w:val="0"/>
          <w:sz w:val="20"/>
          <w:u w:val="none"/>
          <w:vertAlign w:val="baseline"/>
        </w:rPr>
        <w:t xml:space="preserve">. Like the search in </w:t>
      </w:r>
      <w:bookmarkStart w:id="131" w:name="Bookmark_I693VRT62SF89P0030000400_3"/>
      <w:bookmarkEnd w:id="131"/>
      <w:bookmarkStart w:id="132" w:name="Bookmark_I693VRT62SF89P0020000400"/>
      <w:bookmarkEnd w:id="132"/>
      <w:hyperlink r:id="rId37" w:history="1">
        <w:r>
          <w:rPr>
            <w:rFonts w:ascii="arial" w:eastAsia="arial" w:hAnsi="arial" w:cs="arial"/>
            <w:b w:val="0"/>
            <w:i/>
            <w:strike w:val="0"/>
            <w:noProof w:val="0"/>
            <w:color w:val="0077CC"/>
            <w:position w:val="0"/>
            <w:sz w:val="20"/>
            <w:u w:val="single"/>
            <w:vertAlign w:val="baseline"/>
          </w:rPr>
          <w:t>Parker</w:t>
        </w:r>
      </w:hyperlink>
      <w:r>
        <w:rPr>
          <w:rFonts w:ascii="arial" w:eastAsia="arial" w:hAnsi="arial" w:cs="arial"/>
          <w:b w:val="0"/>
          <w:i w:val="0"/>
          <w:strike w:val="0"/>
          <w:noProof w:val="0"/>
          <w:color w:val="000000"/>
          <w:position w:val="0"/>
          <w:sz w:val="20"/>
          <w:u w:val="none"/>
          <w:vertAlign w:val="baseline"/>
        </w:rPr>
        <w:t xml:space="preserve">, Atkinson's alleged contact would have been incidental to a legitimate search for contraband.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Plaintiff fails to provide any evidence, much less substantial evidence, that any of Defendant's alleged actions violated his constitutional rights. Defendant provides undisputed evidence that the cavity search of Plaintiff was justified</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by Plaintiff's prior criminal history and the need to ensure that contraband is not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general population areas of the Jail. Therefore, because Plaintiff has not rebutted Defendant Atkinson's evidence that there was no constitutional violation, Atkinson is entitled to qualified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E. </w:t>
      </w:r>
      <w:r>
        <w:rPr>
          <w:rFonts w:ascii="arial" w:eastAsia="arial" w:hAnsi="arial" w:cs="arial"/>
          <w:b w:val="0"/>
          <w:i w:val="0"/>
          <w:strike w:val="0"/>
          <w:noProof w:val="0"/>
          <w:color w:val="000000"/>
          <w:position w:val="0"/>
          <w:sz w:val="20"/>
          <w:u w:val="single"/>
          <w:vertAlign w:val="baseline"/>
        </w:rPr>
        <w:t>Plaintiff's New Claim</w:t>
      </w:r>
    </w:p>
    <w:p>
      <w:pPr>
        <w:keepNext w:val="0"/>
        <w:spacing w:before="240" w:after="0" w:line="260" w:lineRule="atLeast"/>
        <w:ind w:left="0" w:right="0" w:firstLine="0"/>
        <w:jc w:val="both"/>
      </w:pPr>
      <w:bookmarkStart w:id="133" w:name="Bookmark_para_29"/>
      <w:bookmarkEnd w:id="133"/>
      <w:r>
        <w:rPr>
          <w:rFonts w:ascii="arial" w:eastAsia="arial" w:hAnsi="arial" w:cs="arial"/>
          <w:b w:val="0"/>
          <w:i w:val="0"/>
          <w:strike w:val="0"/>
          <w:noProof w:val="0"/>
          <w:color w:val="000000"/>
          <w:position w:val="0"/>
          <w:sz w:val="20"/>
          <w:u w:val="none"/>
          <w:vertAlign w:val="baseline"/>
        </w:rPr>
        <w:t xml:space="preserve">Plaintiff's only response to the summary judgment motion is to argue that Defendant Atkinson is not entitled to qualified immunity because his use of force violated Plaintiff's rights. As discussed above, Plaintiff presents no evidence or argument whatsoever related to the alleged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or alleged sexual touching. Instead, Plaintiff's only argument in response is that Texas passed a law on April 28, 2021, prohibiting officers from applying pressure to a person's throat and neck in a way that impedes breathing or blood flow. Plaintiff contends that Atkinson violated Texas law because Atkinson applied pressure to Plaintiff's neck.</w:t>
      </w:r>
    </w:p>
    <w:p>
      <w:pPr>
        <w:keepNext w:val="0"/>
        <w:spacing w:before="240" w:after="0" w:line="260" w:lineRule="atLeast"/>
        <w:ind w:left="0" w:right="0" w:firstLine="0"/>
        <w:jc w:val="both"/>
      </w:pPr>
      <w:bookmarkStart w:id="134" w:name="Bookmark_para_30"/>
      <w:bookmarkEnd w:id="134"/>
      <w:r>
        <w:rPr>
          <w:rFonts w:ascii="arial" w:eastAsia="arial" w:hAnsi="arial" w:cs="arial"/>
          <w:b w:val="0"/>
          <w:i w:val="0"/>
          <w:strike w:val="0"/>
          <w:noProof w:val="0"/>
          <w:color w:val="000000"/>
          <w:position w:val="0"/>
          <w:sz w:val="20"/>
          <w:u w:val="none"/>
          <w:vertAlign w:val="baseline"/>
        </w:rPr>
        <w:t xml:space="preserve">As explained above, Plaintiff's failure to rebut any of Defendant's evidence entitles Defendant to summary judgment. </w:t>
      </w:r>
      <w:bookmarkStart w:id="135" w:name="Bookmark_I693VRT62SF89P0050000400"/>
      <w:bookmarkEnd w:id="135"/>
      <w:r>
        <w:rPr>
          <w:rFonts w:ascii="arial" w:eastAsia="arial" w:hAnsi="arial" w:cs="arial"/>
          <w:b w:val="0"/>
          <w:i w:val="0"/>
          <w:strike w:val="0"/>
          <w:noProof w:val="0"/>
          <w:color w:val="000000"/>
          <w:position w:val="0"/>
          <w:sz w:val="20"/>
          <w:u w:val="none"/>
          <w:vertAlign w:val="baseline"/>
        </w:rPr>
        <w:t>To the extent Plaintiff raises a new argument regarding his previously dismissed excessive force claim, such an argument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is not properly before the Court. A plaintiff cannot assert new claims in response to a motion for summary judgment. </w:t>
      </w:r>
      <w:r>
        <w:rPr>
          <w:rFonts w:ascii="arial" w:eastAsia="arial" w:hAnsi="arial" w:cs="arial"/>
          <w:b w:val="0"/>
          <w:i/>
          <w:strike w:val="0"/>
          <w:noProof w:val="0"/>
          <w:color w:val="000000"/>
          <w:position w:val="0"/>
          <w:sz w:val="20"/>
          <w:u w:val="none"/>
          <w:vertAlign w:val="baseline"/>
        </w:rPr>
        <w:t xml:space="preserve">See </w:t>
      </w:r>
      <w:bookmarkStart w:id="136" w:name="Bookmark_I693VRT62SF89P0040000400"/>
      <w:bookmarkEnd w:id="136"/>
      <w:hyperlink r:id="rId38" w:history="1">
        <w:r>
          <w:rPr>
            <w:rFonts w:ascii="arial" w:eastAsia="arial" w:hAnsi="arial" w:cs="arial"/>
            <w:b w:val="0"/>
            <w:i/>
            <w:strike w:val="0"/>
            <w:noProof w:val="0"/>
            <w:color w:val="0077CC"/>
            <w:position w:val="0"/>
            <w:sz w:val="20"/>
            <w:u w:val="single"/>
            <w:vertAlign w:val="baseline"/>
          </w:rPr>
          <w:t>Cutrera v. Bd. of Supervisors of La. State Univ.</w:t>
        </w:r>
      </w:hyperlink>
      <w:hyperlink r:id="rId38" w:history="1">
        <w:r>
          <w:rPr>
            <w:rFonts w:ascii="arial" w:eastAsia="arial" w:hAnsi="arial" w:cs="arial"/>
            <w:b w:val="0"/>
            <w:i/>
            <w:strike w:val="0"/>
            <w:noProof w:val="0"/>
            <w:color w:val="0077CC"/>
            <w:position w:val="0"/>
            <w:sz w:val="20"/>
            <w:u w:val="single"/>
            <w:vertAlign w:val="baseline"/>
          </w:rPr>
          <w:t>, 429 F.3d 108, 113 (5th Cir. 2005)</w:t>
        </w:r>
      </w:hyperlink>
      <w:r>
        <w:rPr>
          <w:rFonts w:ascii="arial" w:eastAsia="arial" w:hAnsi="arial" w:cs="arial"/>
          <w:b w:val="0"/>
          <w:i w:val="0"/>
          <w:strike w:val="0"/>
          <w:noProof w:val="0"/>
          <w:color w:val="000000"/>
          <w:position w:val="0"/>
          <w:sz w:val="20"/>
          <w:u w:val="none"/>
          <w:vertAlign w:val="baseline"/>
        </w:rPr>
        <w:t xml:space="preserve"> (citation omitted). Therefore, to the extent Plaintiff raises a new argument or claim regarding the previously dismissed excessive force claims, such claims are dismissed. In any event, even if Plaintiff's new excessive force argument were properly before the Court, Plaintiff fails to provide any support for the proposition that an alleged violation of a state statute can serve to prove the violation of a clearly established constitutional right.</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37" w:name="Bookmark_para_31"/>
      <w:bookmarkEnd w:id="137"/>
      <w:r>
        <w:rPr>
          <w:rFonts w:ascii="arial" w:eastAsia="arial" w:hAnsi="arial" w:cs="arial"/>
          <w:b w:val="0"/>
          <w:i w:val="0"/>
          <w:strike w:val="0"/>
          <w:noProof w:val="0"/>
          <w:color w:val="000000"/>
          <w:position w:val="0"/>
          <w:sz w:val="20"/>
          <w:u w:val="none"/>
          <w:vertAlign w:val="baseline"/>
        </w:rPr>
        <w:t xml:space="preserve">It is therefore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Defendant Atkinson's Motion for Summary Judgment (#28)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8" w:name="Bookmark_para_32"/>
      <w:bookmarkEnd w:id="138"/>
      <w:r>
        <w:rPr>
          <w:rFonts w:ascii="arial" w:eastAsia="arial" w:hAnsi="arial" w:cs="arial"/>
          <w:b w:val="0"/>
          <w:i w:val="0"/>
          <w:strike w:val="0"/>
          <w:noProof w:val="0"/>
          <w:color w:val="000000"/>
          <w:position w:val="0"/>
          <w:sz w:val="20"/>
          <w:u w:val="none"/>
          <w:vertAlign w:val="baseline"/>
        </w:rPr>
        <w:t xml:space="preserve">It is finally </w:t>
      </w:r>
      <w:r>
        <w:rPr>
          <w:rFonts w:ascii="arial" w:eastAsia="arial" w:hAnsi="arial" w:cs="arial"/>
          <w:b/>
          <w:i w:val="0"/>
          <w:strike w:val="0"/>
          <w:noProof w:val="0"/>
          <w:color w:val="000000"/>
          <w:position w:val="0"/>
          <w:sz w:val="20"/>
          <w:u w:val="none"/>
          <w:vertAlign w:val="baseline"/>
        </w:rPr>
        <w:t>ORDERED</w:t>
      </w:r>
      <w:r>
        <w:rPr>
          <w:rFonts w:ascii="arial" w:eastAsia="arial" w:hAnsi="arial" w:cs="arial"/>
          <w:b w:val="0"/>
          <w:i w:val="0"/>
          <w:strike w:val="0"/>
          <w:noProof w:val="0"/>
          <w:color w:val="000000"/>
          <w:position w:val="0"/>
          <w:sz w:val="20"/>
          <w:u w:val="none"/>
          <w:vertAlign w:val="baseline"/>
        </w:rPr>
        <w:t xml:space="preserve"> that all other pending motions are </w:t>
      </w:r>
      <w:r>
        <w:rPr>
          <w:rFonts w:ascii="arial" w:eastAsia="arial" w:hAnsi="arial" w:cs="arial"/>
          <w:b/>
          <w:i w:val="0"/>
          <w:strike w:val="0"/>
          <w:noProof w:val="0"/>
          <w:color w:val="000000"/>
          <w:position w:val="0"/>
          <w:sz w:val="20"/>
          <w:u w:val="none"/>
          <w:vertAlign w:val="baseline"/>
        </w:rPr>
        <w:t>DISMISSED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9" w:name="Bookmark_para_33"/>
      <w:bookmarkEnd w:id="139"/>
      <w:r>
        <w:rPr>
          <w:rFonts w:ascii="arial" w:eastAsia="arial" w:hAnsi="arial" w:cs="arial"/>
          <w:b/>
          <w:i w:val="0"/>
          <w:strike w:val="0"/>
          <w:noProof w:val="0"/>
          <w:color w:val="000000"/>
          <w:position w:val="0"/>
          <w:sz w:val="20"/>
          <w:u w:val="none"/>
          <w:vertAlign w:val="baseline"/>
        </w:rPr>
        <w:t>SIGNED</w:t>
      </w:r>
      <w:r>
        <w:rPr>
          <w:rFonts w:ascii="arial" w:eastAsia="arial" w:hAnsi="arial" w:cs="arial"/>
          <w:b w:val="0"/>
          <w:i w:val="0"/>
          <w:strike w:val="0"/>
          <w:noProof w:val="0"/>
          <w:color w:val="000000"/>
          <w:position w:val="0"/>
          <w:sz w:val="20"/>
          <w:u w:val="none"/>
          <w:vertAlign w:val="baseline"/>
        </w:rPr>
        <w:t xml:space="preserve"> on August 30, 2023</w:t>
      </w:r>
    </w:p>
    <w:p>
      <w:pPr>
        <w:keepNext w:val="0"/>
        <w:spacing w:before="200" w:after="0" w:line="260" w:lineRule="atLeast"/>
        <w:ind w:left="0" w:right="0" w:firstLine="0"/>
        <w:jc w:val="both"/>
      </w:pPr>
      <w:bookmarkStart w:id="140" w:name="Bookmark_para_34"/>
      <w:bookmarkEnd w:id="140"/>
      <w:r>
        <w:rPr>
          <w:rFonts w:ascii="arial" w:eastAsia="arial" w:hAnsi="arial" w:cs="arial"/>
          <w:b w:val="0"/>
          <w:i w:val="0"/>
          <w:strike w:val="0"/>
          <w:noProof w:val="0"/>
          <w:color w:val="000000"/>
          <w:position w:val="0"/>
          <w:sz w:val="20"/>
          <w:u w:val="none"/>
          <w:vertAlign w:val="baseline"/>
        </w:rPr>
        <w:t>/s/ Alan D Albright</w:t>
      </w:r>
    </w:p>
    <w:p>
      <w:pPr>
        <w:keepNext w:val="0"/>
        <w:spacing w:before="200" w:after="0" w:line="260" w:lineRule="atLeast"/>
        <w:ind w:left="0" w:right="0" w:firstLine="0"/>
        <w:jc w:val="both"/>
      </w:pPr>
      <w:bookmarkStart w:id="141" w:name="Bookmark_para_35"/>
      <w:bookmarkEnd w:id="141"/>
      <w:r>
        <w:rPr>
          <w:rFonts w:ascii="arial" w:eastAsia="arial" w:hAnsi="arial" w:cs="arial"/>
          <w:b w:val="0"/>
          <w:i w:val="0"/>
          <w:strike w:val="0"/>
          <w:noProof w:val="0"/>
          <w:color w:val="000000"/>
          <w:position w:val="0"/>
          <w:sz w:val="20"/>
          <w:u w:val="none"/>
          <w:vertAlign w:val="baseline"/>
        </w:rPr>
        <w:t>ALAN D ALBRIGHT</w:t>
      </w:r>
    </w:p>
    <w:p>
      <w:pPr>
        <w:keepNext w:val="0"/>
        <w:spacing w:before="200" w:after="0" w:line="260" w:lineRule="atLeast"/>
        <w:ind w:left="0" w:right="0" w:firstLine="0"/>
        <w:jc w:val="both"/>
      </w:pPr>
      <w:bookmarkStart w:id="142" w:name="Bookmark_para_36"/>
      <w:bookmarkEnd w:id="142"/>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Hutchison (McLennan Cnty. #104003) v. Atkinson, 2023 U.S. Dist. LEXIS 154466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T9R-T2X2-D6RV-H374-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3S4X-5GB0-006F-M1NH-00000-00&amp;context=1519360" TargetMode="External" /><Relationship Id="rId13" Type="http://schemas.openxmlformats.org/officeDocument/2006/relationships/hyperlink" Target="https://advance.lexis.com/api/document?collection=cases&amp;id=urn:contentItem:3S4X-9110-008H-V27J-00000-00&amp;context=1519360" TargetMode="External" /><Relationship Id="rId14" Type="http://schemas.openxmlformats.org/officeDocument/2006/relationships/hyperlink" Target="https://advance.lexis.com/api/document?collection=cases&amp;id=urn:contentItem:3S4X-C3M0-001T-D4NM-00000-00&amp;context=1519360" TargetMode="External" /><Relationship Id="rId15" Type="http://schemas.openxmlformats.org/officeDocument/2006/relationships/hyperlink" Target="https://advance.lexis.com/api/document?collection=statutes-legislation&amp;id=urn:contentItem:5GYC-2421-6N19-F165-00000-00&amp;context=1519360" TargetMode="External" /><Relationship Id="rId16" Type="http://schemas.openxmlformats.org/officeDocument/2006/relationships/hyperlink" Target="https://advance.lexis.com/api/document?collection=cases&amp;id=urn:contentItem:3S4X-6HC0-0039-N37R-00000-00&amp;context=1519360" TargetMode="External" /><Relationship Id="rId17" Type="http://schemas.openxmlformats.org/officeDocument/2006/relationships/hyperlink" Target="https://advance.lexis.com/api/document?collection=cases&amp;id=urn:contentItem:3S4X-2WF0-003B-521Y-00000-00&amp;context=1519360" TargetMode="External" /><Relationship Id="rId18" Type="http://schemas.openxmlformats.org/officeDocument/2006/relationships/hyperlink" Target="https://advance.lexis.com/api/document?collection=cases&amp;id=urn:contentItem:3S4X-7P90-0039-N51W-00000-00&amp;context=1519360" TargetMode="External" /><Relationship Id="rId19" Type="http://schemas.openxmlformats.org/officeDocument/2006/relationships/hyperlink" Target="https://advance.lexis.com/api/document?collection=cases&amp;id=urn:contentItem:3S4X-4HC0-008H-V07B-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1HN0-003B-518H-00000-00&amp;context=1519360" TargetMode="External" /><Relationship Id="rId21" Type="http://schemas.openxmlformats.org/officeDocument/2006/relationships/hyperlink" Target="https://advance.lexis.com/api/document?collection=cases&amp;id=urn:contentItem:3S4W-XB20-003B-G1MJ-00000-00&amp;context=1519360" TargetMode="External" /><Relationship Id="rId22" Type="http://schemas.openxmlformats.org/officeDocument/2006/relationships/hyperlink" Target="https://advance.lexis.com/api/document?collection=cases&amp;id=urn:contentItem:3S4X-5FS0-003B-S4K6-00000-00&amp;context=1519360" TargetMode="External" /><Relationship Id="rId23" Type="http://schemas.openxmlformats.org/officeDocument/2006/relationships/hyperlink" Target="https://advance.lexis.com/api/document?collection=cases&amp;id=urn:contentItem:5GFH-TN71-F04K-N0WT-00000-00&amp;context=1519360" TargetMode="External" /><Relationship Id="rId24" Type="http://schemas.openxmlformats.org/officeDocument/2006/relationships/hyperlink" Target="https://advance.lexis.com/api/document?collection=cases&amp;id=urn:contentItem:3S4X-0D70-006F-M36D-00000-00&amp;context=1519360" TargetMode="External" /><Relationship Id="rId25" Type="http://schemas.openxmlformats.org/officeDocument/2006/relationships/hyperlink" Target="https://advance.lexis.com/api/document?collection=statutes-legislation&amp;id=urn:contentItem:8SHT-0712-D6RV-H531-00000-00&amp;context=1519360" TargetMode="External" /><Relationship Id="rId26" Type="http://schemas.openxmlformats.org/officeDocument/2006/relationships/hyperlink" Target="https://advance.lexis.com/api/document?collection=cases&amp;id=urn:contentItem:4FS2-7JG0-0038-X20D-00000-00&amp;context=1519360" TargetMode="External" /><Relationship Id="rId27" Type="http://schemas.openxmlformats.org/officeDocument/2006/relationships/hyperlink" Target="https://advance.lexis.com/api/document?collection=statutes-legislation&amp;id=urn:contentItem:8T9R-T502-8T6X-7323-00000-00&amp;context=1519360" TargetMode="External" /><Relationship Id="rId28" Type="http://schemas.openxmlformats.org/officeDocument/2006/relationships/hyperlink" Target="https://advance.lexis.com/api/document?collection=cases&amp;id=urn:contentItem:43PR-1GS0-0038-X3S8-00000-00&amp;context=1519360" TargetMode="External" /><Relationship Id="rId29" Type="http://schemas.openxmlformats.org/officeDocument/2006/relationships/hyperlink" Target="https://advance.lexis.com/api/document?collection=cases&amp;id=urn:contentItem:800C-K6S1-2RHS-T05T-00000-00&amp;context=1519360"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57CJ-5121-F04F-C328-00000-00&amp;context=1519360" TargetMode="External" /><Relationship Id="rId31" Type="http://schemas.openxmlformats.org/officeDocument/2006/relationships/hyperlink" Target="https://advance.lexis.com/api/document?collection=cases&amp;id=urn:contentItem:57C6-KPF1-F04F-C30V-00000-00&amp;context=1519360" TargetMode="External" /><Relationship Id="rId32" Type="http://schemas.openxmlformats.org/officeDocument/2006/relationships/hyperlink" Target="https://advance.lexis.com/api/document?collection=cases&amp;id=urn:contentItem:3S4X-JG00-00B1-D4G1-00000-00&amp;context=1519360" TargetMode="External" /><Relationship Id="rId33" Type="http://schemas.openxmlformats.org/officeDocument/2006/relationships/hyperlink" Target="https://advance.lexis.com/api/document?collection=cases&amp;id=urn:contentItem:5GJD-90T1-F04K-N14J-00000-00&amp;context=1519360" TargetMode="External" /><Relationship Id="rId34" Type="http://schemas.openxmlformats.org/officeDocument/2006/relationships/hyperlink" Target="https://advance.lexis.com/api/document?collection=cases&amp;id=urn:contentItem:559V-47R1-F04K-F2T9-00000-00&amp;context=1519360" TargetMode="External" /><Relationship Id="rId35" Type="http://schemas.openxmlformats.org/officeDocument/2006/relationships/hyperlink" Target="https://advance.lexis.com/api/document?collection=cases&amp;id=urn:contentItem:3S4X-87Y0-003B-S1RX-00000-00&amp;context=1519360" TargetMode="External" /><Relationship Id="rId36" Type="http://schemas.openxmlformats.org/officeDocument/2006/relationships/hyperlink" Target="https://advance.lexis.com/api/document?collection=cases&amp;id=urn:contentItem:3S4X-3B00-003B-S2X9-00000-00&amp;context=1519360" TargetMode="External" /><Relationship Id="rId37" Type="http://schemas.openxmlformats.org/officeDocument/2006/relationships/hyperlink" Target="https://advance.lexis.com/api/document?collection=cases&amp;id=urn:contentItem:61B6-X151-JYYX-64N0-00000-00&amp;context=1519360" TargetMode="External" /><Relationship Id="rId38" Type="http://schemas.openxmlformats.org/officeDocument/2006/relationships/hyperlink" Target="https://advance.lexis.com/api/document?collection=cases&amp;id=urn:contentItem:4HC8-2SG0-0038-X14N-00000-00&amp;context=1519360" TargetMode="External" /><Relationship Id="rId39" Type="http://schemas.openxmlformats.org/officeDocument/2006/relationships/theme" Target="theme/theme1.xml" /><Relationship Id="rId4" Type="http://schemas.openxmlformats.org/officeDocument/2006/relationships/header" Target="header1.xml" /><Relationship Id="rId40"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92S-V5W1-FJDY-X009-00000-00&amp;context=1519360" TargetMode="External" /><Relationship Id="rId9" Type="http://schemas.openxmlformats.org/officeDocument/2006/relationships/hyperlink" Target="https://advance.lexis.com/api/document?collection=statutes-legislation&amp;id=urn:contentItem:8SHT-0712-D6RV-H526-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Hutchison (McLennan Cnty. #104003) v. Atkinson, 2023 U.S. Dist. LEXIS 154466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vt:lpwstr>
  </property>
  <property fmtid="{D5CDD505-2E9C-101B-9397-08002B2CF9AE}" pid="3" name="LADocCount">
    <vt:lpwstr>1</vt:lpwstr>
  </property>
  <property fmtid="{D5CDD505-2E9C-101B-9397-08002B2CF9AE}" pid="4" name="LADocumentID:37">
    <vt:lpwstr>Doc::urn:hlct:5|contextualFeaturePermID::1519360</vt:lpwstr>
  </property>
  <property fmtid="{D5CDD505-2E9C-101B-9397-08002B2CF9AE}" pid="5" name="UserPermID">
    <vt:lpwstr>urn:user:PA186186283</vt:lpwstr>
  </property>
</Properties>
</file>