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TIW Holdings LLC v. EVO Brands LLC</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Central District of California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26, 2023, Decided; December 26,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5:23-cv-00005-AB-MAR</w:t>
      </w:r>
    </w:p>
    <w:p>
      <w:pPr>
        <w:keepNext w:val="0"/>
        <w:spacing w:after="0" w:line="240" w:lineRule="atLeast"/>
        <w:ind w:right="0"/>
        <w:jc w:val="both"/>
      </w:pPr>
      <w:bookmarkStart w:id="0" w:name="Bookmark_8"/>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229805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TIW Holdings LLC et al v. EVO Brands LLC et al.</w:t>
      </w:r>
    </w:p>
    <w:p>
      <w:pPr>
        <w:keepNext w:val="0"/>
        <w:spacing w:before="240" w:after="0" w:line="260" w:lineRule="atLeast"/>
        <w:ind w:left="0" w:right="0" w:firstLine="0"/>
        <w:jc w:val="left"/>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9" w:history="1">
        <w:r>
          <w:rPr>
            <w:rFonts w:ascii="arial" w:eastAsia="arial" w:hAnsi="arial" w:cs="arial"/>
            <w:b w:val="0"/>
            <w:i/>
            <w:strike w:val="0"/>
            <w:noProof w:val="0"/>
            <w:color w:val="0077CC"/>
            <w:position w:val="0"/>
            <w:sz w:val="20"/>
            <w:u w:val="single"/>
            <w:vertAlign w:val="baseline"/>
          </w:rPr>
          <w:t>Tiw Holdings LLC v. Evo Brands LLC, 2023 U.S. Dist. LEXIS 218184, 2023 WL 8261410 (C.D. Cal., Mar. 28, 2023)</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Marks, trademark, judicial notice, products, documents, motion to dismiss, infringement, Brand, registration, allegations, registered, ownership, notice, ongoing, Counterclaims, cigarettes, Clouds</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ABS Distribution Inc., a California corporation, ABS Distribution Inc., a California corporation (as to Crossclaims Doc No. 40 filed 4/3/2023), Amanpreet Singh Kohli, an individual, Amanpreet Singh Kohli, an individual (as to Crossclaims Doc No. 40 filed 4/3/2023), Bhawan Preet Kohli, an individual, Bhawan Preet Kohli, an individual (as to Crossclaims Doc No. 40 filed 4/3/2023), Cross Claimants, Defendants: Ahmed Kasem, Kasem Ko and Ahmed, Costa Mesa, CA.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Abdurraham Abdurrahman Yousuf, an individual, Defendant: Scott E Shapiro, LEAD ATTORNEY, Appell Shapiro LLP, Burbank, CA.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EVO Brands LLC, a Delaware limited liability company, EVO Brands LLC, a Delaware limited liability company (as to Crossclaims Doc No. 40 filed 4/3/2023), PVG2 LLC, a Delaware limited liability company, PVG2 LLC, a Delaware limited liability company (as to Crossclaims Doc No. 40 filed 4/3/2023), Counter Claimants, Cross Defendants, Defendants: Carrie A. Shufflebarger, Thompson Hine LLP, Cincinnati, OH; Chelsea Ann Bernard, John Allan Conkle, Conkle Kremer and Engel PLC, Santa Monica, CA; Eric N. Heyer, Thompson Hine LLP, Washington, DC.</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Eliquidstop Inc., MDM Group, Eliquidstop Inc., a North Carolina</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corporation, Eliquidstop Inc., also known as, Defendants: Rohit A Sabnis, Keller and Heckman LLP, San Francisco, CA.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Nick Minas Alfaro, an individual, Patrick Beltran, an individual, Defendants: Carrie A. Shufflebarger, PRO HAC VICE, Thompson Hine LLP, Cincinnati, OH; Chelsea Ann Bernard, John Allan Conkle, Conkle Kremer and Engel PLC, Santa Monica, CA; Eric N. Heyer, Thompson Hine LLP, Washington, DC.</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Puff Bar, a California corporation, Defendant: Carrie A. Shufflebarger, PRO HAC VICE, Thompson Hine LLP, Cincinnati, OH; Eric N. Heyer, PRO HAC VICE, Thompson Hine LLP, Washington, DC; John Allan Conkle, Conkle Kremer and Engel PLC, Santa Monica, CA.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Puff Labs LLC, a Nevada limited liability company, TIW Holdings LLC, a Nevada limited liability company, Counter Defendants, Plaintiffs: Kirstin Anna Jensvold-Rumage, Milord Law Group, Los Angeles, CA; Milord A Keshishian, Milord Law Group P.C., Los Angeles, CA.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Saquib Zack Shoaib, an individual, Umais Abubaker, Max Baker, Umais Abubaker, also known as, Defendants: Haroon Manjlai, Manjlai Law PC, Rancho Cucamonga, CA.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Tom Hanrahan, Mediator (ADR Panel): Thomas P Hanrahan, LEAD ATTORNEY, TPHanrahan Dispute Solutions, Manhattan</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Beach, CA.</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ANDRÉ BIROTTE JR., United States District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ANDRÉ BIROTTE JR.</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CIVIL MINUTES - GENERAL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Proceedings: [In Chambers] ORDER </w:t>
      </w:r>
      <w:r>
        <w:rPr>
          <w:rFonts w:ascii="arial" w:eastAsia="arial" w:hAnsi="arial" w:cs="arial"/>
          <w:b/>
          <w:i w:val="0"/>
          <w:strike w:val="0"/>
          <w:noProof w:val="0"/>
          <w:color w:val="000000"/>
          <w:position w:val="0"/>
          <w:sz w:val="20"/>
          <w:u w:val="single"/>
          <w:vertAlign w:val="baseline"/>
        </w:rPr>
        <w:t>DENYING</w:t>
      </w:r>
      <w:r>
        <w:rPr>
          <w:rFonts w:ascii="arial" w:eastAsia="arial" w:hAnsi="arial" w:cs="arial"/>
          <w:b/>
          <w:i w:val="0"/>
          <w:strike w:val="0"/>
          <w:noProof w:val="0"/>
          <w:color w:val="000000"/>
          <w:position w:val="0"/>
          <w:sz w:val="20"/>
          <w:u w:val="none"/>
          <w:vertAlign w:val="baseline"/>
        </w:rPr>
        <w:t xml:space="preserve"> MOTION TO DISMISS FIRST AMENDED COUNTERCLAIM [Dkt. No. 46]</w:t>
      </w:r>
    </w:p>
    <w:p>
      <w:pPr>
        <w:keepNext w:val="0"/>
        <w:spacing w:before="20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 xml:space="preserve">Before the Court is Plaintiffs TIW Holdings LLC and Puff Labs, LLC's (collectively, "TIW Puff') </w:t>
      </w:r>
      <w:r>
        <w:rPr>
          <w:rFonts w:ascii="arial" w:eastAsia="arial" w:hAnsi="arial" w:cs="arial"/>
          <w:b w:val="0"/>
          <w:i/>
          <w:strike w:val="0"/>
          <w:noProof w:val="0"/>
          <w:color w:val="000000"/>
          <w:position w:val="0"/>
          <w:sz w:val="20"/>
          <w:u w:val="none"/>
          <w:vertAlign w:val="baseline"/>
        </w:rPr>
        <w:t>Fed. R. Civ. P. 12(b)(6)</w:t>
      </w:r>
      <w:r>
        <w:rPr>
          <w:rFonts w:ascii="arial" w:eastAsia="arial" w:hAnsi="arial" w:cs="arial"/>
          <w:b w:val="0"/>
          <w:i w:val="0"/>
          <w:strike w:val="0"/>
          <w:noProof w:val="0"/>
          <w:color w:val="000000"/>
          <w:position w:val="0"/>
          <w:sz w:val="20"/>
          <w:u w:val="none"/>
          <w:vertAlign w:val="baseline"/>
        </w:rPr>
        <w:t xml:space="preserve"> Moton to Dismiss ("Motion," Dkt. No. 46) EVO Brands LLC ("EVO") and PVG2, LLC's ("PVG2") (collectively, "EVO Defendants") First Amended Counterclaims ("FACC," Dkt. No. 46). The EVO Defendants filed an opposition and TIW Puff filed a reply. The Motion is </w:t>
      </w:r>
      <w:r>
        <w:rPr>
          <w:rFonts w:ascii="arial" w:eastAsia="arial" w:hAnsi="arial" w:cs="arial"/>
          <w:b/>
          <w:i w:val="0"/>
          <w:strike w:val="0"/>
          <w:noProof w:val="0"/>
          <w:color w:val="000000"/>
          <w:position w:val="0"/>
          <w:sz w:val="20"/>
          <w:u w:val="single"/>
          <w:vertAlign w:val="baseline"/>
        </w:rPr>
        <w:t>DENIED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BACKGROUND</w:t>
      </w:r>
    </w:p>
    <w:p>
      <w:pPr>
        <w:keepNext w:val="0"/>
        <w:spacing w:before="200" w:after="0" w:line="260" w:lineRule="atLeast"/>
        <w:ind w:left="0" w:right="0" w:firstLine="0"/>
        <w:jc w:val="both"/>
      </w:pPr>
      <w:bookmarkStart w:id="9" w:name="Bookmark_para_2"/>
      <w:bookmarkEnd w:id="9"/>
      <w:r>
        <w:rPr>
          <w:rFonts w:ascii="arial" w:eastAsia="arial" w:hAnsi="arial" w:cs="arial"/>
          <w:b w:val="0"/>
          <w:i w:val="0"/>
          <w:strike w:val="0"/>
          <w:noProof w:val="0"/>
          <w:color w:val="000000"/>
          <w:position w:val="0"/>
          <w:sz w:val="20"/>
          <w:u w:val="none"/>
          <w:vertAlign w:val="baseline"/>
        </w:rPr>
        <w:t xml:space="preserve">This is a trademark dispute between sellers of tobacco, nicotine, and/or vaporizer products. TIW Puff filed its Complaint asserting trademark infringement, unfair competition, and related claims against the EVO Defendants arising out of the EVO Defendants' alleged unauthorized use of TIW Puffs marks ("Puff Marks") on e-cigarette and e-liquid products and services.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Compl. ¶¶ 23-26.</w:t>
      </w:r>
    </w:p>
    <w:p>
      <w:pPr>
        <w:keepNext w:val="0"/>
        <w:spacing w:before="240" w:after="0" w:line="260" w:lineRule="atLeast"/>
        <w:ind w:left="0" w:right="0" w:firstLine="0"/>
        <w:jc w:val="both"/>
      </w:pPr>
      <w:bookmarkStart w:id="10" w:name="Bookmark_para_3"/>
      <w:bookmarkEnd w:id="10"/>
      <w:r>
        <w:rPr>
          <w:rFonts w:ascii="arial" w:eastAsia="arial" w:hAnsi="arial" w:cs="arial"/>
          <w:b w:val="0"/>
          <w:i w:val="0"/>
          <w:strike w:val="0"/>
          <w:noProof w:val="0"/>
          <w:color w:val="000000"/>
          <w:position w:val="0"/>
          <w:sz w:val="20"/>
          <w:u w:val="none"/>
          <w:vertAlign w:val="baseline"/>
        </w:rPr>
        <w:t xml:space="preserve">The EVO Defendants filed a First Amended Answer and Counterclaims ("FACC," Dkt. No. 46), alleging that </w:t>
      </w:r>
      <w:r>
        <w:rPr>
          <w:rFonts w:ascii="arial" w:eastAsia="arial" w:hAnsi="arial" w:cs="arial"/>
          <w:b w:val="0"/>
          <w:i/>
          <w:strike w:val="0"/>
          <w:noProof w:val="0"/>
          <w:color w:val="000000"/>
          <w:position w:val="0"/>
          <w:sz w:val="20"/>
          <w:u w:val="none"/>
          <w:vertAlign w:val="baseline"/>
        </w:rPr>
        <w:t>they</w:t>
      </w:r>
      <w:r>
        <w:rPr>
          <w:rFonts w:ascii="arial" w:eastAsia="arial" w:hAnsi="arial" w:cs="arial"/>
          <w:b w:val="0"/>
          <w:i w:val="0"/>
          <w:strike w:val="0"/>
          <w:noProof w:val="0"/>
          <w:color w:val="000000"/>
          <w:position w:val="0"/>
          <w:sz w:val="20"/>
          <w:u w:val="none"/>
          <w:vertAlign w:val="baseline"/>
        </w:rPr>
        <w:t xml:space="preserve"> own the PUFF Brand and its puff-related marks, and that TIW Puff is the infringer.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FACC ¶ 9. In particular, the EVO Defendants allege</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that they are the "current owner of all federal and California state common law rights in the marks that comprise the PUFF Brand [and that they] acquired the PUFF Brand on or about January 21, 2021, and since that time [] have used the PUFF Brand in the United States in connection with the advertisement and sale of electronic cigarettes containing tobacco-free nicotine and nicotine-free disposable vaporizers." FACC ¶ 10. The EVO Defendants also allege that they are "the owner of U.S. Trademark Registration No. 6907497 for the mark PUFF PLUS &amp; Cloud Design [] for use in connection with 'electronic cigarettes; electronic cigarettes for use as an alternative to traditional cigarettes; electric cigarettes,' claiming as a date of first use February 19, 2021 (the 'PUFF PLUS Registered Mark')." FACC ¶ 11. The EVO Defendants allege that at "some point in late 2022, after at least February 19, 2021," TIW Puff began selling e-cigarette and other vaping products that bore marks that infringed on the EVO Defendants' Puff Brand marks. FACC ¶¶ 14-16. Based on the foregoing, the EVO Defendants assert against TIW Puff counterclaims for (1) federal trademark infringement under </w:t>
      </w:r>
      <w:hyperlink r:id="rId10" w:history="1">
        <w:r>
          <w:rPr>
            <w:rFonts w:ascii="arial" w:eastAsia="arial" w:hAnsi="arial" w:cs="arial"/>
            <w:b w:val="0"/>
            <w:i/>
            <w:strike w:val="0"/>
            <w:noProof w:val="0"/>
            <w:color w:val="0077CC"/>
            <w:position w:val="0"/>
            <w:sz w:val="20"/>
            <w:u w:val="single"/>
            <w:vertAlign w:val="baseline"/>
          </w:rPr>
          <w:t>15 U.S.C. § 1114(1)</w:t>
        </w:r>
      </w:hyperlink>
      <w:r>
        <w:rPr>
          <w:rFonts w:ascii="arial" w:eastAsia="arial" w:hAnsi="arial" w:cs="arial"/>
          <w:b w:val="0"/>
          <w:i w:val="0"/>
          <w:strike w:val="0"/>
          <w:noProof w:val="0"/>
          <w:color w:val="000000"/>
          <w:position w:val="0"/>
          <w:sz w:val="20"/>
          <w:u w:val="none"/>
          <w:vertAlign w:val="baseline"/>
        </w:rPr>
        <w:t>; (2) unfair competition</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and false designation of origin under </w:t>
      </w:r>
      <w:hyperlink r:id="rId11" w:history="1">
        <w:r>
          <w:rPr>
            <w:rFonts w:ascii="arial" w:eastAsia="arial" w:hAnsi="arial" w:cs="arial"/>
            <w:b w:val="0"/>
            <w:i/>
            <w:strike w:val="0"/>
            <w:noProof w:val="0"/>
            <w:color w:val="0077CC"/>
            <w:position w:val="0"/>
            <w:sz w:val="20"/>
            <w:u w:val="single"/>
            <w:vertAlign w:val="baseline"/>
          </w:rPr>
          <w:t>15 U.S.C. § 1125(a)(1)(A)</w:t>
        </w:r>
      </w:hyperlink>
      <w:r>
        <w:rPr>
          <w:rFonts w:ascii="arial" w:eastAsia="arial" w:hAnsi="arial" w:cs="arial"/>
          <w:b w:val="0"/>
          <w:i w:val="0"/>
          <w:strike w:val="0"/>
          <w:noProof w:val="0"/>
          <w:color w:val="000000"/>
          <w:position w:val="0"/>
          <w:sz w:val="20"/>
          <w:u w:val="none"/>
          <w:vertAlign w:val="baseline"/>
        </w:rPr>
        <w:t xml:space="preserve">; (3) violation of </w:t>
      </w:r>
      <w:hyperlink r:id="rId12" w:history="1">
        <w:r>
          <w:rPr>
            <w:rFonts w:ascii="arial" w:eastAsia="arial" w:hAnsi="arial" w:cs="arial"/>
            <w:b w:val="0"/>
            <w:i/>
            <w:strike w:val="0"/>
            <w:noProof w:val="0"/>
            <w:color w:val="0077CC"/>
            <w:position w:val="0"/>
            <w:sz w:val="20"/>
            <w:u w:val="single"/>
            <w:vertAlign w:val="baseline"/>
          </w:rPr>
          <w:t>Cal. Bus. &amp; Profs Code § 17200</w:t>
        </w:r>
      </w:hyperlink>
      <w:r>
        <w:rPr>
          <w:rFonts w:ascii="arial" w:eastAsia="arial" w:hAnsi="arial" w:cs="arial"/>
          <w:b w:val="0"/>
          <w:i w:val="0"/>
          <w:strike w:val="0"/>
          <w:noProof w:val="0"/>
          <w:color w:val="000000"/>
          <w:position w:val="0"/>
          <w:sz w:val="20"/>
          <w:u w:val="none"/>
          <w:vertAlign w:val="baseline"/>
        </w:rPr>
        <w:t xml:space="preserve">; and (4) trademark cancellation under </w:t>
      </w:r>
      <w:hyperlink r:id="rId13" w:history="1">
        <w:r>
          <w:rPr>
            <w:rFonts w:ascii="arial" w:eastAsia="arial" w:hAnsi="arial" w:cs="arial"/>
            <w:b w:val="0"/>
            <w:i/>
            <w:strike w:val="0"/>
            <w:noProof w:val="0"/>
            <w:color w:val="0077CC"/>
            <w:position w:val="0"/>
            <w:sz w:val="20"/>
            <w:u w:val="single"/>
            <w:vertAlign w:val="baseline"/>
          </w:rPr>
          <w:t>15 U.S.C. § 1119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1" w:name="Bookmark_para_4"/>
      <w:bookmarkEnd w:id="11"/>
      <w:r>
        <w:rPr>
          <w:rFonts w:ascii="arial" w:eastAsia="arial" w:hAnsi="arial" w:cs="arial"/>
          <w:b w:val="0"/>
          <w:i w:val="0"/>
          <w:strike w:val="0"/>
          <w:noProof w:val="0"/>
          <w:color w:val="000000"/>
          <w:position w:val="0"/>
          <w:sz w:val="20"/>
          <w:u w:val="none"/>
          <w:vertAlign w:val="baseline"/>
        </w:rPr>
        <w:t>TIW Puff moves to dismiss these claims on the ground that EVO fails to plausibly plead lawful use of any mark to establish trademark rights, priority, or infringement. TIW Puff also asks the Court to take judicial notice of 14 documents.</w:t>
      </w:r>
    </w:p>
    <w:p>
      <w:pPr>
        <w:keepNext w:val="0"/>
        <w:spacing w:before="240" w:after="0" w:line="260" w:lineRule="atLeast"/>
        <w:ind w:left="0" w:right="0" w:firstLine="0"/>
        <w:jc w:val="both"/>
      </w:pPr>
      <w:bookmarkStart w:id="12" w:name="Bookmark_para_5"/>
      <w:bookmarkEnd w:id="12"/>
      <w:bookmarkStart w:id="13" w:name="Bookmark_I6B17H4228T4JV0020000400"/>
      <w:bookmarkEnd w:id="13"/>
      <w:r>
        <w:rPr>
          <w:rFonts w:ascii="arial" w:eastAsia="arial" w:hAnsi="arial" w:cs="arial"/>
          <w:b w:val="0"/>
          <w:i w:val="0"/>
          <w:strike w:val="0"/>
          <w:noProof w:val="0"/>
          <w:color w:val="000000"/>
          <w:position w:val="0"/>
          <w:sz w:val="20"/>
          <w:u w:val="none"/>
          <w:vertAlign w:val="baseline"/>
        </w:rPr>
        <w:t xml:space="preserve">The defendants in the co-pending related case, </w:t>
      </w:r>
      <w:r>
        <w:rPr>
          <w:rFonts w:ascii="arial" w:eastAsia="arial" w:hAnsi="arial" w:cs="arial"/>
          <w:b w:val="0"/>
          <w:i/>
          <w:strike w:val="0"/>
          <w:noProof w:val="0"/>
          <w:color w:val="000000"/>
          <w:position w:val="0"/>
          <w:sz w:val="20"/>
          <w:u w:val="none"/>
          <w:vertAlign w:val="baseline"/>
        </w:rPr>
        <w:t>EVO Brands, LLC v. Al Khalifa Grp. LLC</w:t>
      </w:r>
      <w:r>
        <w:rPr>
          <w:rFonts w:ascii="arial" w:eastAsia="arial" w:hAnsi="arial" w:cs="arial"/>
          <w:b w:val="0"/>
          <w:i w:val="0"/>
          <w:strike w:val="0"/>
          <w:noProof w:val="0"/>
          <w:color w:val="000000"/>
          <w:position w:val="0"/>
          <w:sz w:val="20"/>
          <w:u w:val="none"/>
          <w:vertAlign w:val="baseline"/>
        </w:rPr>
        <w:t xml:space="preserve">, No. 2:22-CV-03909-AB, who are represented by the same counsel as TIW Puff in this case, made similar if not the same arguments in their motions to dismiss the EVO Defendants' complaint in that case. The parties' filings show that they are thoroughly familiar with the briefing on the motions to dismiss in that case and with the Court's orders resolving them. </w:t>
      </w:r>
      <w:r>
        <w:rPr>
          <w:rFonts w:ascii="arial" w:eastAsia="arial" w:hAnsi="arial" w:cs="arial"/>
          <w:b w:val="0"/>
          <w:i/>
          <w:strike w:val="0"/>
          <w:noProof w:val="0"/>
          <w:color w:val="000000"/>
          <w:position w:val="0"/>
          <w:sz w:val="20"/>
          <w:u w:val="none"/>
          <w:vertAlign w:val="baseline"/>
        </w:rPr>
        <w:t xml:space="preserve">See </w:t>
      </w:r>
      <w:bookmarkStart w:id="14" w:name="Bookmark_I6B17H4228T4JV0010000400"/>
      <w:bookmarkEnd w:id="14"/>
      <w:hyperlink r:id="rId14" w:history="1">
        <w:r>
          <w:rPr>
            <w:rFonts w:ascii="arial" w:eastAsia="arial" w:hAnsi="arial" w:cs="arial"/>
            <w:b w:val="0"/>
            <w:i/>
            <w:strike w:val="0"/>
            <w:noProof w:val="0"/>
            <w:color w:val="0077CC"/>
            <w:position w:val="0"/>
            <w:sz w:val="20"/>
            <w:u w:val="single"/>
            <w:vertAlign w:val="baseline"/>
          </w:rPr>
          <w:t>Evo Brands, LLC v. Al Khalifa Grp. LLC</w:t>
        </w:r>
      </w:hyperlink>
      <w:hyperlink r:id="rId14" w:history="1">
        <w:r>
          <w:rPr>
            <w:rFonts w:ascii="arial" w:eastAsia="arial" w:hAnsi="arial" w:cs="arial"/>
            <w:b w:val="0"/>
            <w:i/>
            <w:strike w:val="0"/>
            <w:noProof w:val="0"/>
            <w:color w:val="0077CC"/>
            <w:position w:val="0"/>
            <w:sz w:val="20"/>
            <w:u w:val="single"/>
            <w:vertAlign w:val="baseline"/>
          </w:rPr>
          <w:t>, 657 F. Supp. 3d 1312 (C.D. Cal. 2023)</w:t>
        </w:r>
      </w:hyperlink>
      <w:r>
        <w:rPr>
          <w:rFonts w:ascii="arial" w:eastAsia="arial" w:hAnsi="arial" w:cs="arial"/>
          <w:b w:val="0"/>
          <w:i w:val="0"/>
          <w:strike w:val="0"/>
          <w:noProof w:val="0"/>
          <w:color w:val="000000"/>
          <w:position w:val="0"/>
          <w:sz w:val="20"/>
          <w:u w:val="none"/>
          <w:vertAlign w:val="baseline"/>
        </w:rPr>
        <w:t xml:space="preserve"> (order granting motion to dismiss, with leave to amend), and </w:t>
      </w:r>
      <w:bookmarkStart w:id="15" w:name="Bookmark_I6B17H4228T4JV0030000400"/>
      <w:bookmarkEnd w:id="15"/>
      <w:hyperlink r:id="rId15" w:history="1">
        <w:r>
          <w:rPr>
            <w:rFonts w:ascii="arial" w:eastAsia="arial" w:hAnsi="arial" w:cs="arial"/>
            <w:b w:val="0"/>
            <w:i/>
            <w:strike w:val="0"/>
            <w:noProof w:val="0"/>
            <w:color w:val="0077CC"/>
            <w:position w:val="0"/>
            <w:sz w:val="20"/>
            <w:u w:val="single"/>
            <w:vertAlign w:val="baseline"/>
          </w:rPr>
          <w:t>EVO Brands, LLC v. Al Khalifa Group LLC</w:t>
        </w:r>
      </w:hyperlink>
      <w:hyperlink r:id="rId15" w:history="1">
        <w:r>
          <w:rPr>
            <w:rFonts w:ascii="arial" w:eastAsia="arial" w:hAnsi="arial" w:cs="arial"/>
            <w:b w:val="0"/>
            <w:i/>
            <w:strike w:val="0"/>
            <w:noProof w:val="0"/>
            <w:color w:val="0077CC"/>
            <w:position w:val="0"/>
            <w:sz w:val="20"/>
            <w:u w:val="single"/>
            <w:vertAlign w:val="baseline"/>
          </w:rPr>
          <w:t>, 2023 U.S. Dist. LEXIS 151753, 2023 WL 5505002, (C.D. Cal. 2023)</w:t>
        </w:r>
      </w:hyperlink>
      <w:r>
        <w:rPr>
          <w:rFonts w:ascii="arial" w:eastAsia="arial" w:hAnsi="arial" w:cs="arial"/>
          <w:b w:val="0"/>
          <w:i w:val="0"/>
          <w:strike w:val="0"/>
          <w:noProof w:val="0"/>
          <w:color w:val="000000"/>
          <w:position w:val="0"/>
          <w:sz w:val="20"/>
          <w:u w:val="none"/>
          <w:vertAlign w:val="baseline"/>
        </w:rPr>
        <w:t xml:space="preserve"> (order denying motion to dismiss). This Order relies substantially on those prior orders.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LEGAL STANDARD</w:t>
      </w:r>
    </w:p>
    <w:p>
      <w:pPr>
        <w:keepNext w:val="0"/>
        <w:spacing w:before="240" w:after="0" w:line="260" w:lineRule="atLeast"/>
        <w:ind w:left="0" w:right="0" w:firstLine="0"/>
        <w:jc w:val="both"/>
      </w:pPr>
      <w:bookmarkStart w:id="16" w:name="Bookmark_para_6"/>
      <w:bookmarkEnd w:id="16"/>
      <w:hyperlink r:id="rId16" w:history="1">
        <w:r>
          <w:rPr>
            <w:rFonts w:ascii="arial" w:eastAsia="arial" w:hAnsi="arial" w:cs="arial"/>
            <w:b w:val="0"/>
            <w:i/>
            <w:strike w:val="0"/>
            <w:color w:val="0077CC"/>
            <w:sz w:val="20"/>
            <w:u w:val="single"/>
            <w:vertAlign w:val="baseline"/>
          </w:rPr>
          <w:t>Rule 8</w:t>
        </w:r>
      </w:hyperlink>
      <w:r>
        <w:rPr>
          <w:rFonts w:ascii="arial" w:eastAsia="arial" w:hAnsi="arial" w:cs="arial"/>
          <w:b w:val="0"/>
          <w:i w:val="0"/>
          <w:strike w:val="0"/>
          <w:noProof w:val="0"/>
          <w:color w:val="000000"/>
          <w:position w:val="0"/>
          <w:sz w:val="20"/>
          <w:u w:val="none"/>
          <w:vertAlign w:val="baseline"/>
        </w:rPr>
        <w:t xml:space="preserve"> requires a plaintiff to present a "short and plain statement of the claim showing that the pleader is entitled to relief." </w:t>
      </w:r>
      <w:hyperlink r:id="rId16" w:history="1">
        <w:r>
          <w:rPr>
            <w:rFonts w:ascii="arial" w:eastAsia="arial" w:hAnsi="arial" w:cs="arial"/>
            <w:b w:val="0"/>
            <w:i/>
            <w:strike w:val="0"/>
            <w:noProof w:val="0"/>
            <w:color w:val="0077CC"/>
            <w:position w:val="0"/>
            <w:sz w:val="20"/>
            <w:u w:val="single"/>
            <w:vertAlign w:val="baseline"/>
          </w:rPr>
          <w:t>Fed. R. Civ. P. 8(a)(2)</w:t>
        </w:r>
      </w:hyperlink>
      <w:r>
        <w:rPr>
          <w:rFonts w:ascii="arial" w:eastAsia="arial" w:hAnsi="arial" w:cs="arial"/>
          <w:b w:val="0"/>
          <w:i w:val="0"/>
          <w:strike w:val="0"/>
          <w:noProof w:val="0"/>
          <w:color w:val="000000"/>
          <w:position w:val="0"/>
          <w:sz w:val="20"/>
          <w:u w:val="none"/>
          <w:vertAlign w:val="baseline"/>
        </w:rPr>
        <w:t xml:space="preserve">. Under </w:t>
      </w:r>
      <w:r>
        <w:rPr>
          <w:rFonts w:ascii="arial" w:eastAsia="arial" w:hAnsi="arial" w:cs="arial"/>
          <w:b w:val="0"/>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 xml:space="preserve">, a defendant may move to dismiss a pleading for "failure to state a claim upon which relief can be granted." </w:t>
      </w:r>
      <w:r>
        <w:rPr>
          <w:rFonts w:ascii="arial" w:eastAsia="arial" w:hAnsi="arial" w:cs="arial"/>
          <w:b w:val="0"/>
          <w:i/>
          <w:strike w:val="0"/>
          <w:noProof w:val="0"/>
          <w:color w:val="000000"/>
          <w:position w:val="0"/>
          <w:sz w:val="20"/>
          <w:u w:val="none"/>
          <w:vertAlign w:val="baseline"/>
        </w:rPr>
        <w:t>Fed. R. Civ. P. 12(b)(6)</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7" w:name="Bookmark_para_7"/>
      <w:bookmarkEnd w:id="17"/>
      <w:bookmarkStart w:id="18" w:name="Bookmark_I6B17H442SF88J0010000400"/>
      <w:bookmarkEnd w:id="18"/>
      <w:bookmarkStart w:id="19" w:name="Bookmark_I6B17H442SF88J0030000400"/>
      <w:bookmarkEnd w:id="19"/>
      <w:bookmarkStart w:id="20" w:name="Bookmark_I6B17H442D6MW90020000400"/>
      <w:bookmarkEnd w:id="20"/>
      <w:r>
        <w:rPr>
          <w:rFonts w:ascii="arial" w:eastAsia="arial" w:hAnsi="arial" w:cs="arial"/>
          <w:b w:val="0"/>
          <w:i w:val="0"/>
          <w:strike w:val="0"/>
          <w:noProof w:val="0"/>
          <w:color w:val="000000"/>
          <w:position w:val="0"/>
          <w:sz w:val="20"/>
          <w:u w:val="none"/>
          <w:vertAlign w:val="baseline"/>
        </w:rPr>
        <w:t>To</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defeat a </w:t>
      </w:r>
      <w:r>
        <w:rPr>
          <w:rFonts w:ascii="arial" w:eastAsia="arial" w:hAnsi="arial" w:cs="arial"/>
          <w:b w:val="0"/>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 xml:space="preserve"> motion to dismiss, the complaint must provide enough factual detail to "give the defendant fair notice of what the . . . claim is and the grounds upon which it rests." </w:t>
      </w:r>
      <w:bookmarkStart w:id="21" w:name="Bookmark_I6B17H4228T4JV0050000400"/>
      <w:bookmarkEnd w:id="21"/>
      <w:hyperlink r:id="rId17" w:history="1">
        <w:r>
          <w:rPr>
            <w:rFonts w:ascii="arial" w:eastAsia="arial" w:hAnsi="arial" w:cs="arial"/>
            <w:b w:val="0"/>
            <w:i/>
            <w:strike w:val="0"/>
            <w:noProof w:val="0"/>
            <w:color w:val="0077CC"/>
            <w:position w:val="0"/>
            <w:sz w:val="20"/>
            <w:u w:val="single"/>
            <w:vertAlign w:val="baseline"/>
          </w:rPr>
          <w:t>Bell Atl. Corp. v. Twombly</w:t>
        </w:r>
      </w:hyperlink>
      <w:hyperlink r:id="rId17" w:history="1">
        <w:r>
          <w:rPr>
            <w:rFonts w:ascii="arial" w:eastAsia="arial" w:hAnsi="arial" w:cs="arial"/>
            <w:b w:val="0"/>
            <w:i/>
            <w:strike w:val="0"/>
            <w:noProof w:val="0"/>
            <w:color w:val="0077CC"/>
            <w:position w:val="0"/>
            <w:sz w:val="20"/>
            <w:u w:val="single"/>
            <w:vertAlign w:val="baseline"/>
          </w:rPr>
          <w:t>, 550 U.S. 544, 555, 127 S. Ct. 1955, 167 L. Ed. 2d 929 (2007)</w:t>
        </w:r>
      </w:hyperlink>
      <w:r>
        <w:rPr>
          <w:rFonts w:ascii="arial" w:eastAsia="arial" w:hAnsi="arial" w:cs="arial"/>
          <w:b w:val="0"/>
          <w:i w:val="0"/>
          <w:strike w:val="0"/>
          <w:noProof w:val="0"/>
          <w:color w:val="000000"/>
          <w:position w:val="0"/>
          <w:sz w:val="20"/>
          <w:u w:val="none"/>
          <w:vertAlign w:val="baseline"/>
        </w:rPr>
        <w:t xml:space="preserve">. The complaint must also be "plausible on its face."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That is, it "must contain sufficient factual matter, accepted as true, to 'state a claim to relief that is plausible on its face.'" </w:t>
      </w:r>
      <w:bookmarkStart w:id="22" w:name="Bookmark_I6B17H442SF88J0020000400"/>
      <w:bookmarkEnd w:id="22"/>
      <w:hyperlink r:id="rId18" w:history="1">
        <w:r>
          <w:rPr>
            <w:rFonts w:ascii="arial" w:eastAsia="arial" w:hAnsi="arial" w:cs="arial"/>
            <w:b w:val="0"/>
            <w:i/>
            <w:strike w:val="0"/>
            <w:noProof w:val="0"/>
            <w:color w:val="0077CC"/>
            <w:position w:val="0"/>
            <w:sz w:val="20"/>
            <w:u w:val="single"/>
            <w:vertAlign w:val="baseline"/>
          </w:rPr>
          <w:t>Ashcroft v. Iqbal</w:t>
        </w:r>
      </w:hyperlink>
      <w:hyperlink r:id="rId18" w:history="1">
        <w:r>
          <w:rPr>
            <w:rFonts w:ascii="arial" w:eastAsia="arial" w:hAnsi="arial" w:cs="arial"/>
            <w:b w:val="0"/>
            <w:i/>
            <w:strike w:val="0"/>
            <w:noProof w:val="0"/>
            <w:color w:val="0077CC"/>
            <w:position w:val="0"/>
            <w:sz w:val="20"/>
            <w:u w:val="single"/>
            <w:vertAlign w:val="baseline"/>
          </w:rPr>
          <w:t>, 556 U.S. 662, 678, 129 S. Ct. 1937, 173 L. Ed. 2d 868 (2009)</w:t>
        </w:r>
      </w:hyperlink>
      <w:r>
        <w:rPr>
          <w:rFonts w:ascii="arial" w:eastAsia="arial" w:hAnsi="arial" w:cs="arial"/>
          <w:b w:val="0"/>
          <w:i w:val="0"/>
          <w:strike w:val="0"/>
          <w:noProof w:val="0"/>
          <w:color w:val="000000"/>
          <w:position w:val="0"/>
          <w:sz w:val="20"/>
          <w:u w:val="none"/>
          <w:vertAlign w:val="baseline"/>
        </w:rPr>
        <w:t xml:space="preserve"> (quoting </w:t>
      </w:r>
      <w:bookmarkStart w:id="23" w:name="Bookmark_I6B17H442SF88J0040000400"/>
      <w:bookmarkEnd w:id="23"/>
      <w:hyperlink r:id="rId17" w:history="1">
        <w:r>
          <w:rPr>
            <w:rFonts w:ascii="arial" w:eastAsia="arial" w:hAnsi="arial" w:cs="arial"/>
            <w:b w:val="0"/>
            <w:i/>
            <w:strike w:val="0"/>
            <w:noProof w:val="0"/>
            <w:color w:val="0077CC"/>
            <w:position w:val="0"/>
            <w:sz w:val="20"/>
            <w:u w:val="single"/>
            <w:vertAlign w:val="baseline"/>
          </w:rPr>
          <w:t>Twombly</w:t>
        </w:r>
      </w:hyperlink>
      <w:hyperlink r:id="rId17" w:history="1">
        <w:r>
          <w:rPr>
            <w:rFonts w:ascii="arial" w:eastAsia="arial" w:hAnsi="arial" w:cs="arial"/>
            <w:b w:val="0"/>
            <w:i/>
            <w:strike w:val="0"/>
            <w:noProof w:val="0"/>
            <w:color w:val="0077CC"/>
            <w:position w:val="0"/>
            <w:sz w:val="20"/>
            <w:u w:val="single"/>
            <w:vertAlign w:val="baseline"/>
          </w:rPr>
          <w:t>, 550 U.S. at 570</w:t>
        </w:r>
      </w:hyperlink>
      <w:r>
        <w:rPr>
          <w:rFonts w:ascii="arial" w:eastAsia="arial" w:hAnsi="arial" w:cs="arial"/>
          <w:b w:val="0"/>
          <w:i w:val="0"/>
          <w:strike w:val="0"/>
          <w:noProof w:val="0"/>
          <w:color w:val="000000"/>
          <w:position w:val="0"/>
          <w:sz w:val="20"/>
          <w:u w:val="none"/>
          <w:vertAlign w:val="baseline"/>
        </w:rPr>
        <w:t xml:space="preserve">). A plaintiff's "factual allegations must be enough to raise a right to relief above the speculative level." </w:t>
      </w:r>
      <w:bookmarkStart w:id="24" w:name="Bookmark_I6B17H442D6MW90010000400"/>
      <w:bookmarkEnd w:id="24"/>
      <w:hyperlink r:id="rId17" w:history="1">
        <w:r>
          <w:rPr>
            <w:rFonts w:ascii="arial" w:eastAsia="arial" w:hAnsi="arial" w:cs="arial"/>
            <w:b w:val="0"/>
            <w:i/>
            <w:strike w:val="0"/>
            <w:noProof w:val="0"/>
            <w:color w:val="0077CC"/>
            <w:position w:val="0"/>
            <w:sz w:val="20"/>
            <w:u w:val="single"/>
            <w:vertAlign w:val="baseline"/>
          </w:rPr>
          <w:t>Twombly</w:t>
        </w:r>
      </w:hyperlink>
      <w:hyperlink r:id="rId17" w:history="1">
        <w:r>
          <w:rPr>
            <w:rFonts w:ascii="arial" w:eastAsia="arial" w:hAnsi="arial" w:cs="arial"/>
            <w:b w:val="0"/>
            <w:i/>
            <w:strike w:val="0"/>
            <w:noProof w:val="0"/>
            <w:color w:val="0077CC"/>
            <w:position w:val="0"/>
            <w:sz w:val="20"/>
            <w:u w:val="single"/>
            <w:vertAlign w:val="baseline"/>
          </w:rPr>
          <w:t>, 550 U.S. at 555</w:t>
        </w:r>
      </w:hyperlink>
      <w:r>
        <w:rPr>
          <w:rFonts w:ascii="arial" w:eastAsia="arial" w:hAnsi="arial" w:cs="arial"/>
          <w:b w:val="0"/>
          <w:i w:val="0"/>
          <w:strike w:val="0"/>
          <w:noProof w:val="0"/>
          <w:color w:val="000000"/>
          <w:position w:val="0"/>
          <w:sz w:val="20"/>
          <w:u w:val="none"/>
          <w:vertAlign w:val="baseline"/>
        </w:rPr>
        <w:t xml:space="preserve">. "The plausibility standard is not akin to a 'probability requirement,' but it asks for more than a sheer possibility that a defendant has acted unlawfully."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Labels, conclusions, and "a formulaic recitation of the elements of a cause of action will not do."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25" w:name="Bookmark_para_8"/>
      <w:bookmarkEnd w:id="25"/>
      <w:bookmarkStart w:id="26" w:name="Bookmark_I6B17H442D6MW90040000400"/>
      <w:bookmarkEnd w:id="26"/>
      <w:bookmarkStart w:id="27" w:name="Bookmark_I6B17H4428T4KC0010000400"/>
      <w:bookmarkEnd w:id="27"/>
      <w:r>
        <w:rPr>
          <w:rFonts w:ascii="arial" w:eastAsia="arial" w:hAnsi="arial" w:cs="arial"/>
          <w:b w:val="0"/>
          <w:i w:val="0"/>
          <w:strike w:val="0"/>
          <w:noProof w:val="0"/>
          <w:color w:val="000000"/>
          <w:position w:val="0"/>
          <w:sz w:val="20"/>
          <w:u w:val="none"/>
          <w:vertAlign w:val="baseline"/>
        </w:rPr>
        <w:t xml:space="preserve">A complaint may be dismissed under </w:t>
      </w:r>
      <w:r>
        <w:rPr>
          <w:rFonts w:ascii="arial" w:eastAsia="arial" w:hAnsi="arial" w:cs="arial"/>
          <w:b w:val="0"/>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 xml:space="preserve"> for the lack of a cognizable legal theory or the absence of sufficient facts alleged under a cognizable legal theory. </w:t>
      </w:r>
      <w:bookmarkStart w:id="28" w:name="Bookmark_I6B17H4428T4KC0030000400"/>
      <w:bookmarkEnd w:id="28"/>
      <w:bookmarkStart w:id="29" w:name="Bookmark_I6B17H442D6MW90030000400"/>
      <w:bookmarkEnd w:id="29"/>
      <w:hyperlink r:id="rId19" w:history="1">
        <w:r>
          <w:rPr>
            <w:rFonts w:ascii="arial" w:eastAsia="arial" w:hAnsi="arial" w:cs="arial"/>
            <w:b w:val="0"/>
            <w:i/>
            <w:strike w:val="0"/>
            <w:noProof w:val="0"/>
            <w:color w:val="0077CC"/>
            <w:position w:val="0"/>
            <w:sz w:val="20"/>
            <w:u w:val="single"/>
            <w:vertAlign w:val="baseline"/>
          </w:rPr>
          <w:t>Balistreri v. Pacifica Police Dep't.</w:t>
        </w:r>
      </w:hyperlink>
      <w:hyperlink r:id="rId19" w:history="1">
        <w:r>
          <w:rPr>
            <w:rFonts w:ascii="arial" w:eastAsia="arial" w:hAnsi="arial" w:cs="arial"/>
            <w:b w:val="0"/>
            <w:i/>
            <w:strike w:val="0"/>
            <w:noProof w:val="0"/>
            <w:color w:val="0077CC"/>
            <w:position w:val="0"/>
            <w:sz w:val="20"/>
            <w:u w:val="single"/>
            <w:vertAlign w:val="baseline"/>
          </w:rPr>
          <w:t>, 901 F.2d 696, 699 (9th Cir. 1988)</w:t>
        </w:r>
      </w:hyperlink>
      <w:r>
        <w:rPr>
          <w:rFonts w:ascii="arial" w:eastAsia="arial" w:hAnsi="arial" w:cs="arial"/>
          <w:b w:val="0"/>
          <w:i w:val="0"/>
          <w:strike w:val="0"/>
          <w:noProof w:val="0"/>
          <w:color w:val="000000"/>
          <w:position w:val="0"/>
          <w:sz w:val="20"/>
          <w:u w:val="none"/>
          <w:vertAlign w:val="baseline"/>
        </w:rPr>
        <w:t xml:space="preserve">. </w:t>
      </w:r>
      <w:bookmarkStart w:id="30" w:name="Bookmark_I6B17H4428T4KC0050000400"/>
      <w:bookmarkEnd w:id="30"/>
      <w:r>
        <w:rPr>
          <w:rFonts w:ascii="arial" w:eastAsia="arial" w:hAnsi="arial" w:cs="arial"/>
          <w:b w:val="0"/>
          <w:i w:val="0"/>
          <w:strike w:val="0"/>
          <w:noProof w:val="0"/>
          <w:color w:val="000000"/>
          <w:position w:val="0"/>
          <w:sz w:val="20"/>
          <w:u w:val="none"/>
          <w:vertAlign w:val="baseline"/>
        </w:rPr>
        <w:t xml:space="preserve">When ruling on a </w:t>
      </w:r>
      <w:r>
        <w:rPr>
          <w:rFonts w:ascii="arial" w:eastAsia="arial" w:hAnsi="arial" w:cs="arial"/>
          <w:b w:val="0"/>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 xml:space="preserve"> motion, "a judge must accept as true all of the factual allegations contained in the complaint." </w:t>
      </w:r>
      <w:bookmarkStart w:id="31" w:name="Bookmark_I6B17H442D6MW90050000400"/>
      <w:bookmarkEnd w:id="31"/>
      <w:hyperlink r:id="rId20" w:history="1">
        <w:r>
          <w:rPr>
            <w:rFonts w:ascii="arial" w:eastAsia="arial" w:hAnsi="arial" w:cs="arial"/>
            <w:b w:val="0"/>
            <w:i/>
            <w:strike w:val="0"/>
            <w:noProof w:val="0"/>
            <w:color w:val="0077CC"/>
            <w:position w:val="0"/>
            <w:sz w:val="20"/>
            <w:u w:val="single"/>
            <w:vertAlign w:val="baseline"/>
          </w:rPr>
          <w:t>Erickson v. Pardus</w:t>
        </w:r>
      </w:hyperlink>
      <w:hyperlink r:id="rId20" w:history="1">
        <w:r>
          <w:rPr>
            <w:rFonts w:ascii="arial" w:eastAsia="arial" w:hAnsi="arial" w:cs="arial"/>
            <w:b w:val="0"/>
            <w:i/>
            <w:strike w:val="0"/>
            <w:noProof w:val="0"/>
            <w:color w:val="0077CC"/>
            <w:position w:val="0"/>
            <w:sz w:val="20"/>
            <w:u w:val="single"/>
            <w:vertAlign w:val="baseline"/>
          </w:rPr>
          <w:t>, 551 U.S. 89, 94, 127 S. Ct. 2197, 167 L. Ed. 2d 1081 (2007)</w:t>
        </w:r>
      </w:hyperlink>
      <w:r>
        <w:rPr>
          <w:rFonts w:ascii="arial" w:eastAsia="arial" w:hAnsi="arial" w:cs="arial"/>
          <w:b w:val="0"/>
          <w:i w:val="0"/>
          <w:strike w:val="0"/>
          <w:noProof w:val="0"/>
          <w:color w:val="000000"/>
          <w:position w:val="0"/>
          <w:sz w:val="20"/>
          <w:u w:val="none"/>
          <w:vertAlign w:val="baseline"/>
        </w:rPr>
        <w:t xml:space="preserve">. </w:t>
      </w:r>
      <w:bookmarkStart w:id="32" w:name="Bookmark_I6B17H4428T4KC0050000400_2"/>
      <w:bookmarkEnd w:id="32"/>
      <w:bookmarkStart w:id="33" w:name="Bookmark_I6B17H4428T4KC0030000400_2"/>
      <w:bookmarkEnd w:id="33"/>
      <w:r>
        <w:rPr>
          <w:rFonts w:ascii="arial" w:eastAsia="arial" w:hAnsi="arial" w:cs="arial"/>
          <w:b w:val="0"/>
          <w:i w:val="0"/>
          <w:strike w:val="0"/>
          <w:noProof w:val="0"/>
          <w:color w:val="000000"/>
          <w:position w:val="0"/>
          <w:sz w:val="20"/>
          <w:u w:val="none"/>
          <w:vertAlign w:val="baseline"/>
        </w:rPr>
        <w:t xml:space="preserve">Furthermore, courts must draw "all reasonable inferences in favor of the nonmoving party." </w:t>
      </w:r>
      <w:bookmarkStart w:id="34" w:name="Bookmark_I6B17H4428T4KC0020000400"/>
      <w:bookmarkEnd w:id="34"/>
      <w:hyperlink r:id="rId21" w:history="1">
        <w:r>
          <w:rPr>
            <w:rFonts w:ascii="arial" w:eastAsia="arial" w:hAnsi="arial" w:cs="arial"/>
            <w:b w:val="0"/>
            <w:i/>
            <w:strike w:val="0"/>
            <w:noProof w:val="0"/>
            <w:color w:val="0077CC"/>
            <w:position w:val="0"/>
            <w:sz w:val="20"/>
            <w:u w:val="single"/>
            <w:vertAlign w:val="baseline"/>
          </w:rPr>
          <w:t>Gregg v. Hawaii, Dep't of Pub. Safety</w:t>
        </w:r>
      </w:hyperlink>
      <w:hyperlink r:id="rId21" w:history="1">
        <w:r>
          <w:rPr>
            <w:rFonts w:ascii="arial" w:eastAsia="arial" w:hAnsi="arial" w:cs="arial"/>
            <w:b w:val="0"/>
            <w:i/>
            <w:strike w:val="0"/>
            <w:noProof w:val="0"/>
            <w:color w:val="0077CC"/>
            <w:position w:val="0"/>
            <w:sz w:val="20"/>
            <w:u w:val="single"/>
            <w:vertAlign w:val="baseline"/>
          </w:rPr>
          <w:t>, 870 F.3d 883, 886 (9th Cir. 2017)</w:t>
        </w:r>
      </w:hyperlink>
      <w:r>
        <w:rPr>
          <w:rFonts w:ascii="arial" w:eastAsia="arial" w:hAnsi="arial" w:cs="arial"/>
          <w:b w:val="0"/>
          <w:i w:val="0"/>
          <w:strike w:val="0"/>
          <w:noProof w:val="0"/>
          <w:color w:val="000000"/>
          <w:position w:val="0"/>
          <w:sz w:val="20"/>
          <w:u w:val="none"/>
          <w:vertAlign w:val="baseline"/>
        </w:rPr>
        <w:t xml:space="preserve"> (internal quotations and citations omitted). But a court is "not bound to accept</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as true a legal conclusion couched as a factual allegation." </w:t>
      </w:r>
      <w:bookmarkStart w:id="35" w:name="Bookmark_I6B17H4428T4KC0040000400"/>
      <w:bookmarkEnd w:id="35"/>
      <w:hyperlink r:id="rId18" w:history="1">
        <w:r>
          <w:rPr>
            <w:rFonts w:ascii="arial" w:eastAsia="arial" w:hAnsi="arial" w:cs="arial"/>
            <w:b w:val="0"/>
            <w:i/>
            <w:strike w:val="0"/>
            <w:noProof w:val="0"/>
            <w:color w:val="0077CC"/>
            <w:position w:val="0"/>
            <w:sz w:val="20"/>
            <w:u w:val="single"/>
            <w:vertAlign w:val="baseline"/>
          </w:rPr>
          <w:t>Iqbal</w:t>
        </w:r>
      </w:hyperlink>
      <w:hyperlink r:id="rId18" w:history="1">
        <w:r>
          <w:rPr>
            <w:rFonts w:ascii="arial" w:eastAsia="arial" w:hAnsi="arial" w:cs="arial"/>
            <w:b w:val="0"/>
            <w:i/>
            <w:strike w:val="0"/>
            <w:noProof w:val="0"/>
            <w:color w:val="0077CC"/>
            <w:position w:val="0"/>
            <w:sz w:val="20"/>
            <w:u w:val="single"/>
            <w:vertAlign w:val="baseline"/>
          </w:rPr>
          <w:t>, 556 U.S. at 678</w:t>
        </w:r>
      </w:hyperlink>
      <w:r>
        <w:rPr>
          <w:rFonts w:ascii="arial" w:eastAsia="arial" w:hAnsi="arial" w:cs="arial"/>
          <w:b w:val="0"/>
          <w:i w:val="0"/>
          <w:strike w:val="0"/>
          <w:noProof w:val="0"/>
          <w:color w:val="000000"/>
          <w:position w:val="0"/>
          <w:sz w:val="20"/>
          <w:u w:val="none"/>
          <w:vertAlign w:val="baseline"/>
        </w:rPr>
        <w:t xml:space="preserve"> (quotation marks omitted).</w:t>
      </w:r>
    </w:p>
    <w:p>
      <w:pPr>
        <w:keepNext w:val="0"/>
        <w:spacing w:before="240" w:after="0" w:line="260" w:lineRule="atLeast"/>
        <w:ind w:left="0" w:right="0" w:firstLine="0"/>
        <w:jc w:val="both"/>
      </w:pPr>
      <w:bookmarkStart w:id="36" w:name="Bookmark_para_9"/>
      <w:bookmarkEnd w:id="36"/>
      <w:bookmarkStart w:id="37" w:name="Bookmark_I6B17H442D6MWG0020000400"/>
      <w:bookmarkEnd w:id="37"/>
      <w:r>
        <w:rPr>
          <w:rFonts w:ascii="arial" w:eastAsia="arial" w:hAnsi="arial" w:cs="arial"/>
          <w:b w:val="0"/>
          <w:i w:val="0"/>
          <w:strike w:val="0"/>
          <w:noProof w:val="0"/>
          <w:color w:val="000000"/>
          <w:position w:val="0"/>
          <w:sz w:val="20"/>
          <w:u w:val="none"/>
          <w:vertAlign w:val="baseline"/>
        </w:rPr>
        <w:t xml:space="preserve">The court generally may not consider materials other than facts alleged in the complaint and documents that are made a part of the complaint. </w:t>
      </w:r>
      <w:bookmarkStart w:id="38" w:name="Bookmark_I6B17H442D6MWG0040000400"/>
      <w:bookmarkEnd w:id="38"/>
      <w:bookmarkStart w:id="39" w:name="Bookmark_I6B17H442D6MWG0010000400"/>
      <w:bookmarkEnd w:id="39"/>
      <w:hyperlink r:id="rId22" w:history="1">
        <w:r>
          <w:rPr>
            <w:rFonts w:ascii="arial" w:eastAsia="arial" w:hAnsi="arial" w:cs="arial"/>
            <w:b w:val="0"/>
            <w:i/>
            <w:strike w:val="0"/>
            <w:noProof w:val="0"/>
            <w:color w:val="0077CC"/>
            <w:position w:val="0"/>
            <w:sz w:val="20"/>
            <w:u w:val="single"/>
            <w:vertAlign w:val="baseline"/>
          </w:rPr>
          <w:t>Anderson v. Angelone</w:t>
        </w:r>
      </w:hyperlink>
      <w:hyperlink r:id="rId22" w:history="1">
        <w:r>
          <w:rPr>
            <w:rFonts w:ascii="arial" w:eastAsia="arial" w:hAnsi="arial" w:cs="arial"/>
            <w:b w:val="0"/>
            <w:i/>
            <w:strike w:val="0"/>
            <w:noProof w:val="0"/>
            <w:color w:val="0077CC"/>
            <w:position w:val="0"/>
            <w:sz w:val="20"/>
            <w:u w:val="single"/>
            <w:vertAlign w:val="baseline"/>
          </w:rPr>
          <w:t>, 86 F.3d 932, 934 (9th Cir. 1996)</w:t>
        </w:r>
      </w:hyperlink>
      <w:r>
        <w:rPr>
          <w:rFonts w:ascii="arial" w:eastAsia="arial" w:hAnsi="arial" w:cs="arial"/>
          <w:b w:val="0"/>
          <w:i w:val="0"/>
          <w:strike w:val="0"/>
          <w:noProof w:val="0"/>
          <w:color w:val="000000"/>
          <w:position w:val="0"/>
          <w:sz w:val="20"/>
          <w:u w:val="none"/>
          <w:vertAlign w:val="baseline"/>
        </w:rPr>
        <w:t xml:space="preserve">. However, a court may consider materials if (1) the authenticity of the materials is not disputed and (2) the plaintiff has alleged the existence of the materials in the complaint or the complaint "necessarily relies" on the materials. </w:t>
      </w:r>
      <w:bookmarkStart w:id="40" w:name="Bookmark_I6B17H442D6MWG0040000400_2"/>
      <w:bookmarkEnd w:id="40"/>
      <w:bookmarkStart w:id="41" w:name="Bookmark_I6B17H452HM6VN0010000400"/>
      <w:bookmarkEnd w:id="41"/>
      <w:bookmarkStart w:id="42" w:name="Bookmark_I6B17H442D6MWG0030000400"/>
      <w:bookmarkEnd w:id="42"/>
      <w:hyperlink r:id="rId23" w:history="1">
        <w:r>
          <w:rPr>
            <w:rFonts w:ascii="arial" w:eastAsia="arial" w:hAnsi="arial" w:cs="arial"/>
            <w:b w:val="0"/>
            <w:i/>
            <w:strike w:val="0"/>
            <w:noProof w:val="0"/>
            <w:color w:val="0077CC"/>
            <w:position w:val="0"/>
            <w:sz w:val="20"/>
            <w:u w:val="single"/>
            <w:vertAlign w:val="baseline"/>
          </w:rPr>
          <w:t>Lee v. City of L.A.</w:t>
        </w:r>
      </w:hyperlink>
      <w:hyperlink r:id="rId23" w:history="1">
        <w:r>
          <w:rPr>
            <w:rFonts w:ascii="arial" w:eastAsia="arial" w:hAnsi="arial" w:cs="arial"/>
            <w:b w:val="0"/>
            <w:i/>
            <w:strike w:val="0"/>
            <w:noProof w:val="0"/>
            <w:color w:val="0077CC"/>
            <w:position w:val="0"/>
            <w:sz w:val="20"/>
            <w:u w:val="single"/>
            <w:vertAlign w:val="baseline"/>
          </w:rPr>
          <w:t>, 250 F.3d 668, 688 (9th Cir. 2001)</w:t>
        </w:r>
      </w:hyperlink>
      <w:r>
        <w:rPr>
          <w:rFonts w:ascii="arial" w:eastAsia="arial" w:hAnsi="arial" w:cs="arial"/>
          <w:b w:val="0"/>
          <w:i w:val="0"/>
          <w:strike w:val="0"/>
          <w:noProof w:val="0"/>
          <w:color w:val="000000"/>
          <w:position w:val="0"/>
          <w:sz w:val="20"/>
          <w:u w:val="none"/>
          <w:vertAlign w:val="baseline"/>
        </w:rPr>
        <w:t xml:space="preserve"> (citation omitted). </w:t>
      </w:r>
      <w:bookmarkStart w:id="43" w:name="Bookmark_I6B17H452HM6VN0010000400_2"/>
      <w:bookmarkEnd w:id="43"/>
      <w:r>
        <w:rPr>
          <w:rFonts w:ascii="arial" w:eastAsia="arial" w:hAnsi="arial" w:cs="arial"/>
          <w:b w:val="0"/>
          <w:i w:val="0"/>
          <w:strike w:val="0"/>
          <w:noProof w:val="0"/>
          <w:color w:val="000000"/>
          <w:position w:val="0"/>
          <w:sz w:val="20"/>
          <w:u w:val="none"/>
          <w:vertAlign w:val="baseline"/>
        </w:rPr>
        <w:t xml:space="preserve">The court may also take judicial notice of undisputed facts that are contained in extrinsic materials. </w:t>
      </w:r>
      <w:bookmarkStart w:id="44" w:name="Bookmark_I6B17H442D6MWG0050000400"/>
      <w:bookmarkEnd w:id="44"/>
      <w:hyperlink r:id="rId24" w:history="1">
        <w:r>
          <w:rPr>
            <w:rFonts w:ascii="arial" w:eastAsia="arial" w:hAnsi="arial" w:cs="arial"/>
            <w:b w:val="0"/>
            <w:i/>
            <w:strike w:val="0"/>
            <w:noProof w:val="0"/>
            <w:color w:val="0077CC"/>
            <w:position w:val="0"/>
            <w:sz w:val="20"/>
            <w:u w:val="single"/>
            <w:vertAlign w:val="baseline"/>
          </w:rPr>
          <w:t>Mir v. Little Co. of Mary Hosp.</w:t>
        </w:r>
      </w:hyperlink>
      <w:hyperlink r:id="rId24" w:history="1">
        <w:r>
          <w:rPr>
            <w:rFonts w:ascii="arial" w:eastAsia="arial" w:hAnsi="arial" w:cs="arial"/>
            <w:b w:val="0"/>
            <w:i/>
            <w:strike w:val="0"/>
            <w:noProof w:val="0"/>
            <w:color w:val="0077CC"/>
            <w:position w:val="0"/>
            <w:sz w:val="20"/>
            <w:u w:val="single"/>
            <w:vertAlign w:val="baseline"/>
          </w:rPr>
          <w:t>, 844 F.2d 646, 649 (9th Cir. 1988)</w:t>
        </w:r>
      </w:hyperlink>
      <w:r>
        <w:rPr>
          <w:rFonts w:ascii="arial" w:eastAsia="arial" w:hAnsi="arial" w:cs="arial"/>
          <w:b w:val="0"/>
          <w:i w:val="0"/>
          <w:strike w:val="0"/>
          <w:noProof w:val="0"/>
          <w:color w:val="000000"/>
          <w:position w:val="0"/>
          <w:sz w:val="20"/>
          <w:u w:val="none"/>
          <w:vertAlign w:val="baseline"/>
        </w:rPr>
        <w:t xml:space="preserve">; </w:t>
      </w:r>
      <w:bookmarkStart w:id="45" w:name="Bookmark_I6B17H452HM6VN0020000400"/>
      <w:bookmarkEnd w:id="45"/>
      <w:hyperlink r:id="rId23" w:history="1">
        <w:r>
          <w:rPr>
            <w:rFonts w:ascii="arial" w:eastAsia="arial" w:hAnsi="arial" w:cs="arial"/>
            <w:b w:val="0"/>
            <w:i/>
            <w:strike w:val="0"/>
            <w:noProof w:val="0"/>
            <w:color w:val="0077CC"/>
            <w:position w:val="0"/>
            <w:sz w:val="20"/>
            <w:u w:val="single"/>
            <w:vertAlign w:val="baseline"/>
          </w:rPr>
          <w:t>Lee</w:t>
        </w:r>
      </w:hyperlink>
      <w:hyperlink r:id="rId23" w:history="1">
        <w:r>
          <w:rPr>
            <w:rFonts w:ascii="arial" w:eastAsia="arial" w:hAnsi="arial" w:cs="arial"/>
            <w:b w:val="0"/>
            <w:i/>
            <w:strike w:val="0"/>
            <w:noProof w:val="0"/>
            <w:color w:val="0077CC"/>
            <w:position w:val="0"/>
            <w:sz w:val="20"/>
            <w:u w:val="single"/>
            <w:vertAlign w:val="baseline"/>
          </w:rPr>
          <w:t>, 250 F.3d at 689-90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JUDICIAL NOTICE</w:t>
      </w:r>
    </w:p>
    <w:p>
      <w:pPr>
        <w:keepNext w:val="0"/>
        <w:spacing w:before="240" w:after="0" w:line="260" w:lineRule="atLeast"/>
        <w:ind w:left="0" w:right="0" w:firstLine="0"/>
        <w:jc w:val="both"/>
      </w:pPr>
      <w:bookmarkStart w:id="46" w:name="Bookmark_para_10"/>
      <w:bookmarkEnd w:id="46"/>
      <w:r>
        <w:rPr>
          <w:rFonts w:ascii="arial" w:eastAsia="arial" w:hAnsi="arial" w:cs="arial"/>
          <w:b w:val="0"/>
          <w:i w:val="0"/>
          <w:strike w:val="0"/>
          <w:noProof w:val="0"/>
          <w:color w:val="000000"/>
          <w:position w:val="0"/>
          <w:sz w:val="20"/>
          <w:u w:val="none"/>
          <w:vertAlign w:val="baseline"/>
        </w:rPr>
        <w:t xml:space="preserve">Judicial notice under </w:t>
      </w:r>
      <w:hyperlink r:id="rId25" w:history="1">
        <w:r>
          <w:rPr>
            <w:rFonts w:ascii="arial" w:eastAsia="arial" w:hAnsi="arial" w:cs="arial"/>
            <w:b w:val="0"/>
            <w:i/>
            <w:strike w:val="0"/>
            <w:noProof w:val="0"/>
            <w:color w:val="0077CC"/>
            <w:position w:val="0"/>
            <w:sz w:val="20"/>
            <w:u w:val="single"/>
            <w:vertAlign w:val="baseline"/>
          </w:rPr>
          <w:t>Rule 201</w:t>
        </w:r>
      </w:hyperlink>
      <w:r>
        <w:rPr>
          <w:rFonts w:ascii="arial" w:eastAsia="arial" w:hAnsi="arial" w:cs="arial"/>
          <w:b w:val="0"/>
          <w:i w:val="0"/>
          <w:strike w:val="0"/>
          <w:noProof w:val="0"/>
          <w:color w:val="000000"/>
          <w:position w:val="0"/>
          <w:sz w:val="20"/>
          <w:u w:val="none"/>
          <w:vertAlign w:val="baseline"/>
        </w:rPr>
        <w:t xml:space="preserve"> permits a court to notice an adjudicative fact if it is "not subject to reasonable dispute." </w:t>
      </w:r>
      <w:hyperlink r:id="rId25" w:history="1">
        <w:r>
          <w:rPr>
            <w:rFonts w:ascii="arial" w:eastAsia="arial" w:hAnsi="arial" w:cs="arial"/>
            <w:b w:val="0"/>
            <w:i/>
            <w:strike w:val="0"/>
            <w:noProof w:val="0"/>
            <w:color w:val="0077CC"/>
            <w:position w:val="0"/>
            <w:sz w:val="20"/>
            <w:u w:val="single"/>
            <w:vertAlign w:val="baseline"/>
          </w:rPr>
          <w:t>Fed. R. Evid. 201(b)</w:t>
        </w:r>
      </w:hyperlink>
      <w:r>
        <w:rPr>
          <w:rFonts w:ascii="arial" w:eastAsia="arial" w:hAnsi="arial" w:cs="arial"/>
          <w:b w:val="0"/>
          <w:i w:val="0"/>
          <w:strike w:val="0"/>
          <w:noProof w:val="0"/>
          <w:color w:val="000000"/>
          <w:position w:val="0"/>
          <w:sz w:val="20"/>
          <w:u w:val="none"/>
          <w:vertAlign w:val="baseline"/>
        </w:rPr>
        <w:t xml:space="preserve">. A fact is "not subject to reasonable dispute" if it is "generally known," or "can be accurately and readily determined from sources whose accuracy cannot reasonably be questioned." </w:t>
      </w:r>
      <w:hyperlink r:id="rId25" w:history="1">
        <w:r>
          <w:rPr>
            <w:rFonts w:ascii="arial" w:eastAsia="arial" w:hAnsi="arial" w:cs="arial"/>
            <w:b w:val="0"/>
            <w:i/>
            <w:strike w:val="0"/>
            <w:noProof w:val="0"/>
            <w:color w:val="0077CC"/>
            <w:position w:val="0"/>
            <w:sz w:val="20"/>
            <w:u w:val="single"/>
            <w:vertAlign w:val="baseline"/>
          </w:rPr>
          <w:t>Fed. R. Evid. 201(b)(1)-(2)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7" w:name="Bookmark_para_11"/>
      <w:bookmarkEnd w:id="47"/>
      <w:bookmarkStart w:id="48" w:name="Bookmark_I6B17H452HM6VN0050000400"/>
      <w:bookmarkEnd w:id="48"/>
      <w:r>
        <w:rPr>
          <w:rFonts w:ascii="arial" w:eastAsia="arial" w:hAnsi="arial" w:cs="arial"/>
          <w:b w:val="0"/>
          <w:i w:val="0"/>
          <w:strike w:val="0"/>
          <w:noProof w:val="0"/>
          <w:color w:val="000000"/>
          <w:position w:val="0"/>
          <w:sz w:val="20"/>
          <w:u w:val="none"/>
          <w:vertAlign w:val="baseline"/>
        </w:rPr>
        <w:t xml:space="preserve">Just because the document itself is susceptible to judicial notice does not mean that every assertion of fact within that document is judicially noticeable for its truth. </w:t>
      </w:r>
      <w:bookmarkStart w:id="49" w:name="Bookmark_I6B17H4828T4M50020000400"/>
      <w:bookmarkEnd w:id="49"/>
      <w:bookmarkStart w:id="50" w:name="Bookmark_I6B17H452HM6VN0040000400"/>
      <w:bookmarkEnd w:id="50"/>
      <w:hyperlink r:id="rId26" w:history="1">
        <w:r>
          <w:rPr>
            <w:rFonts w:ascii="arial" w:eastAsia="arial" w:hAnsi="arial" w:cs="arial"/>
            <w:b w:val="0"/>
            <w:i/>
            <w:strike w:val="0"/>
            <w:noProof w:val="0"/>
            <w:color w:val="0077CC"/>
            <w:position w:val="0"/>
            <w:sz w:val="20"/>
            <w:u w:val="single"/>
            <w:vertAlign w:val="baseline"/>
          </w:rPr>
          <w:t>Khoja v. Orexigen Therapeutics, Inc.</w:t>
        </w:r>
      </w:hyperlink>
      <w:hyperlink r:id="rId26" w:history="1">
        <w:r>
          <w:rPr>
            <w:rFonts w:ascii="arial" w:eastAsia="arial" w:hAnsi="arial" w:cs="arial"/>
            <w:b w:val="0"/>
            <w:i/>
            <w:strike w:val="0"/>
            <w:noProof w:val="0"/>
            <w:color w:val="0077CC"/>
            <w:position w:val="0"/>
            <w:sz w:val="20"/>
            <w:u w:val="single"/>
            <w:vertAlign w:val="baseline"/>
          </w:rPr>
          <w:t>, 899 F.3d 988, 999 (9th Cir. 2018)</w:t>
        </w:r>
      </w:hyperlink>
      <w:r>
        <w:rPr>
          <w:rFonts w:ascii="arial" w:eastAsia="arial" w:hAnsi="arial" w:cs="arial"/>
          <w:b w:val="0"/>
          <w:i w:val="0"/>
          <w:strike w:val="0"/>
          <w:noProof w:val="0"/>
          <w:color w:val="000000"/>
          <w:position w:val="0"/>
          <w:sz w:val="20"/>
          <w:u w:val="none"/>
          <w:vertAlign w:val="baseline"/>
        </w:rPr>
        <w:t xml:space="preserve">. A court may not take judicial notice of the truth of disputed factual matters at the pleading stage. </w:t>
      </w:r>
      <w:bookmarkStart w:id="51" w:name="Bookmark_I6B17H4828T4M50020000400_2"/>
      <w:bookmarkEnd w:id="51"/>
      <w:bookmarkStart w:id="52" w:name="Bookmark_I6B17H4828T4M50010000400"/>
      <w:bookmarkEnd w:id="52"/>
      <w:hyperlink r:id="rId23" w:history="1">
        <w:r>
          <w:rPr>
            <w:rFonts w:ascii="arial" w:eastAsia="arial" w:hAnsi="arial" w:cs="arial"/>
            <w:b w:val="0"/>
            <w:i/>
            <w:strike w:val="0"/>
            <w:noProof w:val="0"/>
            <w:color w:val="0077CC"/>
            <w:position w:val="0"/>
            <w:sz w:val="20"/>
            <w:u w:val="single"/>
            <w:vertAlign w:val="baseline"/>
          </w:rPr>
          <w:t>Lee v. City of Los Angeles</w:t>
        </w:r>
      </w:hyperlink>
      <w:hyperlink r:id="rId23" w:history="1">
        <w:r>
          <w:rPr>
            <w:rFonts w:ascii="arial" w:eastAsia="arial" w:hAnsi="arial" w:cs="arial"/>
            <w:b w:val="0"/>
            <w:i/>
            <w:strike w:val="0"/>
            <w:noProof w:val="0"/>
            <w:color w:val="0077CC"/>
            <w:position w:val="0"/>
            <w:sz w:val="20"/>
            <w:u w:val="single"/>
            <w:vertAlign w:val="baseline"/>
          </w:rPr>
          <w:t>, 250 F.3d 668, 688 (9th Cir. 2001)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3" w:name="Bookmark_para_12"/>
      <w:bookmarkEnd w:id="53"/>
      <w:r>
        <w:rPr>
          <w:rFonts w:ascii="arial" w:eastAsia="arial" w:hAnsi="arial" w:cs="arial"/>
          <w:b w:val="0"/>
          <w:i w:val="0"/>
          <w:strike w:val="0"/>
          <w:noProof w:val="0"/>
          <w:color w:val="000000"/>
          <w:position w:val="0"/>
          <w:sz w:val="20"/>
          <w:u w:val="none"/>
          <w:vertAlign w:val="baseline"/>
        </w:rPr>
        <w:t>A court may</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take judicial notice of matters of public record without converting a motion to dismiss into a motion for summary judgment. </w:t>
      </w:r>
      <w:bookmarkStart w:id="54" w:name="Bookmark_I6B17H4828T4M50040000400"/>
      <w:bookmarkEnd w:id="54"/>
      <w:hyperlink r:id="rId25" w:history="1">
        <w:r>
          <w:rPr>
            <w:rFonts w:ascii="arial" w:eastAsia="arial" w:hAnsi="arial" w:cs="arial"/>
            <w:b w:val="0"/>
            <w:i/>
            <w:strike w:val="0"/>
            <w:noProof w:val="0"/>
            <w:color w:val="0077CC"/>
            <w:position w:val="0"/>
            <w:sz w:val="20"/>
            <w:u w:val="single"/>
            <w:vertAlign w:val="baseline"/>
          </w:rPr>
          <w:t>Fed. R. Evid. 201</w:t>
        </w:r>
      </w:hyperlink>
      <w:r>
        <w:rPr>
          <w:rFonts w:ascii="arial" w:eastAsia="arial" w:hAnsi="arial" w:cs="arial"/>
          <w:b w:val="0"/>
          <w:i w:val="0"/>
          <w:strike w:val="0"/>
          <w:noProof w:val="0"/>
          <w:color w:val="000000"/>
          <w:position w:val="0"/>
          <w:sz w:val="20"/>
          <w:u w:val="none"/>
          <w:vertAlign w:val="baseline"/>
        </w:rPr>
        <w:t xml:space="preserve">. However, a court cannot take judicial notice of disputed facts contained in such public records. </w:t>
      </w:r>
      <w:bookmarkStart w:id="55" w:name="Bookmark_I6B17H4828T4M50030000400"/>
      <w:bookmarkEnd w:id="55"/>
      <w:hyperlink r:id="rId26" w:history="1">
        <w:r>
          <w:rPr>
            <w:rFonts w:ascii="arial" w:eastAsia="arial" w:hAnsi="arial" w:cs="arial"/>
            <w:b w:val="0"/>
            <w:i/>
            <w:strike w:val="0"/>
            <w:noProof w:val="0"/>
            <w:color w:val="0077CC"/>
            <w:position w:val="0"/>
            <w:sz w:val="20"/>
            <w:u w:val="single"/>
            <w:vertAlign w:val="baseline"/>
          </w:rPr>
          <w:t>Khoja</w:t>
        </w:r>
      </w:hyperlink>
      <w:hyperlink r:id="rId26" w:history="1">
        <w:r>
          <w:rPr>
            <w:rFonts w:ascii="arial" w:eastAsia="arial" w:hAnsi="arial" w:cs="arial"/>
            <w:b w:val="0"/>
            <w:i/>
            <w:strike w:val="0"/>
            <w:noProof w:val="0"/>
            <w:color w:val="0077CC"/>
            <w:position w:val="0"/>
            <w:sz w:val="20"/>
            <w:u w:val="single"/>
            <w:vertAlign w:val="baseline"/>
          </w:rPr>
          <w:t>, 899 F.3d at 999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6" w:name="Bookmark_para_13"/>
      <w:bookmarkEnd w:id="56"/>
      <w:r>
        <w:rPr>
          <w:rFonts w:ascii="arial" w:eastAsia="arial" w:hAnsi="arial" w:cs="arial"/>
          <w:b w:val="0"/>
          <w:i w:val="0"/>
          <w:strike w:val="0"/>
          <w:noProof w:val="0"/>
          <w:color w:val="000000"/>
          <w:position w:val="0"/>
          <w:sz w:val="20"/>
          <w:u w:val="none"/>
          <w:vertAlign w:val="baseline"/>
        </w:rPr>
        <w:t>TIW Puff seeks judicial notice of the following types of documents: pages from the FDA's website and the website House of Representatives Committee on Oversight and Accountability (RJN Exhs. 1, 2, and 13); records from the USPTO, including trademark assignments, trademark registrations, and a statement of use (RJN Exhs. 3, 6, 7, 10, 11); pages from Archive.org's Wayback Machine (Exhs. 4, 5, 8); and a Wall Street Journal article (RJN Ex. 9). For the reasons set forth in the request for judicial notice, the Court takes notice of the existence of these documents. However, TIW Puff's briefing invites the Court to, in effect, accept the the truth of the documents' contents to establish facts that are otherwise disputed. Judicial notice is not appropriate for that purpose, so the Court declines to take notice of the many disputed facts reflected in these documents.</w:t>
      </w:r>
    </w:p>
    <w:p>
      <w:pPr>
        <w:keepNext w:val="0"/>
        <w:spacing w:before="240" w:after="0" w:line="260" w:lineRule="atLeast"/>
        <w:ind w:left="0" w:right="0" w:firstLine="0"/>
        <w:jc w:val="both"/>
      </w:pPr>
      <w:bookmarkStart w:id="57" w:name="Bookmark_para_14"/>
      <w:bookmarkEnd w:id="57"/>
      <w:bookmarkStart w:id="58" w:name="Bookmark_I6B17H4828T4M60010000400"/>
      <w:bookmarkEnd w:id="58"/>
      <w:r>
        <w:rPr>
          <w:rFonts w:ascii="arial" w:eastAsia="arial" w:hAnsi="arial" w:cs="arial"/>
          <w:b w:val="0"/>
          <w:i w:val="0"/>
          <w:strike w:val="0"/>
          <w:noProof w:val="0"/>
          <w:color w:val="000000"/>
          <w:position w:val="0"/>
          <w:sz w:val="20"/>
          <w:u w:val="none"/>
          <w:vertAlign w:val="baseline"/>
        </w:rPr>
        <w:t>TIW Puff also seeks notice of the "Puff Plus" registration and a Cease an Desist letter (RJN Exhs. 7, 14)./These</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documents were referenced in the FACC and therefore the Court can consider them under the incorporation by reference doctrine. </w:t>
      </w:r>
      <w:r>
        <w:rPr>
          <w:rFonts w:ascii="arial" w:eastAsia="arial" w:hAnsi="arial" w:cs="arial"/>
          <w:b w:val="0"/>
          <w:i/>
          <w:strike w:val="0"/>
          <w:noProof w:val="0"/>
          <w:color w:val="000000"/>
          <w:position w:val="0"/>
          <w:sz w:val="20"/>
          <w:u w:val="none"/>
          <w:vertAlign w:val="baseline"/>
        </w:rPr>
        <w:t xml:space="preserve">See </w:t>
      </w:r>
      <w:bookmarkStart w:id="59" w:name="Bookmark_I6B17H4828T4M50050000400"/>
      <w:bookmarkEnd w:id="59"/>
      <w:hyperlink r:id="rId27" w:history="1">
        <w:r>
          <w:rPr>
            <w:rFonts w:ascii="arial" w:eastAsia="arial" w:hAnsi="arial" w:cs="arial"/>
            <w:b w:val="0"/>
            <w:i/>
            <w:strike w:val="0"/>
            <w:noProof w:val="0"/>
            <w:color w:val="0077CC"/>
            <w:position w:val="0"/>
            <w:sz w:val="20"/>
            <w:u w:val="single"/>
            <w:vertAlign w:val="baseline"/>
          </w:rPr>
          <w:t>Sams v. Yahoo! Inc.</w:t>
        </w:r>
      </w:hyperlink>
      <w:hyperlink r:id="rId27" w:history="1">
        <w:r>
          <w:rPr>
            <w:rFonts w:ascii="arial" w:eastAsia="arial" w:hAnsi="arial" w:cs="arial"/>
            <w:b w:val="0"/>
            <w:i/>
            <w:strike w:val="0"/>
            <w:noProof w:val="0"/>
            <w:color w:val="0077CC"/>
            <w:position w:val="0"/>
            <w:sz w:val="20"/>
            <w:u w:val="single"/>
            <w:vertAlign w:val="baseline"/>
          </w:rPr>
          <w:t>, 713 F.3d 1175, 1179 (9th Cir. 2013)</w:t>
        </w:r>
      </w:hyperlink>
      <w:r>
        <w:rPr>
          <w:rFonts w:ascii="arial" w:eastAsia="arial" w:hAnsi="arial" w:cs="arial"/>
          <w:b w:val="0"/>
          <w:i w:val="0"/>
          <w:strike w:val="0"/>
          <w:noProof w:val="0"/>
          <w:color w:val="000000"/>
          <w:position w:val="0"/>
          <w:sz w:val="20"/>
          <w:u w:val="none"/>
          <w:vertAlign w:val="baseline"/>
        </w:rPr>
        <w:t xml:space="preserve"> (court may consider documents not physically attached to the complaint where the documents' authenticity is not contested, and the plaintiff's complaint necessarily relies on them). Accordingly, the Court need not also take judicial notice of them.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DISCUSSION</w:t>
      </w:r>
    </w:p>
    <w:p>
      <w:pPr>
        <w:keepNext w:val="0"/>
        <w:spacing w:before="240" w:after="0" w:line="260" w:lineRule="atLeast"/>
        <w:ind w:left="0" w:right="0" w:firstLine="0"/>
        <w:jc w:val="both"/>
      </w:pPr>
      <w:bookmarkStart w:id="60" w:name="Bookmark_para_15"/>
      <w:bookmarkEnd w:id="60"/>
      <w:bookmarkStart w:id="61" w:name="Bookmark_I6B17H4828T4M60030000400"/>
      <w:bookmarkEnd w:id="61"/>
      <w:r>
        <w:rPr>
          <w:rFonts w:ascii="arial" w:eastAsia="arial" w:hAnsi="arial" w:cs="arial"/>
          <w:b w:val="0"/>
          <w:i w:val="0"/>
          <w:strike w:val="0"/>
          <w:noProof w:val="0"/>
          <w:color w:val="000000"/>
          <w:position w:val="0"/>
          <w:sz w:val="20"/>
          <w:u w:val="none"/>
          <w:vertAlign w:val="baseline"/>
        </w:rPr>
        <w:t xml:space="preserve">The EVO Defendants allege infringement of both a registered mark and unregistered marks. </w:t>
      </w:r>
      <w:bookmarkStart w:id="62" w:name="Bookmark_I6B17H4828T4M60050000400"/>
      <w:bookmarkEnd w:id="62"/>
      <w:r>
        <w:rPr>
          <w:rFonts w:ascii="arial" w:eastAsia="arial" w:hAnsi="arial" w:cs="arial"/>
          <w:b w:val="0"/>
          <w:i w:val="0"/>
          <w:strike w:val="0"/>
          <w:noProof w:val="0"/>
          <w:color w:val="000000"/>
          <w:position w:val="0"/>
          <w:sz w:val="20"/>
          <w:u w:val="none"/>
          <w:vertAlign w:val="baseline"/>
        </w:rPr>
        <w:t xml:space="preserve">The same standard applies to infringement of both registered and unregistered trademarks. </w:t>
      </w:r>
      <w:bookmarkStart w:id="63" w:name="Bookmark_I6B17H4828T4M60020000400"/>
      <w:bookmarkEnd w:id="63"/>
      <w:hyperlink r:id="rId28" w:history="1">
        <w:r>
          <w:rPr>
            <w:rFonts w:ascii="arial" w:eastAsia="arial" w:hAnsi="arial" w:cs="arial"/>
            <w:b w:val="0"/>
            <w:i/>
            <w:strike w:val="0"/>
            <w:noProof w:val="0"/>
            <w:color w:val="0077CC"/>
            <w:position w:val="0"/>
            <w:sz w:val="20"/>
            <w:u w:val="single"/>
            <w:vertAlign w:val="baseline"/>
          </w:rPr>
          <w:t>GoTo.com, Inc. v. Walt Disney Co.</w:t>
        </w:r>
      </w:hyperlink>
      <w:hyperlink r:id="rId28" w:history="1">
        <w:r>
          <w:rPr>
            <w:rFonts w:ascii="arial" w:eastAsia="arial" w:hAnsi="arial" w:cs="arial"/>
            <w:b w:val="0"/>
            <w:i/>
            <w:strike w:val="0"/>
            <w:noProof w:val="0"/>
            <w:color w:val="0077CC"/>
            <w:position w:val="0"/>
            <w:sz w:val="20"/>
            <w:u w:val="single"/>
            <w:vertAlign w:val="baseline"/>
          </w:rPr>
          <w:t>, 202 F.3d 1199, 1205 n.3 (9th Cir. 2000)</w:t>
        </w:r>
      </w:hyperlink>
      <w:r>
        <w:rPr>
          <w:rFonts w:ascii="arial" w:eastAsia="arial" w:hAnsi="arial" w:cs="arial"/>
          <w:b w:val="0"/>
          <w:i w:val="0"/>
          <w:strike w:val="0"/>
          <w:noProof w:val="0"/>
          <w:color w:val="000000"/>
          <w:position w:val="0"/>
          <w:sz w:val="20"/>
          <w:u w:val="none"/>
          <w:vertAlign w:val="baseline"/>
        </w:rPr>
        <w:t xml:space="preserve">. </w:t>
      </w:r>
      <w:bookmarkStart w:id="64" w:name="Bookmark_I6B17H4828T4M60050000400_2"/>
      <w:bookmarkEnd w:id="64"/>
      <w:bookmarkStart w:id="65" w:name="Bookmark_I6B17H492SF89N0020000400"/>
      <w:bookmarkEnd w:id="65"/>
      <w:r>
        <w:rPr>
          <w:rFonts w:ascii="arial" w:eastAsia="arial" w:hAnsi="arial" w:cs="arial"/>
          <w:b w:val="0"/>
          <w:i w:val="0"/>
          <w:strike w:val="0"/>
          <w:noProof w:val="0"/>
          <w:color w:val="000000"/>
          <w:position w:val="0"/>
          <w:sz w:val="20"/>
          <w:u w:val="none"/>
          <w:vertAlign w:val="baseline"/>
        </w:rPr>
        <w:t xml:space="preserve">To establish a trademark infringement claim or an unfair competition claim under the </w:t>
      </w:r>
      <w:hyperlink r:id="rId29" w:history="1">
        <w:r>
          <w:rPr>
            <w:rFonts w:ascii="arial" w:eastAsia="arial" w:hAnsi="arial" w:cs="arial"/>
            <w:b w:val="0"/>
            <w:i/>
            <w:strike w:val="0"/>
            <w:noProof w:val="0"/>
            <w:color w:val="0077CC"/>
            <w:position w:val="0"/>
            <w:sz w:val="20"/>
            <w:u w:val="single"/>
            <w:vertAlign w:val="baseline"/>
          </w:rPr>
          <w:t>Lanham Act</w:t>
        </w:r>
      </w:hyperlink>
      <w:r>
        <w:rPr>
          <w:rFonts w:ascii="arial" w:eastAsia="arial" w:hAnsi="arial" w:cs="arial"/>
          <w:b w:val="0"/>
          <w:i w:val="0"/>
          <w:strike w:val="0"/>
          <w:noProof w:val="0"/>
          <w:color w:val="000000"/>
          <w:position w:val="0"/>
          <w:sz w:val="20"/>
          <w:u w:val="none"/>
          <w:vertAlign w:val="baseline"/>
        </w:rPr>
        <w:t xml:space="preserve">, a plaintiff must show that (1) the plaintiff has a protectable ownership interest in the mark, and (2) that the defendant's use of the mark is likely to cause consumer confusion. </w:t>
      </w:r>
      <w:hyperlink r:id="rId10" w:history="1">
        <w:r>
          <w:rPr>
            <w:rFonts w:ascii="arial" w:eastAsia="arial" w:hAnsi="arial" w:cs="arial"/>
            <w:b w:val="0"/>
            <w:i/>
            <w:strike w:val="0"/>
            <w:noProof w:val="0"/>
            <w:color w:val="0077CC"/>
            <w:position w:val="0"/>
            <w:sz w:val="20"/>
            <w:u w:val="single"/>
            <w:vertAlign w:val="baseline"/>
          </w:rPr>
          <w:t>15 U.S.C.A. §§ 1114(1)</w:t>
        </w:r>
      </w:hyperlink>
      <w:r>
        <w:rPr>
          <w:rFonts w:ascii="arial" w:eastAsia="arial" w:hAnsi="arial" w:cs="arial"/>
          <w:b w:val="0"/>
          <w:i w:val="0"/>
          <w:strike w:val="0"/>
          <w:noProof w:val="0"/>
          <w:color w:val="000000"/>
          <w:position w:val="0"/>
          <w:sz w:val="20"/>
          <w:u w:val="none"/>
          <w:vertAlign w:val="baseline"/>
        </w:rPr>
        <w:t xml:space="preserve">, </w:t>
      </w:r>
      <w:hyperlink r:id="rId11" w:history="1">
        <w:r>
          <w:rPr>
            <w:rFonts w:ascii="arial" w:eastAsia="arial" w:hAnsi="arial" w:cs="arial"/>
            <w:b w:val="0"/>
            <w:i/>
            <w:strike w:val="0"/>
            <w:noProof w:val="0"/>
            <w:color w:val="0077CC"/>
            <w:position w:val="0"/>
            <w:sz w:val="20"/>
            <w:u w:val="single"/>
            <w:vertAlign w:val="baseline"/>
          </w:rPr>
          <w:t>1125(a)</w:t>
        </w:r>
      </w:hyperlink>
      <w:r>
        <w:rPr>
          <w:rFonts w:ascii="arial" w:eastAsia="arial" w:hAnsi="arial" w:cs="arial"/>
          <w:b w:val="0"/>
          <w:i w:val="0"/>
          <w:strike w:val="0"/>
          <w:noProof w:val="0"/>
          <w:color w:val="000000"/>
          <w:position w:val="0"/>
          <w:sz w:val="20"/>
          <w:u w:val="none"/>
          <w:vertAlign w:val="baseline"/>
        </w:rPr>
        <w:t xml:space="preserve">; </w:t>
      </w:r>
      <w:bookmarkStart w:id="66" w:name="Bookmark_I6B17H4828T4M60040000400"/>
      <w:bookmarkEnd w:id="66"/>
      <w:hyperlink r:id="rId30" w:history="1">
        <w:r>
          <w:rPr>
            <w:rFonts w:ascii="arial" w:eastAsia="arial" w:hAnsi="arial" w:cs="arial"/>
            <w:b w:val="0"/>
            <w:i/>
            <w:strike w:val="0"/>
            <w:noProof w:val="0"/>
            <w:color w:val="0077CC"/>
            <w:position w:val="0"/>
            <w:sz w:val="20"/>
            <w:u w:val="single"/>
            <w:vertAlign w:val="baseline"/>
          </w:rPr>
          <w:t>Brookfield Commc'ns, Inc. v. W. Coast Ent. Corp.</w:t>
        </w:r>
      </w:hyperlink>
      <w:hyperlink r:id="rId30" w:history="1">
        <w:r>
          <w:rPr>
            <w:rFonts w:ascii="arial" w:eastAsia="arial" w:hAnsi="arial" w:cs="arial"/>
            <w:b w:val="0"/>
            <w:i/>
            <w:strike w:val="0"/>
            <w:noProof w:val="0"/>
            <w:color w:val="0077CC"/>
            <w:position w:val="0"/>
            <w:sz w:val="20"/>
            <w:u w:val="single"/>
            <w:vertAlign w:val="baseline"/>
          </w:rPr>
          <w:t>, 174 F.3d 1036, 1046 (9th Cir. 1999)</w:t>
        </w:r>
      </w:hyperlink>
      <w:r>
        <w:rPr>
          <w:rFonts w:ascii="arial" w:eastAsia="arial" w:hAnsi="arial" w:cs="arial"/>
          <w:b w:val="0"/>
          <w:i w:val="0"/>
          <w:strike w:val="0"/>
          <w:noProof w:val="0"/>
          <w:color w:val="000000"/>
          <w:position w:val="0"/>
          <w:sz w:val="20"/>
          <w:u w:val="none"/>
          <w:vertAlign w:val="baseline"/>
        </w:rPr>
        <w:t xml:space="preserve">. </w:t>
      </w:r>
      <w:bookmarkStart w:id="67" w:name="Bookmark_I6B17H492SF89N0020000400_2"/>
      <w:bookmarkEnd w:id="67"/>
      <w:r>
        <w:rPr>
          <w:rFonts w:ascii="arial" w:eastAsia="arial" w:hAnsi="arial" w:cs="arial"/>
          <w:b w:val="0"/>
          <w:i w:val="0"/>
          <w:strike w:val="0"/>
          <w:noProof w:val="0"/>
          <w:color w:val="000000"/>
          <w:position w:val="0"/>
          <w:sz w:val="20"/>
          <w:u w:val="none"/>
          <w:vertAlign w:val="baseline"/>
        </w:rPr>
        <w:t xml:space="preserve">The standard test of ownership is priority of use — that is to say, the party claiming ownership must have been the first to actually use the mark in the sale of goods or services. </w:t>
      </w:r>
      <w:bookmarkStart w:id="68" w:name="Bookmark_I6B17H492SF89N0010000400"/>
      <w:bookmarkEnd w:id="68"/>
      <w:hyperlink r:id="rId31" w:history="1">
        <w:r>
          <w:rPr>
            <w:rFonts w:ascii="arial" w:eastAsia="arial" w:hAnsi="arial" w:cs="arial"/>
            <w:b w:val="0"/>
            <w:i/>
            <w:strike w:val="0"/>
            <w:noProof w:val="0"/>
            <w:color w:val="0077CC"/>
            <w:position w:val="0"/>
            <w:sz w:val="20"/>
            <w:u w:val="single"/>
            <w:vertAlign w:val="baseline"/>
          </w:rPr>
          <w:t>Sengoku Works Ltd. v. RMC Int'l, Ltd.</w:t>
        </w:r>
      </w:hyperlink>
      <w:hyperlink r:id="rId31" w:history="1">
        <w:r>
          <w:rPr>
            <w:rFonts w:ascii="arial" w:eastAsia="arial" w:hAnsi="arial" w:cs="arial"/>
            <w:b w:val="0"/>
            <w:i/>
            <w:strike w:val="0"/>
            <w:noProof w:val="0"/>
            <w:color w:val="0077CC"/>
            <w:position w:val="0"/>
            <w:sz w:val="20"/>
            <w:u w:val="single"/>
            <w:vertAlign w:val="baseline"/>
          </w:rPr>
          <w:t>, 96 F.3d 1217, 1219 (9th Cir.)</w:t>
        </w:r>
      </w:hyperlink>
      <w:r>
        <w:rPr>
          <w:rFonts w:ascii="arial" w:eastAsia="arial" w:hAnsi="arial" w:cs="arial"/>
          <w:b w:val="0"/>
          <w:i w:val="0"/>
          <w:strike w:val="0"/>
          <w:noProof w:val="0"/>
          <w:color w:val="000000"/>
          <w:position w:val="0"/>
          <w:sz w:val="20"/>
          <w:u w:val="none"/>
          <w:vertAlign w:val="baseline"/>
        </w:rPr>
        <w:t xml:space="preserve">, as modified, </w:t>
      </w:r>
      <w:r>
        <w:rPr>
          <w:rFonts w:ascii="arial" w:eastAsia="arial" w:hAnsi="arial" w:cs="arial"/>
          <w:b w:val="0"/>
          <w:i/>
          <w:strike w:val="0"/>
          <w:noProof w:val="0"/>
          <w:color w:val="000000"/>
          <w:position w:val="0"/>
          <w:sz w:val="20"/>
          <w:u w:val="none"/>
          <w:vertAlign w:val="baseline"/>
        </w:rPr>
        <w:t>97 F.3d 1460 (9th Cir. 1996)</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9" w:name="Bookmark_para_16"/>
      <w:bookmarkEnd w:id="69"/>
      <w:bookmarkStart w:id="70" w:name="Bookmark_I6B17H492SF89N0040000400"/>
      <w:bookmarkEnd w:id="70"/>
      <w:r>
        <w:rPr>
          <w:rFonts w:ascii="arial" w:eastAsia="arial" w:hAnsi="arial" w:cs="arial"/>
          <w:b w:val="0"/>
          <w:i w:val="0"/>
          <w:strike w:val="0"/>
          <w:noProof w:val="0"/>
          <w:color w:val="000000"/>
          <w:position w:val="0"/>
          <w:sz w:val="20"/>
          <w:u w:val="none"/>
          <w:vertAlign w:val="baseline"/>
        </w:rPr>
        <w:t xml:space="preserve">Furthermore, </w:t>
      </w:r>
      <w:hyperlink r:id="rId12" w:history="1">
        <w:r>
          <w:rPr>
            <w:rFonts w:ascii="arial" w:eastAsia="arial" w:hAnsi="arial" w:cs="arial"/>
            <w:b w:val="0"/>
            <w:i/>
            <w:strike w:val="0"/>
            <w:noProof w:val="0"/>
            <w:color w:val="0077CC"/>
            <w:position w:val="0"/>
            <w:sz w:val="20"/>
            <w:u w:val="single"/>
            <w:vertAlign w:val="baseline"/>
          </w:rPr>
          <w:t>California Business and Professions Code § 17200</w:t>
        </w:r>
      </w:hyperlink>
      <w:r>
        <w:rPr>
          <w:rFonts w:ascii="arial" w:eastAsia="arial" w:hAnsi="arial" w:cs="arial"/>
          <w:b w:val="0"/>
          <w:i w:val="0"/>
          <w:strike w:val="0"/>
          <w:noProof w:val="0"/>
          <w:color w:val="000000"/>
          <w:position w:val="0"/>
          <w:sz w:val="20"/>
          <w:u w:val="none"/>
          <w:vertAlign w:val="baseline"/>
        </w:rPr>
        <w:t xml:space="preserve"> claims are "substantially congruent" with federal trademark claims, and the analysis under each regime is therefore the same. </w:t>
      </w:r>
      <w:bookmarkStart w:id="71" w:name="Bookmark_I6B17H492SF89N0030000400"/>
      <w:bookmarkEnd w:id="71"/>
      <w:hyperlink r:id="rId32" w:history="1">
        <w:r>
          <w:rPr>
            <w:rFonts w:ascii="arial" w:eastAsia="arial" w:hAnsi="arial" w:cs="arial"/>
            <w:b w:val="0"/>
            <w:i/>
            <w:strike w:val="0"/>
            <w:noProof w:val="0"/>
            <w:color w:val="0077CC"/>
            <w:position w:val="0"/>
            <w:sz w:val="20"/>
            <w:u w:val="single"/>
            <w:vertAlign w:val="baseline"/>
          </w:rPr>
          <w:t>Cleary v. News Corp.</w:t>
        </w:r>
      </w:hyperlink>
      <w:hyperlink r:id="rId32" w:history="1">
        <w:r>
          <w:rPr>
            <w:rFonts w:ascii="arial" w:eastAsia="arial" w:hAnsi="arial" w:cs="arial"/>
            <w:b w:val="0"/>
            <w:i/>
            <w:strike w:val="0"/>
            <w:noProof w:val="0"/>
            <w:color w:val="0077CC"/>
            <w:position w:val="0"/>
            <w:sz w:val="20"/>
            <w:u w:val="single"/>
            <w:vertAlign w:val="baseline"/>
          </w:rPr>
          <w:t>, 30 F.3d 1255, 1262-63 (9th Cir. 1994)</w:t>
        </w:r>
      </w:hyperlink>
      <w:r>
        <w:rPr>
          <w:rFonts w:ascii="arial" w:eastAsia="arial" w:hAnsi="arial" w:cs="arial"/>
          <w:b w:val="0"/>
          <w:i w:val="0"/>
          <w:strike w:val="0"/>
          <w:noProof w:val="0"/>
          <w:color w:val="000000"/>
          <w:position w:val="0"/>
          <w:sz w:val="20"/>
          <w:u w:val="none"/>
          <w:vertAlign w:val="baseline"/>
        </w:rPr>
        <w:t xml:space="preserve">; </w:t>
      </w:r>
      <w:bookmarkStart w:id="72" w:name="Bookmark_I6B17H492SF89N0050000400"/>
      <w:bookmarkEnd w:id="72"/>
      <w:hyperlink r:id="rId33" w:history="1">
        <w:r>
          <w:rPr>
            <w:rFonts w:ascii="arial" w:eastAsia="arial" w:hAnsi="arial" w:cs="arial"/>
            <w:b w:val="0"/>
            <w:i/>
            <w:strike w:val="0"/>
            <w:noProof w:val="0"/>
            <w:color w:val="0077CC"/>
            <w:position w:val="0"/>
            <w:sz w:val="20"/>
            <w:u w:val="single"/>
            <w:vertAlign w:val="baseline"/>
          </w:rPr>
          <w:t>Grupo Gigante S.A. de C.V. v. Dallo &amp; Co.</w:t>
        </w:r>
      </w:hyperlink>
      <w:hyperlink r:id="rId33" w:history="1">
        <w:r>
          <w:rPr>
            <w:rFonts w:ascii="arial" w:eastAsia="arial" w:hAnsi="arial" w:cs="arial"/>
            <w:b w:val="0"/>
            <w:i/>
            <w:strike w:val="0"/>
            <w:noProof w:val="0"/>
            <w:color w:val="0077CC"/>
            <w:position w:val="0"/>
            <w:sz w:val="20"/>
            <w:u w:val="single"/>
            <w:vertAlign w:val="baseline"/>
          </w:rPr>
          <w:t>, 391 F.3d 1088, 1100 (9th Cir. 2004)</w:t>
        </w:r>
      </w:hyperlink>
      <w:r>
        <w:rPr>
          <w:rFonts w:ascii="arial" w:eastAsia="arial" w:hAnsi="arial" w:cs="arial"/>
          <w:b w:val="0"/>
          <w:i w:val="0"/>
          <w:strike w:val="0"/>
          <w:noProof w:val="0"/>
          <w:color w:val="000000"/>
          <w:position w:val="0"/>
          <w:sz w:val="20"/>
          <w:u w:val="none"/>
          <w:vertAlign w:val="baseline"/>
        </w:rPr>
        <w:t>. As such, the</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Court will analyze the issues raised in the Motion, as opposed to the specific claims.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Lawful Prior Use of the Marks in Commerce</w:t>
      </w:r>
    </w:p>
    <w:p>
      <w:pPr>
        <w:keepNext w:val="0"/>
        <w:spacing w:before="240" w:after="0" w:line="260" w:lineRule="atLeast"/>
        <w:ind w:left="0" w:right="0" w:firstLine="0"/>
        <w:jc w:val="both"/>
      </w:pPr>
      <w:bookmarkStart w:id="73" w:name="Bookmark_para_17"/>
      <w:bookmarkEnd w:id="73"/>
      <w:r>
        <w:rPr>
          <w:rFonts w:ascii="arial" w:eastAsia="arial" w:hAnsi="arial" w:cs="arial"/>
          <w:b w:val="0"/>
          <w:i w:val="0"/>
          <w:strike w:val="0"/>
          <w:noProof w:val="0"/>
          <w:color w:val="000000"/>
          <w:position w:val="0"/>
          <w:sz w:val="20"/>
          <w:u w:val="none"/>
          <w:vertAlign w:val="baseline"/>
        </w:rPr>
        <w:t xml:space="preserve">TIW Puff argues that the EVO Defendants have no protectible interest in the Marks because neither the EVO Defendants nor their predecessors made lawful prior use of the marks in commerce because all of the products they sold were tobacco products that were adulterated or misbranded under </w:t>
      </w:r>
      <w:hyperlink r:id="rId34" w:history="1">
        <w:r>
          <w:rPr>
            <w:rFonts w:ascii="arial" w:eastAsia="arial" w:hAnsi="arial" w:cs="arial"/>
            <w:b w:val="0"/>
            <w:i/>
            <w:strike w:val="0"/>
            <w:noProof w:val="0"/>
            <w:color w:val="0077CC"/>
            <w:position w:val="0"/>
            <w:sz w:val="20"/>
            <w:u w:val="single"/>
            <w:vertAlign w:val="baseline"/>
          </w:rPr>
          <w:t>§ 902(6)(A) of the FD&amp;C Act</w:t>
        </w:r>
      </w:hyperlink>
      <w:r>
        <w:rPr>
          <w:rFonts w:ascii="arial" w:eastAsia="arial" w:hAnsi="arial" w:cs="arial"/>
          <w:b w:val="0"/>
          <w:i w:val="0"/>
          <w:strike w:val="0"/>
          <w:noProof w:val="0"/>
          <w:color w:val="000000"/>
          <w:position w:val="0"/>
          <w:sz w:val="20"/>
          <w:u w:val="none"/>
          <w:vertAlign w:val="baseline"/>
        </w:rPr>
        <w:t xml:space="preserve">, and misbranded under </w:t>
      </w:r>
      <w:hyperlink r:id="rId35" w:history="1">
        <w:r>
          <w:rPr>
            <w:rFonts w:ascii="arial" w:eastAsia="arial" w:hAnsi="arial" w:cs="arial"/>
            <w:b w:val="0"/>
            <w:i/>
            <w:strike w:val="0"/>
            <w:noProof w:val="0"/>
            <w:color w:val="0077CC"/>
            <w:position w:val="0"/>
            <w:sz w:val="20"/>
            <w:u w:val="single"/>
            <w:vertAlign w:val="baseline"/>
          </w:rPr>
          <w:t>§ 903(a)(6) of the FD&amp;C Act</w:t>
        </w:r>
      </w:hyperlink>
      <w:r>
        <w:rPr>
          <w:rFonts w:ascii="arial" w:eastAsia="arial" w:hAnsi="arial" w:cs="arial"/>
          <w:b w:val="0"/>
          <w:i w:val="0"/>
          <w:strike w:val="0"/>
          <w:noProof w:val="0"/>
          <w:color w:val="000000"/>
          <w:position w:val="0"/>
          <w:sz w:val="20"/>
          <w:u w:val="none"/>
          <w:vertAlign w:val="baseline"/>
        </w:rPr>
        <w:t>. (Mot. pp. 3-6.)</w:t>
      </w:r>
    </w:p>
    <w:p>
      <w:pPr>
        <w:keepNext w:val="0"/>
        <w:spacing w:before="240" w:after="0" w:line="260" w:lineRule="atLeast"/>
        <w:ind w:left="0" w:right="0" w:firstLine="0"/>
        <w:jc w:val="both"/>
      </w:pPr>
      <w:bookmarkStart w:id="74" w:name="Bookmark_para_18"/>
      <w:bookmarkEnd w:id="74"/>
      <w:r>
        <w:rPr>
          <w:rFonts w:ascii="arial" w:eastAsia="arial" w:hAnsi="arial" w:cs="arial"/>
          <w:b w:val="0"/>
          <w:i w:val="0"/>
          <w:strike w:val="0"/>
          <w:noProof w:val="0"/>
          <w:color w:val="000000"/>
          <w:position w:val="0"/>
          <w:sz w:val="20"/>
          <w:u w:val="none"/>
          <w:vertAlign w:val="baseline"/>
        </w:rPr>
        <w:t xml:space="preserve">TIW Puff's argument that the EVO Defendants' use was unlawful is based on two FDA warning letters. First, on July 20, 2020, the FDA issued to the EVO Defendants' predecessor Cool Clouds that the e-cigarette and e-liquid products sold on their puffbar.com website were "adulterated under </w:t>
      </w:r>
      <w:hyperlink r:id="rId34" w:history="1">
        <w:r>
          <w:rPr>
            <w:rFonts w:ascii="arial" w:eastAsia="arial" w:hAnsi="arial" w:cs="arial"/>
            <w:b w:val="0"/>
            <w:i/>
            <w:strike w:val="0"/>
            <w:noProof w:val="0"/>
            <w:color w:val="0077CC"/>
            <w:position w:val="0"/>
            <w:sz w:val="20"/>
            <w:u w:val="single"/>
            <w:vertAlign w:val="baseline"/>
          </w:rPr>
          <w:t>section 902(6)(A) of the FD&amp;C Act</w:t>
        </w:r>
      </w:hyperlink>
      <w:r>
        <w:rPr>
          <w:rFonts w:ascii="arial" w:eastAsia="arial" w:hAnsi="arial" w:cs="arial"/>
          <w:b w:val="0"/>
          <w:i w:val="0"/>
          <w:strike w:val="0"/>
          <w:noProof w:val="0"/>
          <w:color w:val="000000"/>
          <w:position w:val="0"/>
          <w:sz w:val="20"/>
          <w:u w:val="none"/>
          <w:vertAlign w:val="baseline"/>
        </w:rPr>
        <w:t xml:space="preserve">" and "misbranded under </w:t>
      </w:r>
      <w:hyperlink r:id="rId35" w:history="1">
        <w:r>
          <w:rPr>
            <w:rFonts w:ascii="arial" w:eastAsia="arial" w:hAnsi="arial" w:cs="arial"/>
            <w:b w:val="0"/>
            <w:i/>
            <w:strike w:val="0"/>
            <w:noProof w:val="0"/>
            <w:color w:val="0077CC"/>
            <w:position w:val="0"/>
            <w:sz w:val="20"/>
            <w:u w:val="single"/>
            <w:vertAlign w:val="baseline"/>
          </w:rPr>
          <w:t>section 903(a)(6) of the FD&amp;C Act</w:t>
        </w:r>
      </w:hyperlink>
      <w:r>
        <w:rPr>
          <w:rFonts w:ascii="arial" w:eastAsia="arial" w:hAnsi="arial" w:cs="arial"/>
          <w:b w:val="0"/>
          <w:i w:val="0"/>
          <w:strike w:val="0"/>
          <w:noProof w:val="0"/>
          <w:color w:val="000000"/>
          <w:position w:val="0"/>
          <w:sz w:val="20"/>
          <w:u w:val="none"/>
          <w:vertAlign w:val="baseline"/>
        </w:rPr>
        <w:t>." RFJN Ex. 2. Second, On October 6, 2022, the FDA sent a warning letter to EVO Defendants stating that the sales of the Puff products on puffbar.com after February 19, 2021, were also unlawful because EVO Defendants did not have a "marketing authorization letter." RFJN Ex. 1.</w:t>
      </w:r>
    </w:p>
    <w:p>
      <w:pPr>
        <w:keepNext w:val="0"/>
        <w:spacing w:before="240" w:after="0" w:line="260" w:lineRule="atLeast"/>
        <w:ind w:left="0" w:right="0" w:firstLine="0"/>
        <w:jc w:val="both"/>
      </w:pPr>
      <w:bookmarkStart w:id="75" w:name="Bookmark_para_19"/>
      <w:bookmarkEnd w:id="75"/>
      <w:r>
        <w:rPr>
          <w:rFonts w:ascii="arial" w:eastAsia="arial" w:hAnsi="arial" w:cs="arial"/>
          <w:b w:val="0"/>
          <w:i w:val="0"/>
          <w:strike w:val="0"/>
          <w:noProof w:val="0"/>
          <w:color w:val="000000"/>
          <w:position w:val="0"/>
          <w:sz w:val="20"/>
          <w:u w:val="none"/>
          <w:vertAlign w:val="baseline"/>
        </w:rPr>
        <w:t>As the Court ruled in the related case, these arguments are not appropriate for resolution at the pleading stage. A dispute over whether the EVO Defendants</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and their predecessors sold illegal products branded with the Marks is inherently factual, and the EVO Defendants have plausibly alleged that they have used the Marks in connection with tobacco-free products, which are not subject to FDA premarket authorization. </w:t>
      </w:r>
      <w:bookmarkStart w:id="76" w:name="Bookmark_I6B17H492HM6WJ0030000400"/>
      <w:bookmarkEnd w:id="76"/>
      <w:r>
        <w:rPr>
          <w:rFonts w:ascii="arial" w:eastAsia="arial" w:hAnsi="arial" w:cs="arial"/>
          <w:b w:val="0"/>
          <w:i w:val="0"/>
          <w:strike w:val="0"/>
          <w:noProof w:val="0"/>
          <w:color w:val="000000"/>
          <w:position w:val="0"/>
          <w:sz w:val="20"/>
          <w:u w:val="none"/>
          <w:vertAlign w:val="baseline"/>
        </w:rPr>
        <w:t xml:space="preserve">FACC ¶¶ 8, 10. To reject those factual allegations and substitute TIW Puff's own is entirely inappropriate at the pleading stage. </w:t>
      </w:r>
      <w:bookmarkStart w:id="77" w:name="Bookmark_I6B17H492HM6WJ0020000400"/>
      <w:bookmarkEnd w:id="77"/>
      <w:hyperlink r:id="rId20" w:history="1">
        <w:r>
          <w:rPr>
            <w:rFonts w:ascii="arial" w:eastAsia="arial" w:hAnsi="arial" w:cs="arial"/>
            <w:b w:val="0"/>
            <w:i/>
            <w:strike w:val="0"/>
            <w:noProof w:val="0"/>
            <w:color w:val="0077CC"/>
            <w:position w:val="0"/>
            <w:sz w:val="20"/>
            <w:u w:val="single"/>
            <w:vertAlign w:val="baseline"/>
          </w:rPr>
          <w:t>Erickson v. Pardus</w:t>
        </w:r>
      </w:hyperlink>
      <w:hyperlink r:id="rId20" w:history="1">
        <w:r>
          <w:rPr>
            <w:rFonts w:ascii="arial" w:eastAsia="arial" w:hAnsi="arial" w:cs="arial"/>
            <w:b w:val="0"/>
            <w:i/>
            <w:strike w:val="0"/>
            <w:noProof w:val="0"/>
            <w:color w:val="0077CC"/>
            <w:position w:val="0"/>
            <w:sz w:val="20"/>
            <w:u w:val="single"/>
            <w:vertAlign w:val="baseline"/>
          </w:rPr>
          <w:t>, 551 U.S. 89, 94, 127 S. Ct. 2197, 167 L. Ed. 2d 1081 (2007)</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8" w:name="Bookmark_para_20"/>
      <w:bookmarkEnd w:id="78"/>
      <w:bookmarkStart w:id="79" w:name="Bookmark_I6B17H492HM6WJ0050000400"/>
      <w:bookmarkEnd w:id="79"/>
      <w:r>
        <w:rPr>
          <w:rFonts w:ascii="arial" w:eastAsia="arial" w:hAnsi="arial" w:cs="arial"/>
          <w:b w:val="0"/>
          <w:i w:val="0"/>
          <w:strike w:val="0"/>
          <w:noProof w:val="0"/>
          <w:color w:val="000000"/>
          <w:position w:val="0"/>
          <w:sz w:val="20"/>
          <w:u w:val="none"/>
          <w:vertAlign w:val="baseline"/>
        </w:rPr>
        <w:t xml:space="preserve">TIW Puff's reliance on the judicially-noticeable FDA letters to show that </w:t>
      </w:r>
      <w:r>
        <w:rPr>
          <w:rFonts w:ascii="arial" w:eastAsia="arial" w:hAnsi="arial" w:cs="arial"/>
          <w:b w:val="0"/>
          <w:i/>
          <w:strike w:val="0"/>
          <w:noProof w:val="0"/>
          <w:color w:val="000000"/>
          <w:position w:val="0"/>
          <w:sz w:val="20"/>
          <w:u w:val="none"/>
          <w:vertAlign w:val="baseline"/>
        </w:rPr>
        <w:t>some</w:t>
      </w:r>
      <w:r>
        <w:rPr>
          <w:rFonts w:ascii="arial" w:eastAsia="arial" w:hAnsi="arial" w:cs="arial"/>
          <w:b w:val="0"/>
          <w:i w:val="0"/>
          <w:strike w:val="0"/>
          <w:noProof w:val="0"/>
          <w:color w:val="000000"/>
          <w:position w:val="0"/>
          <w:sz w:val="20"/>
          <w:u w:val="none"/>
          <w:vertAlign w:val="baseline"/>
        </w:rPr>
        <w:t xml:space="preserve"> of the EVO Defendants' products were illicit does not alter this analysis for two reasons. First, judicial notice is not a means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in a defendant's version of facts at the pleading stage. </w:t>
      </w:r>
      <w:bookmarkStart w:id="80" w:name="Bookmark_I6B17H492HM6WJ0040000400"/>
      <w:bookmarkEnd w:id="80"/>
      <w:hyperlink r:id="rId26" w:history="1">
        <w:r>
          <w:rPr>
            <w:rFonts w:ascii="arial" w:eastAsia="arial" w:hAnsi="arial" w:cs="arial"/>
            <w:b w:val="0"/>
            <w:i/>
            <w:strike w:val="0"/>
            <w:noProof w:val="0"/>
            <w:color w:val="0077CC"/>
            <w:position w:val="0"/>
            <w:sz w:val="20"/>
            <w:u w:val="single"/>
            <w:vertAlign w:val="baseline"/>
          </w:rPr>
          <w:t>Khoja</w:t>
        </w:r>
      </w:hyperlink>
      <w:hyperlink r:id="rId26" w:history="1">
        <w:r>
          <w:rPr>
            <w:rFonts w:ascii="arial" w:eastAsia="arial" w:hAnsi="arial" w:cs="arial"/>
            <w:b w:val="0"/>
            <w:i/>
            <w:strike w:val="0"/>
            <w:noProof w:val="0"/>
            <w:color w:val="0077CC"/>
            <w:position w:val="0"/>
            <w:sz w:val="20"/>
            <w:u w:val="single"/>
            <w:vertAlign w:val="baseline"/>
          </w:rPr>
          <w:t>, 899 F.3d at 999</w:t>
        </w:r>
      </w:hyperlink>
      <w:r>
        <w:rPr>
          <w:rFonts w:ascii="arial" w:eastAsia="arial" w:hAnsi="arial" w:cs="arial"/>
          <w:b w:val="0"/>
          <w:i w:val="0"/>
          <w:strike w:val="0"/>
          <w:noProof w:val="0"/>
          <w:color w:val="000000"/>
          <w:position w:val="0"/>
          <w:sz w:val="20"/>
          <w:u w:val="none"/>
          <w:vertAlign w:val="baseline"/>
        </w:rPr>
        <w:t xml:space="preserve"> (courts may not take judicial notice of the truth of a document's contents in order to dispute well-pleaded allegations in a complaint). Second, if the Court were to take as true TIW Puff's factual assertions that the EVO Defendants sold tobacco products that were adulterated or misbranded in connection with the Marks, that would not warrant the factual conclusion that the EVO Defendants sold </w:t>
      </w:r>
      <w:r>
        <w:rPr>
          <w:rFonts w:ascii="arial" w:eastAsia="arial" w:hAnsi="arial" w:cs="arial"/>
          <w:b w:val="0"/>
          <w:i/>
          <w:strike w:val="0"/>
          <w:noProof w:val="0"/>
          <w:color w:val="000000"/>
          <w:position w:val="0"/>
          <w:sz w:val="20"/>
          <w:u w:val="none"/>
          <w:vertAlign w:val="baseline"/>
        </w:rPr>
        <w:t>no</w:t>
      </w:r>
      <w:r>
        <w:rPr>
          <w:rFonts w:ascii="arial" w:eastAsia="arial" w:hAnsi="arial" w:cs="arial"/>
          <w:b w:val="0"/>
          <w:i w:val="0"/>
          <w:strike w:val="0"/>
          <w:noProof w:val="0"/>
          <w:color w:val="000000"/>
          <w:position w:val="0"/>
          <w:sz w:val="20"/>
          <w:u w:val="none"/>
          <w:vertAlign w:val="baseline"/>
        </w:rPr>
        <w:t xml:space="preserve"> tobacco-free products in connection with the Marks. Certainly, none of the FDA warning letters in the record indicate that the entirety</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of the subject businesses' offerings under the Marks were illegal — only that some of them were.</w:t>
      </w:r>
    </w:p>
    <w:p>
      <w:pPr>
        <w:keepNext w:val="0"/>
        <w:spacing w:before="200" w:after="0" w:line="260" w:lineRule="atLeast"/>
        <w:ind w:left="0" w:right="0" w:firstLine="0"/>
        <w:jc w:val="both"/>
      </w:pPr>
      <w:bookmarkStart w:id="81" w:name="Bookmark_para_21"/>
      <w:bookmarkEnd w:id="81"/>
      <w:r>
        <w:rPr>
          <w:rFonts w:ascii="arial" w:eastAsia="arial" w:hAnsi="arial" w:cs="arial"/>
          <w:b w:val="0"/>
          <w:i w:val="0"/>
          <w:strike w:val="0"/>
          <w:noProof w:val="0"/>
          <w:color w:val="000000"/>
          <w:position w:val="0"/>
          <w:sz w:val="20"/>
          <w:u w:val="none"/>
          <w:vertAlign w:val="baseline"/>
        </w:rPr>
        <w:t>TIW Puff is free to make this argument on summary judgment with a developed factual record. At this stage, the EVO Defendants have alleged sufficient facts to establish lawful use of the Marks in commerce, and the Court will not adjudicate the question of illegality.</w:t>
      </w:r>
    </w:p>
    <w:p>
      <w:pPr>
        <w:keepNext w:val="0"/>
        <w:spacing w:before="200" w:after="0" w:line="260" w:lineRule="atLeast"/>
        <w:ind w:left="0" w:right="0" w:firstLine="0"/>
        <w:jc w:val="both"/>
      </w:pPr>
      <w:bookmarkStart w:id="82" w:name="Bookmark_para_22"/>
      <w:bookmarkEnd w:id="82"/>
      <w:r>
        <w:rPr>
          <w:rFonts w:ascii="arial" w:eastAsia="arial" w:hAnsi="arial" w:cs="arial"/>
          <w:b w:val="0"/>
          <w:i w:val="0"/>
          <w:strike w:val="0"/>
          <w:noProof w:val="0"/>
          <w:color w:val="000000"/>
          <w:position w:val="0"/>
          <w:sz w:val="20"/>
          <w:u w:val="none"/>
          <w:vertAlign w:val="baseline"/>
        </w:rPr>
        <w:t xml:space="preserve">Insofar as TIW Puff argues that the EVO Defendants have not pled plausible dates of </w:t>
      </w:r>
      <w:r>
        <w:rPr>
          <w:rFonts w:ascii="arial" w:eastAsia="arial" w:hAnsi="arial" w:cs="arial"/>
          <w:b w:val="0"/>
          <w:i/>
          <w:strike w:val="0"/>
          <w:noProof w:val="0"/>
          <w:color w:val="000000"/>
          <w:position w:val="0"/>
          <w:sz w:val="20"/>
          <w:u w:val="none"/>
          <w:vertAlign w:val="baseline"/>
        </w:rPr>
        <w:t>first</w:t>
      </w:r>
      <w:r>
        <w:rPr>
          <w:rFonts w:ascii="arial" w:eastAsia="arial" w:hAnsi="arial" w:cs="arial"/>
          <w:b w:val="0"/>
          <w:i w:val="0"/>
          <w:strike w:val="0"/>
          <w:noProof w:val="0"/>
          <w:color w:val="000000"/>
          <w:position w:val="0"/>
          <w:sz w:val="20"/>
          <w:u w:val="none"/>
          <w:vertAlign w:val="baseline"/>
        </w:rPr>
        <w:t xml:space="preserve"> use, the Court rejected that argument in the related case and does so again. The EVO Defendants allege that they acquired the PUFF brand on January 21, 2021 and have used the Marks in connection with their Vape Products since that time. FACC ¶ 10. Plaintiffs allege a priority date of February 19, 2021 for the U.S. Trademark Registration No. 6907497 for the PUFF PLUS mark in the cloud design. FACC ¶ 11. Defendants argue that Plaintiffs have alleged two conflicting priority dates. However, it appears that Plaintiffs have simply identified a different, later priority date which is specific to the PUFF PLUS registered trademark. In addition, FACC ¶ 13 alleges facts sufficient to show that the EVO Defendants' use was senior to that of TIW Puff.</w:t>
      </w:r>
      <w:r>
        <w:rPr>
          <w:rFonts w:ascii="arial" w:eastAsia="arial" w:hAnsi="arial" w:cs="arial"/>
          <w:b/>
          <w:i w:val="0"/>
          <w:strike w:val="0"/>
          <w:noProof w:val="0"/>
          <w:color w:val="000000"/>
          <w:position w:val="0"/>
          <w:sz w:val="20"/>
          <w:u w:val="none"/>
          <w:vertAlign w:val="baseline"/>
        </w:rPr>
        <w:t> [*13] </w:t>
      </w:r>
    </w:p>
    <w:p>
      <w:pPr>
        <w:keepNext w:val="0"/>
        <w:spacing w:before="200" w:after="0" w:line="260" w:lineRule="atLeast"/>
        <w:ind w:left="0" w:right="0" w:firstLine="0"/>
        <w:jc w:val="both"/>
      </w:pPr>
      <w:bookmarkStart w:id="83" w:name="Bookmark_para_23"/>
      <w:bookmarkEnd w:id="83"/>
      <w:r>
        <w:rPr>
          <w:rFonts w:ascii="arial" w:eastAsia="arial" w:hAnsi="arial" w:cs="arial"/>
          <w:b w:val="0"/>
          <w:i w:val="0"/>
          <w:strike w:val="0"/>
          <w:noProof w:val="0"/>
          <w:color w:val="000000"/>
          <w:position w:val="0"/>
          <w:sz w:val="20"/>
          <w:u w:val="none"/>
          <w:vertAlign w:val="baseline"/>
        </w:rPr>
        <w:t>For the foregoing reasons, the Court concludes that the FACC includes allegations sufficient to establish prior lawful use of the marks in commerce.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TIW Puff's Anti-Trafficking Rule Challenge</w:t>
      </w:r>
    </w:p>
    <w:p>
      <w:pPr>
        <w:keepNext w:val="0"/>
        <w:spacing w:before="200" w:after="0" w:line="260" w:lineRule="atLeast"/>
        <w:ind w:left="0" w:right="0" w:firstLine="0"/>
        <w:jc w:val="both"/>
      </w:pPr>
      <w:bookmarkStart w:id="84" w:name="Bookmark_para_24"/>
      <w:bookmarkEnd w:id="84"/>
      <w:r>
        <w:rPr>
          <w:rFonts w:ascii="arial" w:eastAsia="arial" w:hAnsi="arial" w:cs="arial"/>
          <w:b w:val="0"/>
          <w:i w:val="0"/>
          <w:strike w:val="0"/>
          <w:noProof w:val="0"/>
          <w:color w:val="000000"/>
          <w:position w:val="0"/>
          <w:sz w:val="20"/>
          <w:u w:val="none"/>
          <w:vertAlign w:val="baseline"/>
        </w:rPr>
        <w:t>TIW Puff also argues that the EVO Defendants do not validly own the PUFF PLUS mark because both assignments in its chain of ownership violate the Lanham Act's anti-trafficking rule. (Mot. at 6-9.) The Court considered and rejected this argument in the related case, and does so again.</w:t>
      </w:r>
    </w:p>
    <w:p>
      <w:pPr>
        <w:keepNext w:val="0"/>
        <w:spacing w:before="240" w:after="0" w:line="260" w:lineRule="atLeast"/>
        <w:ind w:left="0" w:right="0" w:firstLine="0"/>
        <w:jc w:val="both"/>
      </w:pPr>
      <w:bookmarkStart w:id="85" w:name="Bookmark_para_25"/>
      <w:bookmarkEnd w:id="85"/>
      <w:bookmarkStart w:id="86" w:name="Bookmark_I6B17H4B2SF89X0020000400"/>
      <w:bookmarkEnd w:id="86"/>
      <w:bookmarkStart w:id="87" w:name="Bookmark_I6B17H4B2SF89X0040000400"/>
      <w:bookmarkEnd w:id="87"/>
      <w:r>
        <w:rPr>
          <w:rFonts w:ascii="arial" w:eastAsia="arial" w:hAnsi="arial" w:cs="arial"/>
          <w:b w:val="0"/>
          <w:i w:val="0"/>
          <w:strike w:val="0"/>
          <w:noProof w:val="0"/>
          <w:color w:val="000000"/>
          <w:position w:val="0"/>
          <w:sz w:val="20"/>
          <w:u w:val="none"/>
          <w:vertAlign w:val="baseline"/>
        </w:rPr>
        <w:t xml:space="preserve">The Lanham Act generally prohibits the assignment of an application to register a mark prior to the filing of a verified statement of use. </w:t>
      </w:r>
      <w:hyperlink r:id="rId36" w:history="1">
        <w:r>
          <w:rPr>
            <w:rFonts w:ascii="arial" w:eastAsia="arial" w:hAnsi="arial" w:cs="arial"/>
            <w:b w:val="0"/>
            <w:i/>
            <w:strike w:val="0"/>
            <w:noProof w:val="0"/>
            <w:color w:val="0077CC"/>
            <w:position w:val="0"/>
            <w:sz w:val="20"/>
            <w:u w:val="single"/>
            <w:vertAlign w:val="baseline"/>
          </w:rPr>
          <w:t>15 U.S.C. § 1060(a)(1)</w:t>
        </w:r>
      </w:hyperlink>
      <w:r>
        <w:rPr>
          <w:rFonts w:ascii="arial" w:eastAsia="arial" w:hAnsi="arial" w:cs="arial"/>
          <w:b w:val="0"/>
          <w:i w:val="0"/>
          <w:strike w:val="0"/>
          <w:noProof w:val="0"/>
          <w:color w:val="000000"/>
          <w:position w:val="0"/>
          <w:sz w:val="20"/>
          <w:u w:val="none"/>
          <w:vertAlign w:val="baseline"/>
        </w:rPr>
        <w:t xml:space="preserve">. "Thus, an intent-to-use application is not freely assignable." </w:t>
      </w:r>
      <w:bookmarkStart w:id="88" w:name="Bookmark_I6B17H4B2SF89X0010000400"/>
      <w:bookmarkEnd w:id="88"/>
      <w:hyperlink r:id="rId37" w:history="1">
        <w:r>
          <w:rPr>
            <w:rFonts w:ascii="arial" w:eastAsia="arial" w:hAnsi="arial" w:cs="arial"/>
            <w:b w:val="0"/>
            <w:i/>
            <w:strike w:val="0"/>
            <w:noProof w:val="0"/>
            <w:color w:val="0077CC"/>
            <w:position w:val="0"/>
            <w:sz w:val="20"/>
            <w:u w:val="single"/>
            <w:vertAlign w:val="baseline"/>
          </w:rPr>
          <w:t>Sebastian Brown Prods. LLC v. Muzooka Inc.</w:t>
        </w:r>
      </w:hyperlink>
      <w:hyperlink r:id="rId37" w:history="1">
        <w:r>
          <w:rPr>
            <w:rFonts w:ascii="arial" w:eastAsia="arial" w:hAnsi="arial" w:cs="arial"/>
            <w:b w:val="0"/>
            <w:i/>
            <w:strike w:val="0"/>
            <w:noProof w:val="0"/>
            <w:color w:val="0077CC"/>
            <w:position w:val="0"/>
            <w:sz w:val="20"/>
            <w:u w:val="single"/>
            <w:vertAlign w:val="baseline"/>
          </w:rPr>
          <w:t>, No. 15-CV-01720-LHK, 2016 U.S. Dist. LEXIS 33483, 2016 WL 949004, at *8 (N.D. Cal. Mar. 14, 2016)</w:t>
        </w:r>
      </w:hyperlink>
      <w:r>
        <w:rPr>
          <w:rFonts w:ascii="arial" w:eastAsia="arial" w:hAnsi="arial" w:cs="arial"/>
          <w:b w:val="0"/>
          <w:i w:val="0"/>
          <w:strike w:val="0"/>
          <w:noProof w:val="0"/>
          <w:color w:val="000000"/>
          <w:position w:val="0"/>
          <w:sz w:val="20"/>
          <w:u w:val="none"/>
          <w:vertAlign w:val="baseline"/>
        </w:rPr>
        <w:t xml:space="preserve">. "Violating this 'anti-trafficking rule' voids the assignment as well as the underlying application and resulting registration." </w:t>
      </w:r>
      <w:bookmarkStart w:id="89" w:name="Bookmark_I6B17H4B2SF89X0030000400"/>
      <w:bookmarkEnd w:id="89"/>
      <w:hyperlink r:id="rId38" w:history="1">
        <w:r>
          <w:rPr>
            <w:rFonts w:ascii="arial" w:eastAsia="arial" w:hAnsi="arial" w:cs="arial"/>
            <w:b w:val="0"/>
            <w:i/>
            <w:strike w:val="0"/>
            <w:noProof w:val="0"/>
            <w:color w:val="0077CC"/>
            <w:position w:val="0"/>
            <w:sz w:val="20"/>
            <w:u w:val="single"/>
            <w:vertAlign w:val="baseline"/>
          </w:rPr>
          <w:t>Oculu, LLC v. Oculus VR, Inc.</w:t>
        </w:r>
      </w:hyperlink>
      <w:hyperlink r:id="rId38" w:history="1">
        <w:r>
          <w:rPr>
            <w:rFonts w:ascii="arial" w:eastAsia="arial" w:hAnsi="arial" w:cs="arial"/>
            <w:b w:val="0"/>
            <w:i/>
            <w:strike w:val="0"/>
            <w:noProof w:val="0"/>
            <w:color w:val="0077CC"/>
            <w:position w:val="0"/>
            <w:sz w:val="20"/>
            <w:u w:val="single"/>
            <w:vertAlign w:val="baseline"/>
          </w:rPr>
          <w:t>, 2015 U.S. Dist. LEXIS 74666, 2015 WL 3619204, at *7 (C.D. Cal. June 8, 2015)</w:t>
        </w:r>
      </w:hyperlink>
      <w:r>
        <w:rPr>
          <w:rFonts w:ascii="arial" w:eastAsia="arial" w:hAnsi="arial" w:cs="arial"/>
          <w:b w:val="0"/>
          <w:i w:val="0"/>
          <w:strike w:val="0"/>
          <w:noProof w:val="0"/>
          <w:color w:val="000000"/>
          <w:position w:val="0"/>
          <w:sz w:val="20"/>
          <w:u w:val="none"/>
          <w:vertAlign w:val="baseline"/>
        </w:rPr>
        <w:t xml:space="preserve"> (citing </w:t>
      </w:r>
      <w:bookmarkStart w:id="90" w:name="Bookmark_I6B17H4B2SF89X0050000400"/>
      <w:bookmarkEnd w:id="90"/>
      <w:hyperlink r:id="rId39" w:history="1">
        <w:r>
          <w:rPr>
            <w:rFonts w:ascii="arial" w:eastAsia="arial" w:hAnsi="arial" w:cs="arial"/>
            <w:b w:val="0"/>
            <w:i/>
            <w:strike w:val="0"/>
            <w:noProof w:val="0"/>
            <w:color w:val="0077CC"/>
            <w:position w:val="0"/>
            <w:sz w:val="20"/>
            <w:u w:val="single"/>
            <w:vertAlign w:val="baseline"/>
          </w:rPr>
          <w:t>Clorox Co. v. Chemical Bank</w:t>
        </w:r>
      </w:hyperlink>
      <w:hyperlink r:id="rId39" w:history="1">
        <w:r>
          <w:rPr>
            <w:rFonts w:ascii="arial" w:eastAsia="arial" w:hAnsi="arial" w:cs="arial"/>
            <w:b w:val="0"/>
            <w:i/>
            <w:strike w:val="0"/>
            <w:noProof w:val="0"/>
            <w:color w:val="0077CC"/>
            <w:position w:val="0"/>
            <w:sz w:val="20"/>
            <w:u w:val="single"/>
            <w:vertAlign w:val="baseline"/>
          </w:rPr>
          <w:t>, 40 U.S.P.Q.2d 1098, 1104 (TTAB 1996)</w:t>
        </w:r>
      </w:hyperlink>
      <w:r>
        <w:rPr>
          <w:rFonts w:ascii="arial" w:eastAsia="arial" w:hAnsi="arial" w:cs="arial"/>
          <w:b w:val="0"/>
          <w:i w:val="0"/>
          <w:strike w:val="0"/>
          <w:noProof w:val="0"/>
          <w:color w:val="000000"/>
          <w:position w:val="0"/>
          <w:sz w:val="20"/>
          <w:u w:val="none"/>
          <w:vertAlign w:val="baseline"/>
        </w:rPr>
        <w:t xml:space="preserve">. However, even absent a statement of prior use, a mark may be assigned to "a successor to the business of the applicant, or portion thereof, to which the mark pertains, if that business is ongoing and existing." </w:t>
      </w:r>
      <w:hyperlink r:id="rId36" w:history="1">
        <w:r>
          <w:rPr>
            <w:rFonts w:ascii="arial" w:eastAsia="arial" w:hAnsi="arial" w:cs="arial"/>
            <w:b w:val="0"/>
            <w:i/>
            <w:strike w:val="0"/>
            <w:noProof w:val="0"/>
            <w:color w:val="0077CC"/>
            <w:position w:val="0"/>
            <w:sz w:val="20"/>
            <w:u w:val="single"/>
            <w:vertAlign w:val="baseline"/>
          </w:rPr>
          <w:t>15 U.S.C. § 1060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91" w:name="Bookmark_para_26"/>
      <w:bookmarkEnd w:id="91"/>
      <w:bookmarkStart w:id="92" w:name="Bookmark_I6B17H4C28T4MM0030000400"/>
      <w:bookmarkEnd w:id="92"/>
      <w:r>
        <w:rPr>
          <w:rFonts w:ascii="arial" w:eastAsia="arial" w:hAnsi="arial" w:cs="arial"/>
          <w:b w:val="0"/>
          <w:i w:val="0"/>
          <w:strike w:val="0"/>
          <w:noProof w:val="0"/>
          <w:color w:val="000000"/>
          <w:position w:val="0"/>
          <w:sz w:val="20"/>
          <w:u w:val="none"/>
          <w:vertAlign w:val="baseline"/>
        </w:rPr>
        <w:t>Here, as reflected in judicially-noticeable documents filed by TIW Puff, the EVO Defendants received the ITU application for the PUFF PLUS mark through the following chain of assignments:</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on April 23, 2020, Cool Clouds assigned the PUFF PLUS ITU application No. 88729156 to DS Tech (RFJN Ex. 3), and on January 21, 2021, DS Tech assigned the PUFF PLUS ITU application to EVO, which has now registered it as </w:t>
      </w:r>
      <w:bookmarkStart w:id="93" w:name="Bookmark_I6B17H4C28T4MM0020000400"/>
      <w:bookmarkEnd w:id="93"/>
      <w:r>
        <w:rPr>
          <w:rFonts w:ascii="arial" w:eastAsia="arial" w:hAnsi="arial" w:cs="arial"/>
          <w:b w:val="0"/>
          <w:i w:val="0"/>
          <w:strike w:val="0"/>
          <w:noProof w:val="0"/>
          <w:color w:val="000000"/>
          <w:position w:val="0"/>
          <w:sz w:val="20"/>
          <w:u w:val="none"/>
          <w:vertAlign w:val="baseline"/>
        </w:rPr>
        <w:t>Reg. No. 6,907,497. RFJN, Ex. 6; RFJN Ex. 7; FACC ¶ 10. Both conveyances recite that they assign the entire interest and goodwill of the business, plausibly triggering the ongoing and existing business exception to the anti-trafficking rule.</w:t>
      </w:r>
    </w:p>
    <w:p>
      <w:pPr>
        <w:keepNext w:val="0"/>
        <w:spacing w:before="200" w:after="0" w:line="260" w:lineRule="atLeast"/>
        <w:ind w:left="0" w:right="0" w:firstLine="0"/>
        <w:jc w:val="both"/>
      </w:pPr>
      <w:bookmarkStart w:id="94" w:name="Bookmark_para_27"/>
      <w:bookmarkEnd w:id="94"/>
      <w:bookmarkStart w:id="95" w:name="Bookmark_I6B17H4C28T4MM0050000400"/>
      <w:bookmarkEnd w:id="95"/>
      <w:r>
        <w:rPr>
          <w:rFonts w:ascii="arial" w:eastAsia="arial" w:hAnsi="arial" w:cs="arial"/>
          <w:b w:val="0"/>
          <w:i w:val="0"/>
          <w:strike w:val="0"/>
          <w:noProof w:val="0"/>
          <w:color w:val="000000"/>
          <w:position w:val="0"/>
          <w:sz w:val="20"/>
          <w:u w:val="none"/>
          <w:vertAlign w:val="baseline"/>
        </w:rPr>
        <w:t xml:space="preserve">TIW Puff responds that the mere recitation of the transfer of the business in the assignment documents is inadequate, that the FACC has to include allegations of an ongoing and existing business, and that neither Cool Clouds nor DS Tech were an ongoing business because they shut down their operations and their use of the Marks was unlawful. </w:t>
      </w:r>
      <w:bookmarkStart w:id="96" w:name="Bookmark_I6B17H4C2D6MXT0020000400"/>
      <w:bookmarkEnd w:id="96"/>
      <w:r>
        <w:rPr>
          <w:rFonts w:ascii="arial" w:eastAsia="arial" w:hAnsi="arial" w:cs="arial"/>
          <w:b w:val="0"/>
          <w:i w:val="0"/>
          <w:strike w:val="0"/>
          <w:noProof w:val="0"/>
          <w:color w:val="000000"/>
          <w:position w:val="0"/>
          <w:sz w:val="20"/>
          <w:u w:val="none"/>
          <w:vertAlign w:val="baseline"/>
        </w:rPr>
        <w:t xml:space="preserve">But registration of a mark constitutes prima facie evidence of both validity and ownership of the mark. </w:t>
      </w:r>
      <w:hyperlink r:id="rId40" w:history="1">
        <w:r>
          <w:rPr>
            <w:rFonts w:ascii="arial" w:eastAsia="arial" w:hAnsi="arial" w:cs="arial"/>
            <w:b w:val="0"/>
            <w:i/>
            <w:strike w:val="0"/>
            <w:noProof w:val="0"/>
            <w:color w:val="0077CC"/>
            <w:position w:val="0"/>
            <w:sz w:val="20"/>
            <w:u w:val="single"/>
            <w:vertAlign w:val="baseline"/>
          </w:rPr>
          <w:t>15 U.S.C. § 1057</w:t>
        </w:r>
      </w:hyperlink>
      <w:r>
        <w:rPr>
          <w:rFonts w:ascii="arial" w:eastAsia="arial" w:hAnsi="arial" w:cs="arial"/>
          <w:b w:val="0"/>
          <w:i w:val="0"/>
          <w:strike w:val="0"/>
          <w:noProof w:val="0"/>
          <w:color w:val="000000"/>
          <w:position w:val="0"/>
          <w:sz w:val="20"/>
          <w:u w:val="none"/>
          <w:vertAlign w:val="baseline"/>
        </w:rPr>
        <w:t xml:space="preserve">; </w:t>
      </w:r>
      <w:bookmarkStart w:id="97" w:name="Bookmark_I6B17H4C28T4MM0040000400"/>
      <w:bookmarkEnd w:id="97"/>
      <w:hyperlink r:id="rId41" w:history="1">
        <w:r>
          <w:rPr>
            <w:rFonts w:ascii="arial" w:eastAsia="arial" w:hAnsi="arial" w:cs="arial"/>
            <w:b w:val="0"/>
            <w:i/>
            <w:strike w:val="0"/>
            <w:noProof w:val="0"/>
            <w:color w:val="0077CC"/>
            <w:position w:val="0"/>
            <w:sz w:val="20"/>
            <w:u w:val="single"/>
            <w:vertAlign w:val="baseline"/>
          </w:rPr>
          <w:t>Tie Tech, Inc. v. Kinedyne Corp.</w:t>
        </w:r>
      </w:hyperlink>
      <w:hyperlink r:id="rId41" w:history="1">
        <w:r>
          <w:rPr>
            <w:rFonts w:ascii="arial" w:eastAsia="arial" w:hAnsi="arial" w:cs="arial"/>
            <w:b w:val="0"/>
            <w:i/>
            <w:strike w:val="0"/>
            <w:noProof w:val="0"/>
            <w:color w:val="0077CC"/>
            <w:position w:val="0"/>
            <w:sz w:val="20"/>
            <w:u w:val="single"/>
            <w:vertAlign w:val="baseline"/>
          </w:rPr>
          <w:t>, 296 F.3d 778, 783 (9th Cir. 2002)</w:t>
        </w:r>
      </w:hyperlink>
      <w:r>
        <w:rPr>
          <w:rFonts w:ascii="arial" w:eastAsia="arial" w:hAnsi="arial" w:cs="arial"/>
          <w:b w:val="0"/>
          <w:i w:val="0"/>
          <w:strike w:val="0"/>
          <w:noProof w:val="0"/>
          <w:color w:val="000000"/>
          <w:position w:val="0"/>
          <w:sz w:val="20"/>
          <w:u w:val="none"/>
          <w:vertAlign w:val="baseline"/>
        </w:rPr>
        <w:t xml:space="preserve">. A plaintiff holding a registered trademark is relieved of the burden of proof as to their ownership of the mark and the mark's validity. </w:t>
      </w:r>
      <w:bookmarkStart w:id="98" w:name="Bookmark_I6B17H4C2D6MXT0020000400_2"/>
      <w:bookmarkEnd w:id="98"/>
      <w:bookmarkStart w:id="99" w:name="Bookmark_I6B17H4C2D6MXT0010000400"/>
      <w:bookmarkEnd w:id="99"/>
      <w:hyperlink r:id="rId41" w:history="1">
        <w:r>
          <w:rPr>
            <w:rFonts w:ascii="arial" w:eastAsia="arial" w:hAnsi="arial" w:cs="arial"/>
            <w:b w:val="0"/>
            <w:i/>
            <w:strike w:val="0"/>
            <w:noProof w:val="0"/>
            <w:color w:val="0077CC"/>
            <w:position w:val="0"/>
            <w:sz w:val="20"/>
            <w:u w:val="single"/>
            <w:vertAlign w:val="baseline"/>
          </w:rPr>
          <w:t>Tie Tech, Inc.</w:t>
        </w:r>
      </w:hyperlink>
      <w:hyperlink r:id="rId41" w:history="1">
        <w:r>
          <w:rPr>
            <w:rFonts w:ascii="arial" w:eastAsia="arial" w:hAnsi="arial" w:cs="arial"/>
            <w:b w:val="0"/>
            <w:i/>
            <w:strike w:val="0"/>
            <w:noProof w:val="0"/>
            <w:color w:val="0077CC"/>
            <w:position w:val="0"/>
            <w:sz w:val="20"/>
            <w:u w:val="single"/>
            <w:vertAlign w:val="baseline"/>
          </w:rPr>
          <w:t>, 296 F.3d at 783</w:t>
        </w:r>
      </w:hyperlink>
      <w:r>
        <w:rPr>
          <w:rFonts w:ascii="arial" w:eastAsia="arial" w:hAnsi="arial" w:cs="arial"/>
          <w:b w:val="0"/>
          <w:i w:val="0"/>
          <w:strike w:val="0"/>
          <w:noProof w:val="0"/>
          <w:color w:val="000000"/>
          <w:position w:val="0"/>
          <w:sz w:val="20"/>
          <w:u w:val="none"/>
          <w:vertAlign w:val="baseline"/>
        </w:rPr>
        <w:t>. Because the anti-trafficking rule goes to the issue of validity and ownership, it is subject to the same presumption. As such, the presence of allegations and evidence</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of the PUFF PLUS mark's registration satisfies the EVO Defendants' burden to plead validity at this stage and they need not plead additional facts establishing that their predecessors were ongoing and existing business with goodwill to transfer. And TIW Puff's argument that neither Cool Clouds nor DS Tech were an ongoing business and/or that their use of the mark was unlawful raises issues that cannot be resolved on a motion to dismiss.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V. CONCLUSION</w:t>
      </w:r>
    </w:p>
    <w:p>
      <w:pPr>
        <w:keepNext w:val="0"/>
        <w:spacing w:before="200" w:after="0" w:line="260" w:lineRule="atLeast"/>
        <w:ind w:left="0" w:right="0" w:firstLine="0"/>
        <w:jc w:val="both"/>
      </w:pPr>
      <w:bookmarkStart w:id="100" w:name="Bookmark_para_28"/>
      <w:bookmarkEnd w:id="100"/>
      <w:r>
        <w:rPr>
          <w:rFonts w:ascii="arial" w:eastAsia="arial" w:hAnsi="arial" w:cs="arial"/>
          <w:b w:val="0"/>
          <w:i w:val="0"/>
          <w:strike w:val="0"/>
          <w:noProof w:val="0"/>
          <w:color w:val="000000"/>
          <w:position w:val="0"/>
          <w:sz w:val="20"/>
          <w:u w:val="none"/>
          <w:vertAlign w:val="baseline"/>
        </w:rPr>
        <w:t xml:space="preserve">For the foregoing reasons, the Motion to Dismiss First Amended Counterclaim is </w:t>
      </w:r>
      <w:r>
        <w:rPr>
          <w:rFonts w:ascii="arial" w:eastAsia="arial" w:hAnsi="arial" w:cs="arial"/>
          <w:b/>
          <w:i w:val="0"/>
          <w:strike w:val="0"/>
          <w:noProof w:val="0"/>
          <w:color w:val="000000"/>
          <w:position w:val="0"/>
          <w:sz w:val="20"/>
          <w:u w:val="single"/>
          <w:vertAlign w:val="baseline"/>
        </w:rPr>
        <w:t>DENIED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01" w:name="Bookmark_para_29"/>
      <w:bookmarkEnd w:id="101"/>
      <w:r>
        <w:rPr>
          <w:rFonts w:ascii="arial" w:eastAsia="arial" w:hAnsi="arial" w:cs="arial"/>
          <w:b/>
          <w:i w:val="0"/>
          <w:strike w:val="0"/>
          <w:noProof w:val="0"/>
          <w:color w:val="000000"/>
          <w:position w:val="0"/>
          <w:sz w:val="20"/>
          <w:u w:val="none"/>
          <w:vertAlign w:val="baseline"/>
        </w:rPr>
        <w:t>IT IS SO ORDERED</w:t>
      </w:r>
      <w:r>
        <w:rPr>
          <w:rFonts w:ascii="arial" w:eastAsia="arial" w:hAnsi="arial" w:cs="arial"/>
          <w:b w:val="0"/>
          <w:i w:val="0"/>
          <w:strike w:val="0"/>
          <w:noProof w:val="0"/>
          <w:color w:val="000000"/>
          <w:position w:val="0"/>
          <w:sz w:val="20"/>
          <w:u w:val="none"/>
          <w:vertAlign w:val="baseline"/>
        </w:rPr>
        <w:t>.</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TIW Holdings LLC v. EVO Brands LLC, 2023 U.S. Dist. LEXIS 229805</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statutes-legislation&amp;id=urn:contentItem:8S9D-W4W2-8T6X-716T-00000-00&amp;context=1519360" TargetMode="External" /><Relationship Id="rId11" Type="http://schemas.openxmlformats.org/officeDocument/2006/relationships/hyperlink" Target="https://advance.lexis.com/api/document?collection=statutes-legislation&amp;id=urn:contentItem:8S9D-W4W2-8T6X-7177-00000-00&amp;context=1519360" TargetMode="External" /><Relationship Id="rId12" Type="http://schemas.openxmlformats.org/officeDocument/2006/relationships/hyperlink" Target="https://advance.lexis.com/api/document?collection=statutes-legislation&amp;id=urn:contentItem:5JFB-2YX1-DYB7-W1SB-00000-00&amp;context=1519360" TargetMode="External" /><Relationship Id="rId13" Type="http://schemas.openxmlformats.org/officeDocument/2006/relationships/hyperlink" Target="https://advance.lexis.com/api/document?collection=statutes-legislation&amp;id=urn:contentItem:8S9D-W4W2-8T6X-7170-00000-00&amp;context=1519360" TargetMode="External" /><Relationship Id="rId14" Type="http://schemas.openxmlformats.org/officeDocument/2006/relationships/hyperlink" Target="https://advance.lexis.com/api/document?collection=cases&amp;id=urn:contentItem:67YD-FC51-FJDY-X0YS-00000-00&amp;context=1519360" TargetMode="External" /><Relationship Id="rId15" Type="http://schemas.openxmlformats.org/officeDocument/2006/relationships/hyperlink" Target="https://advance.lexis.com/api/document?collection=cases&amp;id=urn:contentItem:6924-PJ01-JS0R-2099-00000-00&amp;context=1519360" TargetMode="External" /><Relationship Id="rId16" Type="http://schemas.openxmlformats.org/officeDocument/2006/relationships/hyperlink" Target="https://advance.lexis.com/api/document?collection=statutes-legislation&amp;id=urn:contentItem:5GYC-1WP1-6N19-F0YK-00000-00&amp;context=1519360" TargetMode="External" /><Relationship Id="rId17" Type="http://schemas.openxmlformats.org/officeDocument/2006/relationships/hyperlink" Target="https://advance.lexis.com/api/document?collection=cases&amp;id=urn:contentItem:4NSN-8840-004C-002M-00000-00&amp;context=1519360" TargetMode="External" /><Relationship Id="rId18" Type="http://schemas.openxmlformats.org/officeDocument/2006/relationships/hyperlink" Target="https://advance.lexis.com/api/document?collection=cases&amp;id=urn:contentItem:4W9Y-4KS0-TXFX-1325-00000-00&amp;context=1519360" TargetMode="External" /><Relationship Id="rId19" Type="http://schemas.openxmlformats.org/officeDocument/2006/relationships/hyperlink" Target="https://advance.lexis.com/api/document?collection=cases&amp;id=urn:contentItem:3S4W-YJ40-001B-K35G-00000-00&amp;context=1519360" TargetMode="External" /><Relationship Id="rId2" Type="http://schemas.openxmlformats.org/officeDocument/2006/relationships/webSettings" Target="webSettings.xml" /><Relationship Id="rId20" Type="http://schemas.openxmlformats.org/officeDocument/2006/relationships/hyperlink" Target="https://advance.lexis.com/api/document?collection=cases&amp;id=urn:contentItem:4NWM-S330-004B-Y00V-00000-00&amp;context=1519360" TargetMode="External" /><Relationship Id="rId21" Type="http://schemas.openxmlformats.org/officeDocument/2006/relationships/hyperlink" Target="https://advance.lexis.com/api/document?collection=cases&amp;id=urn:contentItem:5PC0-TD51-F04K-V0WY-00000-00&amp;context=1519360" TargetMode="External" /><Relationship Id="rId22" Type="http://schemas.openxmlformats.org/officeDocument/2006/relationships/hyperlink" Target="https://advance.lexis.com/api/document?collection=cases&amp;id=urn:contentItem:3S4X-20K0-006F-M2C8-00000-00&amp;context=1519360" TargetMode="External" /><Relationship Id="rId23" Type="http://schemas.openxmlformats.org/officeDocument/2006/relationships/hyperlink" Target="https://advance.lexis.com/api/document?collection=cases&amp;id=urn:contentItem:4302-JVD0-0038-X21S-00000-00&amp;context=1519360" TargetMode="External" /><Relationship Id="rId24" Type="http://schemas.openxmlformats.org/officeDocument/2006/relationships/hyperlink" Target="https://advance.lexis.com/api/document?collection=cases&amp;id=urn:contentItem:3S4X-1HN0-001B-K124-00000-00&amp;context=1519360" TargetMode="External" /><Relationship Id="rId25" Type="http://schemas.openxmlformats.org/officeDocument/2006/relationships/hyperlink" Target="https://advance.lexis.com/api/document?collection=statutes-legislation&amp;id=urn:contentItem:5GYC-2991-FG36-11WV-00000-00&amp;context=1519360" TargetMode="External" /><Relationship Id="rId26" Type="http://schemas.openxmlformats.org/officeDocument/2006/relationships/hyperlink" Target="https://advance.lexis.com/api/document?collection=cases&amp;id=urn:contentItem:5T1D-N7H1-JKHB-61KV-00000-00&amp;context=1519360" TargetMode="External" /><Relationship Id="rId27" Type="http://schemas.openxmlformats.org/officeDocument/2006/relationships/hyperlink" Target="https://advance.lexis.com/api/document?collection=cases&amp;id=urn:contentItem:586F-C221-F04K-V33R-00000-00&amp;context=1519360" TargetMode="External" /><Relationship Id="rId28" Type="http://schemas.openxmlformats.org/officeDocument/2006/relationships/hyperlink" Target="https://advance.lexis.com/api/document?collection=cases&amp;id=urn:contentItem:3YHM-XN60-0038-X0F2-00000-00&amp;context=1519360" TargetMode="External" /><Relationship Id="rId29" Type="http://schemas.openxmlformats.org/officeDocument/2006/relationships/hyperlink" Target="https://advance.lexis.com/api/document?collection=statutes-legislation&amp;id=urn:contentItem:61XJ-43W3-GXJ9-33DV-00000-00&amp;context=1519360" TargetMode="External" /><Relationship Id="rId3" Type="http://schemas.openxmlformats.org/officeDocument/2006/relationships/fontTable" Target="fontTable.xml" /><Relationship Id="rId30" Type="http://schemas.openxmlformats.org/officeDocument/2006/relationships/hyperlink" Target="https://advance.lexis.com/api/document?collection=cases&amp;id=urn:contentItem:3W9K-FM00-0038-X06W-00000-00&amp;context=1519360" TargetMode="External" /><Relationship Id="rId31" Type="http://schemas.openxmlformats.org/officeDocument/2006/relationships/hyperlink" Target="https://advance.lexis.com/api/document?collection=cases&amp;id=urn:contentItem:3S4X-0T10-006F-M0KD-00000-00&amp;context=1519360" TargetMode="External" /><Relationship Id="rId32" Type="http://schemas.openxmlformats.org/officeDocument/2006/relationships/hyperlink" Target="https://advance.lexis.com/api/document?collection=cases&amp;id=urn:contentItem:3S4X-3Y60-003B-P4GH-00000-00&amp;context=1519360" TargetMode="External" /><Relationship Id="rId33" Type="http://schemas.openxmlformats.org/officeDocument/2006/relationships/hyperlink" Target="https://advance.lexis.com/api/document?collection=cases&amp;id=urn:contentItem:4F1K-1TX0-0038-X1SP-00000-00&amp;context=1519360" TargetMode="External" /><Relationship Id="rId34" Type="http://schemas.openxmlformats.org/officeDocument/2006/relationships/hyperlink" Target="https://advance.lexis.com/api/document?collection=statutes-legislation&amp;id=urn:contentItem:8SDD-0C82-8T6X-73B5-00000-00&amp;context=1519360" TargetMode="External" /><Relationship Id="rId35" Type="http://schemas.openxmlformats.org/officeDocument/2006/relationships/hyperlink" Target="https://advance.lexis.com/api/document?collection=statutes-legislation&amp;id=urn:contentItem:5Y1J-8G33-CH1B-T51X-00000-00&amp;context=1519360" TargetMode="External" /><Relationship Id="rId36" Type="http://schemas.openxmlformats.org/officeDocument/2006/relationships/hyperlink" Target="https://advance.lexis.com/api/document?collection=statutes-legislation&amp;id=urn:contentItem:8S9D-W4W2-8T6X-715Y-00000-00&amp;context=1519360" TargetMode="External" /><Relationship Id="rId37" Type="http://schemas.openxmlformats.org/officeDocument/2006/relationships/hyperlink" Target="https://advance.lexis.com/api/document?collection=cases&amp;id=urn:contentItem:5J9P-19S1-F04C-T34X-00000-00&amp;context=1519360" TargetMode="External" /><Relationship Id="rId38" Type="http://schemas.openxmlformats.org/officeDocument/2006/relationships/hyperlink" Target="https://advance.lexis.com/api/document?collection=cases&amp;id=urn:contentItem:5G60-BJ71-F04C-T0CN-00000-00&amp;context=1519360" TargetMode="External" /><Relationship Id="rId39" Type="http://schemas.openxmlformats.org/officeDocument/2006/relationships/hyperlink" Target="https://advance.lexis.com/api/document?collection=administrative-materials&amp;id=urn:contentItem:3T1P-0VF0-0017-K01Y-00000-00&amp;context=1519360" TargetMode="External" /><Relationship Id="rId4" Type="http://schemas.openxmlformats.org/officeDocument/2006/relationships/header" Target="header1.xml" /><Relationship Id="rId40" Type="http://schemas.openxmlformats.org/officeDocument/2006/relationships/hyperlink" Target="https://advance.lexis.com/api/document?collection=statutes-legislation&amp;id=urn:contentItem:8S9D-W4W2-8T6X-715V-00000-00&amp;context=1519360" TargetMode="External" /><Relationship Id="rId41" Type="http://schemas.openxmlformats.org/officeDocument/2006/relationships/hyperlink" Target="https://advance.lexis.com/api/document?collection=cases&amp;id=urn:contentItem:4686-VXT0-0038-X3NM-00000-00&amp;context=1519360" TargetMode="External" /><Relationship Id="rId42" Type="http://schemas.openxmlformats.org/officeDocument/2006/relationships/theme" Target="theme/theme1.xml" /><Relationship Id="rId43" Type="http://schemas.openxmlformats.org/officeDocument/2006/relationships/styles" Target="styles.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cases&amp;id=urn:contentItem:69YY-30W1-JBT7-X3DR-00000-00&amp;context=1519360" TargetMode="External" /><Relationship Id="rId9" Type="http://schemas.openxmlformats.org/officeDocument/2006/relationships/hyperlink" Target="https://advance.lexis.com/api/document?collection=cases&amp;id=urn:contentItem:69TJ-TW71-JGHR-M4K2-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TIW Holdings LLC v. EVO Brands LLC, 2023 U.S. Dist. LEXIS 229805</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vt:lpwstr>
  </property>
  <property fmtid="{D5CDD505-2E9C-101B-9397-08002B2CF9AE}" pid="3" name="LADocCount">
    <vt:lpwstr>1</vt:lpwstr>
  </property>
  <property fmtid="{D5CDD505-2E9C-101B-9397-08002B2CF9AE}" pid="4" name="LADocumentID:8">
    <vt:lpwstr>Doc::urn:hlct:5|contextualFeaturePermID::1519360</vt:lpwstr>
  </property>
  <property fmtid="{D5CDD505-2E9C-101B-9397-08002B2CF9AE}" pid="5" name="UserPermID">
    <vt:lpwstr>urn:user:PA186186283</vt:lpwstr>
  </property>
</Properties>
</file>