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Young Bok Song v. Parker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22-5199</w:t>
      </w:r>
    </w:p>
    <w:p>
      <w:pPr>
        <w:keepNext w:val="0"/>
        <w:spacing w:after="0" w:line="240" w:lineRule="atLeast"/>
        <w:ind w:right="0"/>
        <w:jc w:val="both"/>
      </w:pPr>
      <w:bookmarkStart w:id="0" w:name="Bookmark_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5564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7103180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YOUNG BOK SONG, Plaintiff-Appellant, v. TDOC COMMISSIONER TONY PARKER, et al., Defendants-Appellees.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CONSULT </w:t>
      </w:r>
      <w:r>
        <w:rPr>
          <w:rFonts w:ascii="arial" w:eastAsia="arial" w:hAnsi="arial" w:cs="arial"/>
          <w:b w:val="0"/>
          <w:i/>
          <w:strike w:val="0"/>
          <w:noProof w:val="0"/>
          <w:color w:val="000000"/>
          <w:position w:val="0"/>
          <w:sz w:val="20"/>
          <w:u w:val="none"/>
          <w:vertAlign w:val="baseline"/>
        </w:rPr>
        <w:t>6TH CIR. R. 32.1</w:t>
      </w:r>
      <w:r>
        <w:rPr>
          <w:rFonts w:ascii="arial" w:eastAsia="arial" w:hAnsi="arial" w:cs="arial"/>
          <w:b w:val="0"/>
          <w:i w:val="0"/>
          <w:strike w:val="0"/>
          <w:noProof w:val="0"/>
          <w:color w:val="000000"/>
          <w:position w:val="0"/>
          <w:sz w:val="20"/>
          <w:u w:val="none"/>
          <w:vertAlign w:val="baseline"/>
        </w:rPr>
        <w:t xml:space="preserve"> FOR CITATION OF UNPUBLISHED OPINIONS AND DECISIONS.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dismissed by, Motion denied by </w:t>
      </w:r>
      <w:hyperlink r:id="rId9" w:history="1">
        <w:r>
          <w:rPr>
            <w:rFonts w:ascii="arial" w:eastAsia="arial" w:hAnsi="arial" w:cs="arial"/>
            <w:b w:val="0"/>
            <w:i/>
            <w:strike w:val="0"/>
            <w:noProof w:val="0"/>
            <w:color w:val="0077CC"/>
            <w:position w:val="0"/>
            <w:sz w:val="20"/>
            <w:u w:val="single"/>
            <w:vertAlign w:val="baseline"/>
          </w:rPr>
          <w:t>Young Bok Song v. Parker, 144 S. Ct. 338, 217 L. Ed. 2d 176, 2023 U.S. LEXIS 4172, 2023 WL 6797790 (U.S., Oct. 16,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MIDDLE DISTRICT OF TENNESSEE.</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Young Bok Song v. Parker, 2022 U.S. Dist. LEXIS 29587, 2022 WL 509033 (M.D. Tenn., Feb. 18, 2022)</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stimulus, inmate, checks, intercepted, grievances, district court, tax fraud, incarcerated, solicitation, eligible, protected conduct, tax return, mail, personal property, allegations, retaliation, asserting, courts</w:t>
      </w:r>
    </w:p>
    <w:p>
      <w:pPr>
        <w:keepNext w:val="0"/>
        <w:spacing w:before="240" w:after="0" w:line="260" w:lineRule="atLeast"/>
        <w:ind w:left="0" w:right="0" w:firstLine="0"/>
        <w:jc w:val="left"/>
      </w:pPr>
      <w:bookmarkStart w:id="8" w:name="Counsel"/>
      <w:bookmarkEnd w:id="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YOUNG BOK SONG, Plaintiff - Appellant, Pro se, Henning, TN.</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SUTTON, Chief Judge; NORRIS and McKEAGUE, Circuit Judges.</w:t>
      </w:r>
    </w:p>
    <w:p>
      <w:pPr>
        <w:keepNext/>
        <w:spacing w:before="240" w:after="0" w:line="340" w:lineRule="atLeast"/>
        <w:ind w:left="0" w:right="0" w:firstLine="0"/>
        <w:jc w:val="left"/>
      </w:pPr>
      <w:bookmarkStart w:id="10" w:name="Opinion"/>
      <w:bookmarkEnd w:id="1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Young Bok Song, a Tennessee prisoner proceeding pro se, appeals the district court's judgment dismissing his civil rights action filed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for failure to state a claim. This case has been referred to a panel of the court that, upon examination, unanimously agrees that oral argument is not needed.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App. P. 34(a)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Song, then confined at the Trousdale Turner Correctional Center (TTCC), filed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complaint against the commissioner and assistant commissioner of prisons of the Tennessee Department of Correction (TDOC), the chief executive officer of CoreCivic, and several officials at TTCC. Song generally alleged that the defendants engaged in a massive tax fraud scheme by soliciting prisoners to file tax returns to obtain stimulus checks under the </w:t>
      </w:r>
      <w:r>
        <w:rPr>
          <w:rFonts w:ascii="arial" w:eastAsia="arial" w:hAnsi="arial" w:cs="arial"/>
          <w:b w:val="0"/>
          <w:i/>
          <w:strike w:val="0"/>
          <w:noProof w:val="0"/>
          <w:color w:val="000000"/>
          <w:position w:val="0"/>
          <w:sz w:val="20"/>
          <w:u w:val="none"/>
          <w:vertAlign w:val="baseline"/>
        </w:rPr>
        <w:t>Coronavirus Aid, Relief, and Economic Security Act of 2020 (CARES Act), Pub. L. No. 116-136, 134 Stat. 281</w:t>
      </w:r>
      <w:r>
        <w:rPr>
          <w:rFonts w:ascii="arial" w:eastAsia="arial" w:hAnsi="arial" w:cs="arial"/>
          <w:b w:val="0"/>
          <w:i w:val="0"/>
          <w:strike w:val="0"/>
          <w:noProof w:val="0"/>
          <w:color w:val="000000"/>
          <w:position w:val="0"/>
          <w:sz w:val="20"/>
          <w:u w:val="none"/>
          <w:vertAlign w:val="baseline"/>
        </w:rPr>
        <w:t>, when most prisoners were not eligible for the stimulus checks. In his amended complaint, Song asserted the following claims: (A) the defendants solicited prisoners to engage in tax fraud; (B) the defendants violated his constitutional rights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access to the courts and legal counsel; (C) the defendants charged him with a disciplinary offense in retaliation for his grievances; (D) the defendants intercepted his and other inmates' stimulus checks; (E) the defendants intercepted his legal mail; (F) the defendants continued to solicit prisoners to engage in tax fraud and to intercept their stimulus checks, transferred him in retaliation for his grievances, and withheld his personal property following his transfer; and (G) the TDOC covered up CoreCivic's "[d]eeply [r]ooted [c]orruption." Upon initial review pursuant to </w:t>
      </w:r>
      <w:hyperlink r:id="rId12"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the district court dismissed Song's amended complaint for failure to state a claim upon which relief may be granted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This timely appeal followed.</w:t>
      </w:r>
    </w:p>
    <w:p>
      <w:pPr>
        <w:keepNext w:val="0"/>
        <w:spacing w:before="24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We review de novo the district court's dismissal of a complaint for failure to state a claim under </w:t>
      </w:r>
      <w:hyperlink r:id="rId12"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14" w:history="1">
        <w:r>
          <w:rPr>
            <w:rFonts w:ascii="arial" w:eastAsia="arial" w:hAnsi="arial" w:cs="arial"/>
            <w:b w:val="0"/>
            <w:i/>
            <w:strike w:val="0"/>
            <w:noProof w:val="0"/>
            <w:color w:val="0077CC"/>
            <w:position w:val="0"/>
            <w:sz w:val="20"/>
            <w:u w:val="single"/>
            <w:vertAlign w:val="baseline"/>
          </w:rPr>
          <w:t>Davis v. Prison Health Servs.</w:t>
        </w:r>
      </w:hyperlink>
      <w:hyperlink r:id="rId14" w:history="1">
        <w:r>
          <w:rPr>
            <w:rFonts w:ascii="arial" w:eastAsia="arial" w:hAnsi="arial" w:cs="arial"/>
            <w:b w:val="0"/>
            <w:i/>
            <w:strike w:val="0"/>
            <w:noProof w:val="0"/>
            <w:color w:val="0077CC"/>
            <w:position w:val="0"/>
            <w:sz w:val="20"/>
            <w:u w:val="single"/>
            <w:vertAlign w:val="baseline"/>
          </w:rPr>
          <w:t>, 679 F.3d 433, 437 (6th Cir. 2012)</w:t>
        </w:r>
      </w:hyperlink>
      <w:r>
        <w:rPr>
          <w:rFonts w:ascii="arial" w:eastAsia="arial" w:hAnsi="arial" w:cs="arial"/>
          <w:b w:val="0"/>
          <w:i w:val="0"/>
          <w:strike w:val="0"/>
          <w:noProof w:val="0"/>
          <w:color w:val="000000"/>
          <w:position w:val="0"/>
          <w:sz w:val="20"/>
          <w:u w:val="none"/>
          <w:vertAlign w:val="baseline"/>
        </w:rPr>
        <w:t xml:space="preserve">. To avoid dismissal, "a complaint must contain sufficient factual matter, accepted as true, to state a claim to relief that is plausible on its face." </w:t>
      </w:r>
      <w:hyperlink r:id="rId15" w:history="1">
        <w:r>
          <w:rPr>
            <w:rFonts w:ascii="arial" w:eastAsia="arial" w:hAnsi="arial" w:cs="arial"/>
            <w:b w:val="0"/>
            <w:i/>
            <w:strike w:val="0"/>
            <w:noProof w:val="0"/>
            <w:color w:val="0077CC"/>
            <w:position w:val="0"/>
            <w:sz w:val="20"/>
            <w:u w:val="single"/>
            <w:vertAlign w:val="baseline"/>
          </w:rPr>
          <w:t>Hill v. Lappin</w:t>
        </w:r>
      </w:hyperlink>
      <w:hyperlink r:id="rId15" w:history="1">
        <w:r>
          <w:rPr>
            <w:rFonts w:ascii="arial" w:eastAsia="arial" w:hAnsi="arial" w:cs="arial"/>
            <w:b w:val="0"/>
            <w:i/>
            <w:strike w:val="0"/>
            <w:noProof w:val="0"/>
            <w:color w:val="0077CC"/>
            <w:position w:val="0"/>
            <w:sz w:val="20"/>
            <w:u w:val="single"/>
            <w:vertAlign w:val="baseline"/>
          </w:rPr>
          <w:t>, 630 F.3d 468, 471 (6th Cir. 2010)</w:t>
        </w:r>
      </w:hyperlink>
      <w:r>
        <w:rPr>
          <w:rFonts w:ascii="arial" w:eastAsia="arial" w:hAnsi="arial" w:cs="arial"/>
          <w:b w:val="0"/>
          <w:i w:val="0"/>
          <w:strike w:val="0"/>
          <w:noProof w:val="0"/>
          <w:color w:val="000000"/>
          <w:position w:val="0"/>
          <w:sz w:val="20"/>
          <w:u w:val="none"/>
          <w:vertAlign w:val="baseline"/>
        </w:rPr>
        <w:t xml:space="preserve"> (quoting </w:t>
      </w:r>
      <w:hyperlink r:id="rId16" w:history="1">
        <w:r>
          <w:rPr>
            <w:rFonts w:ascii="arial" w:eastAsia="arial" w:hAnsi="arial" w:cs="arial"/>
            <w:b w:val="0"/>
            <w:i/>
            <w:strike w:val="0"/>
            <w:noProof w:val="0"/>
            <w:color w:val="0077CC"/>
            <w:position w:val="0"/>
            <w:sz w:val="20"/>
            <w:u w:val="single"/>
            <w:vertAlign w:val="baseline"/>
          </w:rPr>
          <w:t>Ashcroft v. Iqbal</w:t>
        </w:r>
      </w:hyperlink>
      <w:hyperlink r:id="rId16"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"A claim has facial plausibility when the plaintiff pleads factual content that allows the court to draw the reasonable inference that the defendant is liable for the misconduct alleged."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Iqbal</w:t>
        </w:r>
      </w:hyperlink>
      <w:hyperlink r:id="rId16"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Standing</w:t>
      </w:r>
    </w:p>
    <w:p>
      <w:pPr>
        <w:keepNext w:val="0"/>
        <w:spacing w:before="24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"Article III of the Constitution gives federal courts subject matter jurisdiction over actual cases or controversies, neither of which exists unless a plaintiff establishes his standing to sue." </w:t>
      </w:r>
      <w:hyperlink r:id="rId17" w:history="1">
        <w:r>
          <w:rPr>
            <w:rFonts w:ascii="arial" w:eastAsia="arial" w:hAnsi="arial" w:cs="arial"/>
            <w:b w:val="0"/>
            <w:i/>
            <w:strike w:val="0"/>
            <w:noProof w:val="0"/>
            <w:color w:val="0077CC"/>
            <w:position w:val="0"/>
            <w:sz w:val="20"/>
            <w:u w:val="single"/>
            <w:vertAlign w:val="baseline"/>
          </w:rPr>
          <w:t>Murray v. U.S. Dep't of Treasury</w:t>
        </w:r>
      </w:hyperlink>
      <w:hyperlink r:id="rId17" w:history="1">
        <w:r>
          <w:rPr>
            <w:rFonts w:ascii="arial" w:eastAsia="arial" w:hAnsi="arial" w:cs="arial"/>
            <w:b w:val="0"/>
            <w:i/>
            <w:strike w:val="0"/>
            <w:noProof w:val="0"/>
            <w:color w:val="0077CC"/>
            <w:position w:val="0"/>
            <w:sz w:val="20"/>
            <w:u w:val="single"/>
            <w:vertAlign w:val="baseline"/>
          </w:rPr>
          <w:t>, 681 F.3d 744, 748 (6th Cir. 2012)</w:t>
        </w:r>
      </w:hyperlink>
      <w:r>
        <w:rPr>
          <w:rFonts w:ascii="arial" w:eastAsia="arial" w:hAnsi="arial" w:cs="arial"/>
          <w:b w:val="0"/>
          <w:i w:val="0"/>
          <w:strike w:val="0"/>
          <w:noProof w:val="0"/>
          <w:color w:val="000000"/>
          <w:position w:val="0"/>
          <w:sz w:val="20"/>
          <w:u w:val="none"/>
          <w:vertAlign w:val="baseline"/>
        </w:rPr>
        <w:t xml:space="preserve">. To establish standing, "[t]he plaintiff must have (1) suffered an injury in fact, (2) that is fairly traceable to the challenged conduct of the defendant, and (3) that is likely to be redressed by a favorable judicial decision." </w:t>
      </w:r>
      <w:hyperlink r:id="rId18" w:history="1">
        <w:r>
          <w:rPr>
            <w:rFonts w:ascii="arial" w:eastAsia="arial" w:hAnsi="arial" w:cs="arial"/>
            <w:b w:val="0"/>
            <w:i/>
            <w:strike w:val="0"/>
            <w:noProof w:val="0"/>
            <w:color w:val="0077CC"/>
            <w:position w:val="0"/>
            <w:sz w:val="20"/>
            <w:u w:val="single"/>
            <w:vertAlign w:val="baseline"/>
          </w:rPr>
          <w:t>Spokeo, Inc. v. Robins</w:t>
        </w:r>
      </w:hyperlink>
      <w:hyperlink r:id="rId18" w:history="1">
        <w:r>
          <w:rPr>
            <w:rFonts w:ascii="arial" w:eastAsia="arial" w:hAnsi="arial" w:cs="arial"/>
            <w:b w:val="0"/>
            <w:i/>
            <w:strike w:val="0"/>
            <w:noProof w:val="0"/>
            <w:color w:val="0077CC"/>
            <w:position w:val="0"/>
            <w:sz w:val="20"/>
            <w:u w:val="single"/>
            <w:vertAlign w:val="baseline"/>
          </w:rPr>
          <w:t>, 578 U.S. 330, 338, 136 S. Ct. 1540, 194 L. Ed. 2d 635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To the extent that Song attempted to raise claims on behalf of other prisoners, he lacked standing to do so. A prisoner "is limited to asserting alleged violations of his own constitutional rights and, absent a request for class certification, lacks standing to assert the constitutional rights of other prisoners." </w:t>
      </w:r>
      <w:hyperlink r:id="rId19" w:history="1">
        <w:r>
          <w:rPr>
            <w:rFonts w:ascii="arial" w:eastAsia="arial" w:hAnsi="arial" w:cs="arial"/>
            <w:b w:val="0"/>
            <w:i/>
            <w:strike w:val="0"/>
            <w:noProof w:val="0"/>
            <w:color w:val="0077CC"/>
            <w:position w:val="0"/>
            <w:sz w:val="20"/>
            <w:u w:val="single"/>
            <w:vertAlign w:val="baseline"/>
          </w:rPr>
          <w:t>Newsom v. Norris</w:t>
        </w:r>
      </w:hyperlink>
      <w:hyperlink r:id="rId19" w:history="1">
        <w:r>
          <w:rPr>
            <w:rFonts w:ascii="arial" w:eastAsia="arial" w:hAnsi="arial" w:cs="arial"/>
            <w:b w:val="0"/>
            <w:i/>
            <w:strike w:val="0"/>
            <w:noProof w:val="0"/>
            <w:color w:val="0077CC"/>
            <w:position w:val="0"/>
            <w:sz w:val="20"/>
            <w:u w:val="single"/>
            <w:vertAlign w:val="baseline"/>
          </w:rPr>
          <w:t>, 888 F.2d 371, 381 (6th Cir.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Song argues on appeal that he has standing to raise claims on behalf of the United States government. But Song's desire to seek "vindication of the rule of law" is insufficient to establish standing</w:t>
      </w:r>
      <w:r>
        <w:rPr>
          <w:rFonts w:ascii="arial" w:eastAsia="arial" w:hAnsi="arial" w:cs="arial"/>
          <w:b w:val="0"/>
          <w:i/>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Steel Co. v. Citizens for a Better Env't</w:t>
        </w:r>
      </w:hyperlink>
      <w:hyperlink r:id="rId20" w:history="1">
        <w:r>
          <w:rPr>
            <w:rFonts w:ascii="arial" w:eastAsia="arial" w:hAnsi="arial" w:cs="arial"/>
            <w:b w:val="0"/>
            <w:i/>
            <w:strike w:val="0"/>
            <w:noProof w:val="0"/>
            <w:color w:val="0077CC"/>
            <w:position w:val="0"/>
            <w:sz w:val="20"/>
            <w:u w:val="single"/>
            <w:vertAlign w:val="baseline"/>
          </w:rPr>
          <w:t>, 523 U.S. 83, 106, 118 S. Ct. 1003, 140 L. Ed. 2d 210 (1998)</w:t>
        </w:r>
      </w:hyperlink>
      <w:r>
        <w:rPr>
          <w:rFonts w:ascii="arial" w:eastAsia="arial" w:hAnsi="arial" w:cs="arial"/>
          <w:b w:val="0"/>
          <w:i w:val="0"/>
          <w:strike w:val="0"/>
          <w:noProof w:val="0"/>
          <w:color w:val="000000"/>
          <w:position w:val="0"/>
          <w:sz w:val="20"/>
          <w:u w:val="none"/>
          <w:vertAlign w:val="baseline"/>
        </w:rPr>
        <w:t>. Although Song "may derive great comfort and joy from the fact that the United States Treasury is not cheated, that a wrongdoer gets his just deserts, or that the Nation's laws are faithfully enforced, that psychic satisfaction is not an acceptable Article III remedy because it does not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redress a cognizable Article III injury." </w:t>
      </w:r>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107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Claims A and F: Solicitation of Tax Fraud</w:t>
      </w:r>
    </w:p>
    <w:p>
      <w:pPr>
        <w:keepNext w:val="0"/>
        <w:spacing w:before="24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Song alleged that the defendants solicited prisoners to commit tax fraud in October 2020 and continued to do so in 2021 by advising prisoners that they were eligible for stimulus checks under the CARES Act and providing them with tax return forms and instructions for filing those forms in order to register for stimulus checks. As the district court pointed out, Song's claims are based on a misreading of the rulings in </w:t>
      </w:r>
      <w:r>
        <w:rPr>
          <w:rFonts w:ascii="arial" w:eastAsia="arial" w:hAnsi="arial" w:cs="arial"/>
          <w:b w:val="0"/>
          <w:i/>
          <w:strike w:val="0"/>
          <w:noProof w:val="0"/>
          <w:color w:val="000000"/>
          <w:position w:val="0"/>
          <w:sz w:val="20"/>
          <w:u w:val="none"/>
          <w:vertAlign w:val="baseline"/>
        </w:rPr>
        <w:t>Scholl v. Mnuchin</w:t>
      </w:r>
      <w:r>
        <w:rPr>
          <w:rFonts w:ascii="arial" w:eastAsia="arial" w:hAnsi="arial" w:cs="arial"/>
          <w:b w:val="0"/>
          <w:i w:val="0"/>
          <w:strike w:val="0"/>
          <w:noProof w:val="0"/>
          <w:color w:val="000000"/>
          <w:position w:val="0"/>
          <w:sz w:val="20"/>
          <w:u w:val="none"/>
          <w:vertAlign w:val="baseline"/>
        </w:rPr>
        <w:t xml:space="preserve">, No. 20-cv-5309 (N.D. Cal.), a class action challenging the position of the Internal Revenue Service (IRS) that incarcerated persons were not eligible for stimulus checks under the CARES Act. The plaintiffs in </w:t>
      </w:r>
      <w:r>
        <w:rPr>
          <w:rFonts w:ascii="arial" w:eastAsia="arial" w:hAnsi="arial" w:cs="arial"/>
          <w:b w:val="0"/>
          <w:i/>
          <w:strike w:val="0"/>
          <w:noProof w:val="0"/>
          <w:color w:val="000000"/>
          <w:position w:val="0"/>
          <w:sz w:val="20"/>
          <w:u w:val="none"/>
          <w:vertAlign w:val="baseline"/>
        </w:rPr>
        <w:t>Scholl</w:t>
      </w:r>
      <w:r>
        <w:rPr>
          <w:rFonts w:ascii="arial" w:eastAsia="arial" w:hAnsi="arial" w:cs="arial"/>
          <w:b w:val="0"/>
          <w:i w:val="0"/>
          <w:strike w:val="0"/>
          <w:noProof w:val="0"/>
          <w:color w:val="000000"/>
          <w:position w:val="0"/>
          <w:sz w:val="20"/>
          <w:u w:val="none"/>
          <w:vertAlign w:val="baseline"/>
        </w:rPr>
        <w:t xml:space="preserve"> sought "to certify a class of all individuals who were incarcerated across the United States since March 27, 2020 and meet the eligibility requirements described in the CARES Act." </w:t>
      </w:r>
      <w:hyperlink r:id="rId21" w:history="1">
        <w:r>
          <w:rPr>
            <w:rFonts w:ascii="arial" w:eastAsia="arial" w:hAnsi="arial" w:cs="arial"/>
            <w:b w:val="0"/>
            <w:i/>
            <w:strike w:val="0"/>
            <w:noProof w:val="0"/>
            <w:color w:val="0077CC"/>
            <w:position w:val="0"/>
            <w:sz w:val="20"/>
            <w:u w:val="single"/>
            <w:vertAlign w:val="baseline"/>
          </w:rPr>
          <w:t>Scholl v. Mnuchin</w:t>
        </w:r>
      </w:hyperlink>
      <w:hyperlink r:id="rId21" w:history="1">
        <w:r>
          <w:rPr>
            <w:rFonts w:ascii="arial" w:eastAsia="arial" w:hAnsi="arial" w:cs="arial"/>
            <w:b w:val="0"/>
            <w:i/>
            <w:strike w:val="0"/>
            <w:noProof w:val="0"/>
            <w:color w:val="0077CC"/>
            <w:position w:val="0"/>
            <w:sz w:val="20"/>
            <w:u w:val="single"/>
            <w:vertAlign w:val="baseline"/>
          </w:rPr>
          <w:t>, 489 F. Supp. 3d 1008, 1023 (N.D. Cal. 2020)</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Scholl</w:t>
      </w:r>
      <w:r>
        <w:rPr>
          <w:rFonts w:ascii="arial" w:eastAsia="arial" w:hAnsi="arial" w:cs="arial"/>
          <w:b w:val="0"/>
          <w:i w:val="0"/>
          <w:strike w:val="0"/>
          <w:noProof w:val="0"/>
          <w:color w:val="000000"/>
          <w:position w:val="0"/>
          <w:sz w:val="20"/>
          <w:u w:val="none"/>
          <w:vertAlign w:val="baseline"/>
        </w:rPr>
        <w:t xml:space="preserve"> court certified a class and, determining that an "incarcerated individual[ ] [is] not excludable as an 'eligible individual' under the Act," enjoined the IRS from withholding stimulus checks from "any class member on the sole basis of their incarcerated status." </w:t>
      </w:r>
      <w:hyperlink r:id="rId22" w:history="1">
        <w:r>
          <w:rPr>
            <w:rFonts w:ascii="arial" w:eastAsia="arial" w:hAnsi="arial" w:cs="arial"/>
            <w:b w:val="0"/>
            <w:i/>
            <w:strike w:val="0"/>
            <w:noProof w:val="0"/>
            <w:color w:val="0077CC"/>
            <w:position w:val="0"/>
            <w:sz w:val="20"/>
            <w:u w:val="single"/>
            <w:vertAlign w:val="baseline"/>
          </w:rPr>
          <w:t>Scholl v. Mnuchin</w:t>
        </w:r>
      </w:hyperlink>
      <w:hyperlink r:id="rId22" w:history="1">
        <w:r>
          <w:rPr>
            <w:rFonts w:ascii="arial" w:eastAsia="arial" w:hAnsi="arial" w:cs="arial"/>
            <w:b w:val="0"/>
            <w:i/>
            <w:strike w:val="0"/>
            <w:noProof w:val="0"/>
            <w:color w:val="0077CC"/>
            <w:position w:val="0"/>
            <w:sz w:val="20"/>
            <w:u w:val="single"/>
            <w:vertAlign w:val="baseline"/>
          </w:rPr>
          <w:t>, 494 F. Supp. 3d 661, 689, 693 (N.D. Cal.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According to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Song, the </w:t>
      </w:r>
      <w:r>
        <w:rPr>
          <w:rFonts w:ascii="arial" w:eastAsia="arial" w:hAnsi="arial" w:cs="arial"/>
          <w:b w:val="0"/>
          <w:i/>
          <w:strike w:val="0"/>
          <w:noProof w:val="0"/>
          <w:color w:val="000000"/>
          <w:position w:val="0"/>
          <w:sz w:val="20"/>
          <w:u w:val="none"/>
          <w:vertAlign w:val="baseline"/>
        </w:rPr>
        <w:t>Scholl</w:t>
      </w:r>
      <w:r>
        <w:rPr>
          <w:rFonts w:ascii="arial" w:eastAsia="arial" w:hAnsi="arial" w:cs="arial"/>
          <w:b w:val="0"/>
          <w:i w:val="0"/>
          <w:strike w:val="0"/>
          <w:noProof w:val="0"/>
          <w:color w:val="000000"/>
          <w:position w:val="0"/>
          <w:sz w:val="20"/>
          <w:u w:val="none"/>
          <w:vertAlign w:val="baseline"/>
        </w:rPr>
        <w:t xml:space="preserve"> court limited the class to inmates who experienced the COVID-19 pandemic also as a non-inmate—those inmates who (1) entered incarceration between March and September 2020 or (2) were released from prison "during the pandemic." Song asserted that approximately 85,000 among the 1.4 million inmates in the United States fell within the class. But the </w:t>
      </w:r>
      <w:r>
        <w:rPr>
          <w:rFonts w:ascii="arial" w:eastAsia="arial" w:hAnsi="arial" w:cs="arial"/>
          <w:b w:val="0"/>
          <w:i/>
          <w:strike w:val="0"/>
          <w:noProof w:val="0"/>
          <w:color w:val="000000"/>
          <w:position w:val="0"/>
          <w:sz w:val="20"/>
          <w:u w:val="none"/>
          <w:vertAlign w:val="baseline"/>
        </w:rPr>
        <w:t>Scholl</w:t>
      </w:r>
      <w:r>
        <w:rPr>
          <w:rFonts w:ascii="arial" w:eastAsia="arial" w:hAnsi="arial" w:cs="arial"/>
          <w:b w:val="0"/>
          <w:i w:val="0"/>
          <w:strike w:val="0"/>
          <w:noProof w:val="0"/>
          <w:color w:val="000000"/>
          <w:position w:val="0"/>
          <w:sz w:val="20"/>
          <w:u w:val="none"/>
          <w:vertAlign w:val="baseline"/>
        </w:rPr>
        <w:t xml:space="preserve"> court did not limit the class as Song claimed. The court certified the class as "[a]ll United States citizens and legal permanent residents who . . . are or were incarcerated (i.e., confined in a jail, prison, or other penal institution or correctional facility pursuant to their conviction of a criminal offense) in the United States . . . at any time from March 27, 2020 to the present." </w:t>
      </w:r>
      <w:hyperlink r:id="rId21" w:history="1">
        <w:r>
          <w:rPr>
            <w:rFonts w:ascii="arial" w:eastAsia="arial" w:hAnsi="arial" w:cs="arial"/>
            <w:b w:val="0"/>
            <w:i/>
            <w:strike w:val="0"/>
            <w:noProof w:val="0"/>
            <w:color w:val="0077CC"/>
            <w:position w:val="0"/>
            <w:sz w:val="20"/>
            <w:u w:val="single"/>
            <w:vertAlign w:val="baseline"/>
          </w:rPr>
          <w:t>Scholl</w:t>
        </w:r>
      </w:hyperlink>
      <w:hyperlink r:id="rId21" w:history="1">
        <w:r>
          <w:rPr>
            <w:rFonts w:ascii="arial" w:eastAsia="arial" w:hAnsi="arial" w:cs="arial"/>
            <w:b w:val="0"/>
            <w:i/>
            <w:strike w:val="0"/>
            <w:noProof w:val="0"/>
            <w:color w:val="0077CC"/>
            <w:position w:val="0"/>
            <w:sz w:val="20"/>
            <w:u w:val="single"/>
            <w:vertAlign w:val="baseline"/>
          </w:rPr>
          <w:t>, 489 F. Supp. 3d at 1047</w:t>
        </w:r>
      </w:hyperlink>
      <w:r>
        <w:rPr>
          <w:rFonts w:ascii="arial" w:eastAsia="arial" w:hAnsi="arial" w:cs="arial"/>
          <w:b w:val="0"/>
          <w:i w:val="0"/>
          <w:strike w:val="0"/>
          <w:noProof w:val="0"/>
          <w:color w:val="000000"/>
          <w:position w:val="0"/>
          <w:sz w:val="20"/>
          <w:u w:val="none"/>
          <w:vertAlign w:val="baseline"/>
        </w:rPr>
        <w:t xml:space="preserve">. The class therefore included any inmate who was confined during the relevant time period, not just those inmates who entered or were released from incarceration during that timeframe. </w:t>
      </w:r>
      <w:bookmarkStart w:id="19" w:name="Bookmark_I69FF8H12SF8J20020000400"/>
      <w:bookmarkEnd w:id="19"/>
      <w:r>
        <w:rPr>
          <w:rFonts w:ascii="arial" w:eastAsia="arial" w:hAnsi="arial" w:cs="arial"/>
          <w:b w:val="0"/>
          <w:i w:val="0"/>
          <w:strike w:val="0"/>
          <w:noProof w:val="0"/>
          <w:color w:val="000000"/>
          <w:position w:val="0"/>
          <w:sz w:val="20"/>
          <w:u w:val="none"/>
          <w:vertAlign w:val="baseline"/>
        </w:rPr>
        <w:t xml:space="preserve">The "85,000" figure in </w:t>
      </w:r>
      <w:r>
        <w:rPr>
          <w:rFonts w:ascii="arial" w:eastAsia="arial" w:hAnsi="arial" w:cs="arial"/>
          <w:b w:val="0"/>
          <w:i/>
          <w:strike w:val="0"/>
          <w:noProof w:val="0"/>
          <w:color w:val="000000"/>
          <w:position w:val="0"/>
          <w:sz w:val="20"/>
          <w:u w:val="none"/>
          <w:vertAlign w:val="baseline"/>
        </w:rPr>
        <w:t>Scholl</w:t>
      </w:r>
      <w:r>
        <w:rPr>
          <w:rFonts w:ascii="arial" w:eastAsia="arial" w:hAnsi="arial" w:cs="arial"/>
          <w:b w:val="0"/>
          <w:i w:val="0"/>
          <w:strike w:val="0"/>
          <w:noProof w:val="0"/>
          <w:color w:val="000000"/>
          <w:position w:val="0"/>
          <w:sz w:val="20"/>
          <w:u w:val="none"/>
          <w:vertAlign w:val="baseline"/>
        </w:rPr>
        <w:t xml:space="preserve"> referred not to the size of the class but to the number of inmates who had received stimulus checks before the IRS announced its position that incarcerated persons were not eligible for the payments. </w:t>
      </w:r>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1043</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Scholl</w:t>
      </w:r>
      <w:r>
        <w:rPr>
          <w:rFonts w:ascii="arial" w:eastAsia="arial" w:hAnsi="arial" w:cs="arial"/>
          <w:b w:val="0"/>
          <w:i w:val="0"/>
          <w:strike w:val="0"/>
          <w:noProof w:val="0"/>
          <w:color w:val="000000"/>
          <w:position w:val="0"/>
          <w:sz w:val="20"/>
          <w:u w:val="none"/>
          <w:vertAlign w:val="baseline"/>
        </w:rPr>
        <w:t>, the court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ordered the IRS to distribute certain documents to state and federal correctional facilities, including a cover letter, an electronic version of the simplified tax return form to use for requesting a stimulus check, and instructions for completing the form. </w:t>
      </w:r>
      <w:bookmarkStart w:id="20" w:name="Bookmark_I69FF8H12SF8J20010000400"/>
      <w:bookmarkEnd w:id="20"/>
      <w:hyperlink r:id="rId23" w:history="1">
        <w:r>
          <w:rPr>
            <w:rFonts w:ascii="arial" w:eastAsia="arial" w:hAnsi="arial" w:cs="arial"/>
            <w:b w:val="0"/>
            <w:i/>
            <w:strike w:val="0"/>
            <w:noProof w:val="0"/>
            <w:color w:val="0077CC"/>
            <w:position w:val="0"/>
            <w:sz w:val="20"/>
            <w:u w:val="single"/>
            <w:vertAlign w:val="baseline"/>
          </w:rPr>
          <w:t>Scholl v. Mnuchin</w:t>
        </w:r>
      </w:hyperlink>
      <w:hyperlink r:id="rId23" w:history="1">
        <w:r>
          <w:rPr>
            <w:rFonts w:ascii="arial" w:eastAsia="arial" w:hAnsi="arial" w:cs="arial"/>
            <w:b w:val="0"/>
            <w:i/>
            <w:strike w:val="0"/>
            <w:noProof w:val="0"/>
            <w:color w:val="0077CC"/>
            <w:position w:val="0"/>
            <w:sz w:val="20"/>
            <w:u w:val="single"/>
            <w:vertAlign w:val="baseline"/>
          </w:rPr>
          <w:t>, No. 20-cv-5309, 2020 U.S. Dist. LEXIS 187294, 2020 WL 6059648, at *2 (N.D. Cal. Oct. 7, 2020)</w:t>
        </w:r>
      </w:hyperlink>
      <w:r>
        <w:rPr>
          <w:rFonts w:ascii="arial" w:eastAsia="arial" w:hAnsi="arial" w:cs="arial"/>
          <w:b w:val="0"/>
          <w:i w:val="0"/>
          <w:strike w:val="0"/>
          <w:noProof w:val="0"/>
          <w:color w:val="000000"/>
          <w:position w:val="0"/>
          <w:sz w:val="20"/>
          <w:u w:val="none"/>
          <w:vertAlign w:val="baseline"/>
        </w:rPr>
        <w:t xml:space="preserve">. By distributing tax return forms to prisoners and providing them with instructions for completing the forms to seek stimulus checks, the defendants were acting in accordance with </w:t>
      </w:r>
      <w:hyperlink r:id="rId22" w:history="1">
        <w:r>
          <w:rPr>
            <w:rFonts w:ascii="arial" w:eastAsia="arial" w:hAnsi="arial" w:cs="arial"/>
            <w:b w:val="0"/>
            <w:i/>
            <w:strike w:val="0"/>
            <w:noProof w:val="0"/>
            <w:color w:val="0077CC"/>
            <w:position w:val="0"/>
            <w:sz w:val="20"/>
            <w:u w:val="single"/>
            <w:vertAlign w:val="baseline"/>
          </w:rPr>
          <w:t>Scholl</w:t>
        </w:r>
      </w:hyperlink>
      <w:r>
        <w:rPr>
          <w:rFonts w:ascii="arial" w:eastAsia="arial" w:hAnsi="arial" w:cs="arial"/>
          <w:b w:val="0"/>
          <w:i w:val="0"/>
          <w:strike w:val="0"/>
          <w:noProof w:val="0"/>
          <w:color w:val="000000"/>
          <w:position w:val="0"/>
          <w:sz w:val="20"/>
          <w:u w:val="none"/>
          <w:vertAlign w:val="baseline"/>
        </w:rPr>
        <w:t xml:space="preserve"> and not soliciting tax fraud. The district court properly concluded that, because Song's claim was premised on a court decision that he was misinterpreting, his allegations were frivolous and that he therefore failed to state a claim regarding solicitation of tax fraud.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Claim B: Denial of Access to the Courts and Legal Counsel</w:t>
      </w:r>
    </w:p>
    <w:p>
      <w:pPr>
        <w:keepNext w:val="0"/>
        <w:spacing w:before="24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In support of his claim that the defendants violated his constitutional rights of access to the courts and legal counsel, Song alleged that an inmate working in TTCC's library, who was acting as a legal aide but was not qualified for that position, wrongfully advised him about his eligibility for a stimulus check and caused him to submit a fraudulent tax return. To state a denial-of-access claim, an inmate cannot simply allege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his prison's law library or legal assistance program is subpar in some theoretical sense"; the inmate must instead "go one step further and demonstrate that the alleged shortcomings in the library or legal assistance program hindered his efforts to pursue a legal claim." </w:t>
      </w:r>
      <w:hyperlink r:id="rId24" w:history="1">
        <w:r>
          <w:rPr>
            <w:rFonts w:ascii="arial" w:eastAsia="arial" w:hAnsi="arial" w:cs="arial"/>
            <w:b w:val="0"/>
            <w:i/>
            <w:strike w:val="0"/>
            <w:noProof w:val="0"/>
            <w:color w:val="0077CC"/>
            <w:position w:val="0"/>
            <w:sz w:val="20"/>
            <w:u w:val="single"/>
            <w:vertAlign w:val="baseline"/>
          </w:rPr>
          <w:t>Lewis v. Casey</w:t>
        </w:r>
      </w:hyperlink>
      <w:hyperlink r:id="rId24" w:history="1">
        <w:r>
          <w:rPr>
            <w:rFonts w:ascii="arial" w:eastAsia="arial" w:hAnsi="arial" w:cs="arial"/>
            <w:b w:val="0"/>
            <w:i/>
            <w:strike w:val="0"/>
            <w:noProof w:val="0"/>
            <w:color w:val="0077CC"/>
            <w:position w:val="0"/>
            <w:sz w:val="20"/>
            <w:u w:val="single"/>
            <w:vertAlign w:val="baseline"/>
          </w:rPr>
          <w:t>, 518 U.S. 343, 351, 116 S. Ct. 2174, 135 L. Ed. 2d 606 (1996)</w:t>
        </w:r>
      </w:hyperlink>
      <w:r>
        <w:rPr>
          <w:rFonts w:ascii="arial" w:eastAsia="arial" w:hAnsi="arial" w:cs="arial"/>
          <w:b w:val="0"/>
          <w:i w:val="0"/>
          <w:strike w:val="0"/>
          <w:noProof w:val="0"/>
          <w:color w:val="000000"/>
          <w:position w:val="0"/>
          <w:sz w:val="20"/>
          <w:u w:val="none"/>
          <w:vertAlign w:val="baseline"/>
        </w:rPr>
        <w:t>. Song failed to allege any interference with his efforts to bring a legal claim and therefore failed to state a denial-of-access claim.</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Claim C: Retaliatory Write-Up</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Song filed grievances against Library Supervisor Kenneth Bailey and Librarian Willetta Grady, asserting that Grady allowed an unqualified inmate to work as a legal aide in violation of TDOC's policy and that this inmate provided him with wrongful legal advice resulting in his submission of an illegal tax return. Song claimed that, in retaliation for those grievances, the defendants incited other prison officials to issue him a write-up and subject him to disciplinary proceedings.</w:t>
      </w:r>
    </w:p>
    <w:p>
      <w:pPr>
        <w:keepNext w:val="0"/>
        <w:spacing w:before="24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 xml:space="preserve">A </w:t>
      </w:r>
      <w:hyperlink r:id="rId2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has three elements: "(1) the plaintiff engaged in protected conduct; (2) an adverse action was taken against the plaintiff that would deter a person of ordinary firmness from continuing to engage in that conduct; and (3) . . . the adverse action was motivated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at least in part by the plaintiff's protected conduct." </w:t>
      </w:r>
      <w:hyperlink r:id="rId26" w:history="1">
        <w:r>
          <w:rPr>
            <w:rFonts w:ascii="arial" w:eastAsia="arial" w:hAnsi="arial" w:cs="arial"/>
            <w:b w:val="0"/>
            <w:i/>
            <w:strike w:val="0"/>
            <w:noProof w:val="0"/>
            <w:color w:val="0077CC"/>
            <w:position w:val="0"/>
            <w:sz w:val="20"/>
            <w:u w:val="single"/>
            <w:vertAlign w:val="baseline"/>
          </w:rPr>
          <w:t>Thaddeus-X v. Blatter</w:t>
        </w:r>
      </w:hyperlink>
      <w:hyperlink r:id="rId26" w:history="1">
        <w:r>
          <w:rPr>
            <w:rFonts w:ascii="arial" w:eastAsia="arial" w:hAnsi="arial" w:cs="arial"/>
            <w:b w:val="0"/>
            <w:i/>
            <w:strike w:val="0"/>
            <w:noProof w:val="0"/>
            <w:color w:val="0077CC"/>
            <w:position w:val="0"/>
            <w:sz w:val="20"/>
            <w:u w:val="single"/>
            <w:vertAlign w:val="baseline"/>
          </w:rPr>
          <w:t>, 175 F.3d 378, 394 (6th Cir. 1999)</w:t>
        </w:r>
      </w:hyperlink>
      <w:r>
        <w:rPr>
          <w:rFonts w:ascii="arial" w:eastAsia="arial" w:hAnsi="arial" w:cs="arial"/>
          <w:b w:val="0"/>
          <w:i w:val="0"/>
          <w:strike w:val="0"/>
          <w:noProof w:val="0"/>
          <w:color w:val="000000"/>
          <w:position w:val="0"/>
          <w:sz w:val="20"/>
          <w:u w:val="none"/>
          <w:vertAlign w:val="baseline"/>
        </w:rPr>
        <w:t xml:space="preserve"> (en banc) (per curiam). The district court concluded that Song failed to state a retaliation claim because his grievances did not constitute protected conduct.</w:t>
      </w:r>
    </w:p>
    <w:p>
      <w:pPr>
        <w:keepNext w:val="0"/>
        <w:spacing w:before="24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 xml:space="preserve">"An inmate has an undisputed </w:t>
      </w:r>
      <w:hyperlink r:id="rId2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file grievances against prison officials on his own behalf." </w:t>
      </w:r>
      <w:hyperlink r:id="rId27" w:history="1">
        <w:r>
          <w:rPr>
            <w:rFonts w:ascii="arial" w:eastAsia="arial" w:hAnsi="arial" w:cs="arial"/>
            <w:b w:val="0"/>
            <w:i/>
            <w:strike w:val="0"/>
            <w:noProof w:val="0"/>
            <w:color w:val="0077CC"/>
            <w:position w:val="0"/>
            <w:sz w:val="20"/>
            <w:u w:val="single"/>
            <w:vertAlign w:val="baseline"/>
          </w:rPr>
          <w:t>Herron v. Harrison</w:t>
        </w:r>
      </w:hyperlink>
      <w:hyperlink r:id="rId27" w:history="1">
        <w:r>
          <w:rPr>
            <w:rFonts w:ascii="arial" w:eastAsia="arial" w:hAnsi="arial" w:cs="arial"/>
            <w:b w:val="0"/>
            <w:i/>
            <w:strike w:val="0"/>
            <w:noProof w:val="0"/>
            <w:color w:val="0077CC"/>
            <w:position w:val="0"/>
            <w:sz w:val="20"/>
            <w:u w:val="single"/>
            <w:vertAlign w:val="baseline"/>
          </w:rPr>
          <w:t>, 203 F.3d 410, 415 (6th Cir. 2000)</w:t>
        </w:r>
      </w:hyperlink>
      <w:r>
        <w:rPr>
          <w:rFonts w:ascii="arial" w:eastAsia="arial" w:hAnsi="arial" w:cs="arial"/>
          <w:b w:val="0"/>
          <w:i w:val="0"/>
          <w:strike w:val="0"/>
          <w:noProof w:val="0"/>
          <w:color w:val="000000"/>
          <w:position w:val="0"/>
          <w:sz w:val="20"/>
          <w:u w:val="none"/>
          <w:vertAlign w:val="baseline"/>
        </w:rPr>
        <w:t xml:space="preserve">. "If the grievances are frivolous, however, this right is not protected." </w:t>
      </w:r>
      <w:hyperlink r:id="rId15" w:history="1">
        <w:r>
          <w:rPr>
            <w:rFonts w:ascii="arial" w:eastAsia="arial" w:hAnsi="arial" w:cs="arial"/>
            <w:b w:val="0"/>
            <w:i/>
            <w:strike w:val="0"/>
            <w:noProof w:val="0"/>
            <w:color w:val="0077CC"/>
            <w:position w:val="0"/>
            <w:sz w:val="20"/>
            <w:u w:val="single"/>
            <w:vertAlign w:val="baseline"/>
          </w:rPr>
          <w:t>Hill</w:t>
        </w:r>
      </w:hyperlink>
      <w:hyperlink r:id="rId15" w:history="1">
        <w:r>
          <w:rPr>
            <w:rFonts w:ascii="arial" w:eastAsia="arial" w:hAnsi="arial" w:cs="arial"/>
            <w:b w:val="0"/>
            <w:i/>
            <w:strike w:val="0"/>
            <w:noProof w:val="0"/>
            <w:color w:val="0077CC"/>
            <w:position w:val="0"/>
            <w:sz w:val="20"/>
            <w:u w:val="single"/>
            <w:vertAlign w:val="baseline"/>
          </w:rPr>
          <w:t>, 630 F.3d at 472</w:t>
        </w:r>
      </w:hyperlink>
      <w:r>
        <w:rPr>
          <w:rFonts w:ascii="arial" w:eastAsia="arial" w:hAnsi="arial" w:cs="arial"/>
          <w:b w:val="0"/>
          <w:i w:val="0"/>
          <w:strike w:val="0"/>
          <w:noProof w:val="0"/>
          <w:color w:val="000000"/>
          <w:position w:val="0"/>
          <w:sz w:val="20"/>
          <w:u w:val="none"/>
          <w:vertAlign w:val="baseline"/>
        </w:rPr>
        <w:t xml:space="preserve">. As the district court pointed out, the only concern that Song's grievances raised </w:t>
      </w:r>
      <w:r>
        <w:rPr>
          <w:rFonts w:ascii="arial" w:eastAsia="arial" w:hAnsi="arial" w:cs="arial"/>
          <w:b w:val="0"/>
          <w:i/>
          <w:strike w:val="0"/>
          <w:noProof w:val="0"/>
          <w:color w:val="000000"/>
          <w:position w:val="0"/>
          <w:sz w:val="20"/>
          <w:u w:val="none"/>
          <w:vertAlign w:val="baseline"/>
        </w:rPr>
        <w:t>on his own behalf</w:t>
      </w:r>
      <w:r>
        <w:rPr>
          <w:rFonts w:ascii="arial" w:eastAsia="arial" w:hAnsi="arial" w:cs="arial"/>
          <w:b w:val="0"/>
          <w:i w:val="0"/>
          <w:strike w:val="0"/>
          <w:noProof w:val="0"/>
          <w:color w:val="000000"/>
          <w:position w:val="0"/>
          <w:sz w:val="20"/>
          <w:u w:val="none"/>
          <w:vertAlign w:val="baseline"/>
        </w:rPr>
        <w:t xml:space="preserve"> was his complaint that an unqualified inmate working in the library provided him wrongful legal advice resulting in his submission of an illegal tax return. But this complaint was based on Song's misreading of the </w:t>
      </w:r>
      <w:r>
        <w:rPr>
          <w:rFonts w:ascii="arial" w:eastAsia="arial" w:hAnsi="arial" w:cs="arial"/>
          <w:b w:val="0"/>
          <w:i/>
          <w:strike w:val="0"/>
          <w:noProof w:val="0"/>
          <w:color w:val="000000"/>
          <w:position w:val="0"/>
          <w:sz w:val="20"/>
          <w:u w:val="none"/>
          <w:vertAlign w:val="baseline"/>
        </w:rPr>
        <w:t>Scholl</w:t>
      </w:r>
      <w:r>
        <w:rPr>
          <w:rFonts w:ascii="arial" w:eastAsia="arial" w:hAnsi="arial" w:cs="arial"/>
          <w:b w:val="0"/>
          <w:i w:val="0"/>
          <w:strike w:val="0"/>
          <w:noProof w:val="0"/>
          <w:color w:val="000000"/>
          <w:position w:val="0"/>
          <w:sz w:val="20"/>
          <w:u w:val="none"/>
          <w:vertAlign w:val="baseline"/>
        </w:rPr>
        <w:t xml:space="preserve"> rulings. Because Song's grievances were based on a frivolous premise, they did not constitute protected conduct. </w:t>
      </w:r>
      <w:r>
        <w:rPr>
          <w:rFonts w:ascii="arial" w:eastAsia="arial" w:hAnsi="arial" w:cs="arial"/>
          <w:b w:val="0"/>
          <w:i/>
          <w:strike w:val="0"/>
          <w:noProof w:val="0"/>
          <w:color w:val="000000"/>
          <w:position w:val="0"/>
          <w:sz w:val="20"/>
          <w:u w:val="none"/>
          <w:vertAlign w:val="baseline"/>
        </w:rPr>
        <w:t xml:space="preserve">See </w:t>
      </w:r>
      <w:hyperlink r:id="rId27" w:history="1">
        <w:r>
          <w:rPr>
            <w:rFonts w:ascii="arial" w:eastAsia="arial" w:hAnsi="arial" w:cs="arial"/>
            <w:b w:val="0"/>
            <w:i/>
            <w:strike w:val="0"/>
            <w:noProof w:val="0"/>
            <w:color w:val="0077CC"/>
            <w:position w:val="0"/>
            <w:sz w:val="20"/>
            <w:u w:val="single"/>
            <w:vertAlign w:val="baseline"/>
          </w:rPr>
          <w:t>Herron</w:t>
        </w:r>
      </w:hyperlink>
      <w:hyperlink r:id="rId27" w:history="1">
        <w:r>
          <w:rPr>
            <w:rFonts w:ascii="arial" w:eastAsia="arial" w:hAnsi="arial" w:cs="arial"/>
            <w:b w:val="0"/>
            <w:i/>
            <w:strike w:val="0"/>
            <w:noProof w:val="0"/>
            <w:color w:val="0077CC"/>
            <w:position w:val="0"/>
            <w:sz w:val="20"/>
            <w:u w:val="single"/>
            <w:vertAlign w:val="baseline"/>
          </w:rPr>
          <w:t>, 203 F.3d at 415</w:t>
        </w:r>
      </w:hyperlink>
      <w:r>
        <w:rPr>
          <w:rFonts w:ascii="arial" w:eastAsia="arial" w:hAnsi="arial" w:cs="arial"/>
          <w:b w:val="0"/>
          <w:i w:val="0"/>
          <w:strike w:val="0"/>
          <w:noProof w:val="0"/>
          <w:color w:val="000000"/>
          <w:position w:val="0"/>
          <w:sz w:val="20"/>
          <w:u w:val="none"/>
          <w:vertAlign w:val="baseline"/>
        </w:rPr>
        <w:t xml:space="preserve"> (holding that a prisoner's pursuit of legal claims "was protected conduct only to the extent that the underlying claims had merit").</w:t>
      </w:r>
    </w:p>
    <w:p>
      <w:pPr>
        <w:keepNext w:val="0"/>
        <w:spacing w:before="24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The district court also construed Song's retaliatory-write-up claim as asserting a procedural due process claim. There are "two steps for analyzing procedural due process claims: (1) 'whether there exists a liberty or property interest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which has been interfered with by the State' and (2) 'whether the procedures attendant upon that deprivation were constitutionally sufficient.'" </w:t>
      </w:r>
      <w:hyperlink r:id="rId28" w:history="1">
        <w:r>
          <w:rPr>
            <w:rFonts w:ascii="arial" w:eastAsia="arial" w:hAnsi="arial" w:cs="arial"/>
            <w:b w:val="0"/>
            <w:i/>
            <w:strike w:val="0"/>
            <w:noProof w:val="0"/>
            <w:color w:val="0077CC"/>
            <w:position w:val="0"/>
            <w:sz w:val="20"/>
            <w:u w:val="single"/>
            <w:vertAlign w:val="baseline"/>
          </w:rPr>
          <w:t>Bethel v. Jenkins</w:t>
        </w:r>
      </w:hyperlink>
      <w:hyperlink r:id="rId28" w:history="1">
        <w:r>
          <w:rPr>
            <w:rFonts w:ascii="arial" w:eastAsia="arial" w:hAnsi="arial" w:cs="arial"/>
            <w:b w:val="0"/>
            <w:i/>
            <w:strike w:val="0"/>
            <w:noProof w:val="0"/>
            <w:color w:val="0077CC"/>
            <w:position w:val="0"/>
            <w:sz w:val="20"/>
            <w:u w:val="single"/>
            <w:vertAlign w:val="baseline"/>
          </w:rPr>
          <w:t>, 988 F.3d 931, 942 (6th Cir. 2021)</w:t>
        </w:r>
      </w:hyperlink>
      <w:r>
        <w:rPr>
          <w:rFonts w:ascii="arial" w:eastAsia="arial" w:hAnsi="arial" w:cs="arial"/>
          <w:b w:val="0"/>
          <w:i w:val="0"/>
          <w:strike w:val="0"/>
          <w:noProof w:val="0"/>
          <w:color w:val="000000"/>
          <w:position w:val="0"/>
          <w:sz w:val="20"/>
          <w:u w:val="none"/>
          <w:vertAlign w:val="baseline"/>
        </w:rPr>
        <w:t xml:space="preserve"> (quoting </w:t>
      </w:r>
      <w:hyperlink r:id="rId29" w:history="1">
        <w:r>
          <w:rPr>
            <w:rFonts w:ascii="arial" w:eastAsia="arial" w:hAnsi="arial" w:cs="arial"/>
            <w:b w:val="0"/>
            <w:i/>
            <w:strike w:val="0"/>
            <w:noProof w:val="0"/>
            <w:color w:val="0077CC"/>
            <w:position w:val="0"/>
            <w:sz w:val="20"/>
            <w:u w:val="single"/>
            <w:vertAlign w:val="baseline"/>
          </w:rPr>
          <w:t>Ky. Dep't of Corr. v. Thompson</w:t>
        </w:r>
      </w:hyperlink>
      <w:hyperlink r:id="rId29" w:history="1">
        <w:r>
          <w:rPr>
            <w:rFonts w:ascii="arial" w:eastAsia="arial" w:hAnsi="arial" w:cs="arial"/>
            <w:b w:val="0"/>
            <w:i/>
            <w:strike w:val="0"/>
            <w:noProof w:val="0"/>
            <w:color w:val="0077CC"/>
            <w:position w:val="0"/>
            <w:sz w:val="20"/>
            <w:u w:val="single"/>
            <w:vertAlign w:val="baseline"/>
          </w:rPr>
          <w:t>, 490 U.S. 454, 460, 109 S. Ct. 1904, 104 L. Ed. 2d 506 (1989)</w:t>
        </w:r>
      </w:hyperlink>
      <w:r>
        <w:rPr>
          <w:rFonts w:ascii="arial" w:eastAsia="arial" w:hAnsi="arial" w:cs="arial"/>
          <w:b w:val="0"/>
          <w:i w:val="0"/>
          <w:strike w:val="0"/>
          <w:noProof w:val="0"/>
          <w:color w:val="000000"/>
          <w:position w:val="0"/>
          <w:sz w:val="20"/>
          <w:u w:val="none"/>
          <w:vertAlign w:val="baseline"/>
        </w:rPr>
        <w:t xml:space="preserve">). "[T]he question of what process is due is relevant only if the inmate establishes a constitutionally protected interest." </w:t>
      </w:r>
      <w:hyperlink r:id="rId30" w:history="1">
        <w:r>
          <w:rPr>
            <w:rFonts w:ascii="arial" w:eastAsia="arial" w:hAnsi="arial" w:cs="arial"/>
            <w:b w:val="0"/>
            <w:i/>
            <w:strike w:val="0"/>
            <w:noProof w:val="0"/>
            <w:color w:val="0077CC"/>
            <w:position w:val="0"/>
            <w:sz w:val="20"/>
            <w:u w:val="single"/>
            <w:vertAlign w:val="baseline"/>
          </w:rPr>
          <w:t>Pickelhaupt v. Jackson</w:t>
        </w:r>
      </w:hyperlink>
      <w:hyperlink r:id="rId30" w:history="1">
        <w:r>
          <w:rPr>
            <w:rFonts w:ascii="arial" w:eastAsia="arial" w:hAnsi="arial" w:cs="arial"/>
            <w:b w:val="0"/>
            <w:i/>
            <w:strike w:val="0"/>
            <w:noProof w:val="0"/>
            <w:color w:val="0077CC"/>
            <w:position w:val="0"/>
            <w:sz w:val="20"/>
            <w:u w:val="single"/>
            <w:vertAlign w:val="baseline"/>
          </w:rPr>
          <w:t>, 364 F. App'x 221, 224 (6th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 xml:space="preserve">A prisoner "retains a 'liberty' interest, guarded by due process, with respect to state-imposed prison discipline that rises to the level of an 'atypical and significant hardship on the inmate.'" </w:t>
      </w:r>
      <w:hyperlink r:id="rId31" w:history="1">
        <w:r>
          <w:rPr>
            <w:rFonts w:ascii="arial" w:eastAsia="arial" w:hAnsi="arial" w:cs="arial"/>
            <w:b w:val="0"/>
            <w:i/>
            <w:strike w:val="0"/>
            <w:noProof w:val="0"/>
            <w:color w:val="0077CC"/>
            <w:position w:val="0"/>
            <w:sz w:val="20"/>
            <w:u w:val="single"/>
            <w:vertAlign w:val="baseline"/>
          </w:rPr>
          <w:t>Harden-Bey v. Rutter</w:t>
        </w:r>
      </w:hyperlink>
      <w:hyperlink r:id="rId31" w:history="1">
        <w:r>
          <w:rPr>
            <w:rFonts w:ascii="arial" w:eastAsia="arial" w:hAnsi="arial" w:cs="arial"/>
            <w:b w:val="0"/>
            <w:i/>
            <w:strike w:val="0"/>
            <w:noProof w:val="0"/>
            <w:color w:val="0077CC"/>
            <w:position w:val="0"/>
            <w:sz w:val="20"/>
            <w:u w:val="single"/>
            <w:vertAlign w:val="baseline"/>
          </w:rPr>
          <w:t>, 524 F.3d 789, 792 (6th Cir. 2008)</w:t>
        </w:r>
      </w:hyperlink>
      <w:r>
        <w:rPr>
          <w:rFonts w:ascii="arial" w:eastAsia="arial" w:hAnsi="arial" w:cs="arial"/>
          <w:b w:val="0"/>
          <w:i w:val="0"/>
          <w:strike w:val="0"/>
          <w:noProof w:val="0"/>
          <w:color w:val="000000"/>
          <w:position w:val="0"/>
          <w:sz w:val="20"/>
          <w:u w:val="none"/>
          <w:vertAlign w:val="baseline"/>
        </w:rPr>
        <w:t xml:space="preserve"> (quoting </w:t>
      </w:r>
      <w:hyperlink r:id="rId32" w:history="1">
        <w:r>
          <w:rPr>
            <w:rFonts w:ascii="arial" w:eastAsia="arial" w:hAnsi="arial" w:cs="arial"/>
            <w:b w:val="0"/>
            <w:i/>
            <w:strike w:val="0"/>
            <w:noProof w:val="0"/>
            <w:color w:val="0077CC"/>
            <w:position w:val="0"/>
            <w:sz w:val="20"/>
            <w:u w:val="single"/>
            <w:vertAlign w:val="baseline"/>
          </w:rPr>
          <w:t>Sandin v. Conner</w:t>
        </w:r>
      </w:hyperlink>
      <w:hyperlink r:id="rId32" w:history="1">
        <w:r>
          <w:rPr>
            <w:rFonts w:ascii="arial" w:eastAsia="arial" w:hAnsi="arial" w:cs="arial"/>
            <w:b w:val="0"/>
            <w:i/>
            <w:strike w:val="0"/>
            <w:noProof w:val="0"/>
            <w:color w:val="0077CC"/>
            <w:position w:val="0"/>
            <w:sz w:val="20"/>
            <w:u w:val="single"/>
            <w:vertAlign w:val="baseline"/>
          </w:rPr>
          <w:t>, 515 U.S. 472, 484, 115 S. Ct. 2293, 132 L. Ed. 2d 418 (1995)</w:t>
        </w:r>
      </w:hyperlink>
      <w:r>
        <w:rPr>
          <w:rFonts w:ascii="arial" w:eastAsia="arial" w:hAnsi="arial" w:cs="arial"/>
          <w:b w:val="0"/>
          <w:i w:val="0"/>
          <w:strike w:val="0"/>
          <w:noProof w:val="0"/>
          <w:color w:val="000000"/>
          <w:position w:val="0"/>
          <w:sz w:val="20"/>
          <w:u w:val="none"/>
          <w:vertAlign w:val="baseline"/>
        </w:rPr>
        <w:t xml:space="preserve">). "To implicate a cognizable liberty interest in the prison setting . . . , the discipline must be unusual and substantial 'in relation to the ordinary incidents of prison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32" w:history="1">
        <w:r>
          <w:rPr>
            <w:rFonts w:ascii="arial" w:eastAsia="arial" w:hAnsi="arial" w:cs="arial"/>
            <w:b w:val="0"/>
            <w:i/>
            <w:strike w:val="0"/>
            <w:noProof w:val="0"/>
            <w:color w:val="0077CC"/>
            <w:position w:val="0"/>
            <w:sz w:val="20"/>
            <w:u w:val="single"/>
            <w:vertAlign w:val="baseline"/>
          </w:rPr>
          <w:t>Sandin</w:t>
        </w:r>
      </w:hyperlink>
      <w:hyperlink r:id="rId32" w:history="1">
        <w:r>
          <w:rPr>
            <w:rFonts w:ascii="arial" w:eastAsia="arial" w:hAnsi="arial" w:cs="arial"/>
            <w:b w:val="0"/>
            <w:i/>
            <w:strike w:val="0"/>
            <w:noProof w:val="0"/>
            <w:color w:val="0077CC"/>
            <w:position w:val="0"/>
            <w:sz w:val="20"/>
            <w:u w:val="single"/>
            <w:vertAlign w:val="baseline"/>
          </w:rPr>
          <w:t>, 515 U.S. at 484</w:t>
        </w:r>
      </w:hyperlink>
      <w:r>
        <w:rPr>
          <w:rFonts w:ascii="arial" w:eastAsia="arial" w:hAnsi="arial" w:cs="arial"/>
          <w:b w:val="0"/>
          <w:i w:val="0"/>
          <w:strike w:val="0"/>
          <w:noProof w:val="0"/>
          <w:color w:val="000000"/>
          <w:position w:val="0"/>
          <w:sz w:val="20"/>
          <w:u w:val="none"/>
          <w:vertAlign w:val="baseline"/>
        </w:rPr>
        <w:t xml:space="preserve">). After Song was found guilty of the challenged disciplinary offense, he was issued a $4 fine, a four-month commissary restriction, and a 30-day electronic restriction. These restrictions did not amount to an atypical and significant hardship and therefore did not implicate a constitutionally protected liberty interest. </w:t>
      </w:r>
      <w:r>
        <w:rPr>
          <w:rFonts w:ascii="arial" w:eastAsia="arial" w:hAnsi="arial" w:cs="arial"/>
          <w:b w:val="0"/>
          <w:i/>
          <w:strike w:val="0"/>
          <w:noProof w:val="0"/>
          <w:color w:val="000000"/>
          <w:position w:val="0"/>
          <w:sz w:val="20"/>
          <w:u w:val="none"/>
          <w:vertAlign w:val="baseline"/>
        </w:rPr>
        <w:t xml:space="preserve">See </w:t>
      </w:r>
      <w:hyperlink r:id="rId33" w:history="1">
        <w:r>
          <w:rPr>
            <w:rFonts w:ascii="arial" w:eastAsia="arial" w:hAnsi="arial" w:cs="arial"/>
            <w:b w:val="0"/>
            <w:i/>
            <w:strike w:val="0"/>
            <w:noProof w:val="0"/>
            <w:color w:val="0077CC"/>
            <w:position w:val="0"/>
            <w:sz w:val="20"/>
            <w:u w:val="single"/>
            <w:vertAlign w:val="baseline"/>
          </w:rPr>
          <w:t>McMillan v. Fielding</w:t>
        </w:r>
      </w:hyperlink>
      <w:hyperlink r:id="rId33" w:history="1">
        <w:r>
          <w:rPr>
            <w:rFonts w:ascii="arial" w:eastAsia="arial" w:hAnsi="arial" w:cs="arial"/>
            <w:b w:val="0"/>
            <w:i/>
            <w:strike w:val="0"/>
            <w:noProof w:val="0"/>
            <w:color w:val="0077CC"/>
            <w:position w:val="0"/>
            <w:sz w:val="20"/>
            <w:u w:val="single"/>
            <w:vertAlign w:val="baseline"/>
          </w:rPr>
          <w:t>, 136 F. App'x 818, 820 (6th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Claims D and F: Interception of Stimulus Checks</w:t>
      </w:r>
    </w:p>
    <w:p>
      <w:pPr>
        <w:keepNext w:val="0"/>
        <w:spacing w:before="20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In support of his claim that the defendants intercepted his stimulus checks, Song asserted that he "believes" that Unit Manager Monica Thames intercepted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his checks and "probably did it through the computer online filing." The district court properly determined that Song had failed to state a claim for three reasons.</w:t>
      </w:r>
    </w:p>
    <w:p>
      <w:pPr>
        <w:keepNext w:val="0"/>
        <w:spacing w:before="20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First, there was no indication that the IRS sent any stimulus checks to Song for Thames or any other defendant to intercept. Although Song submitted a tax return in 2020, the IRS did not process that return because it was lacking required information. And Song did not allege that he submitted documentation to request a stimulus check in 2021.</w:t>
      </w:r>
    </w:p>
    <w:p>
      <w:pPr>
        <w:keepNext w:val="0"/>
        <w:spacing w:before="20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 xml:space="preserve">Second, even if the IRS did issue Song stimulus checks that the defendants then intercepted, such "an unauthorized intentional deprivation of property by a state employee does not constitute a violation of the procedural requirements of the </w:t>
      </w:r>
      <w:hyperlink r:id="rId34"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if a meaningful postdeprivation remedy for the loss is available." </w:t>
      </w:r>
      <w:hyperlink r:id="rId35" w:history="1">
        <w:r>
          <w:rPr>
            <w:rFonts w:ascii="arial" w:eastAsia="arial" w:hAnsi="arial" w:cs="arial"/>
            <w:b w:val="0"/>
            <w:i/>
            <w:strike w:val="0"/>
            <w:noProof w:val="0"/>
            <w:color w:val="0077CC"/>
            <w:position w:val="0"/>
            <w:sz w:val="20"/>
            <w:u w:val="single"/>
            <w:vertAlign w:val="baseline"/>
          </w:rPr>
          <w:t>Hudson v. Palmer</w:t>
        </w:r>
      </w:hyperlink>
      <w:hyperlink r:id="rId35" w:history="1">
        <w:r>
          <w:rPr>
            <w:rFonts w:ascii="arial" w:eastAsia="arial" w:hAnsi="arial" w:cs="arial"/>
            <w:b w:val="0"/>
            <w:i/>
            <w:strike w:val="0"/>
            <w:noProof w:val="0"/>
            <w:color w:val="0077CC"/>
            <w:position w:val="0"/>
            <w:sz w:val="20"/>
            <w:u w:val="single"/>
            <w:vertAlign w:val="baseline"/>
          </w:rPr>
          <w:t>, 468 U.S. 517, 533, 104 S. Ct. 3194, 82 L. Ed. 2d 393 (1984)</w:t>
        </w:r>
      </w:hyperlink>
      <w:r>
        <w:rPr>
          <w:rFonts w:ascii="arial" w:eastAsia="arial" w:hAnsi="arial" w:cs="arial"/>
          <w:b w:val="0"/>
          <w:i w:val="0"/>
          <w:strike w:val="0"/>
          <w:noProof w:val="0"/>
          <w:color w:val="000000"/>
          <w:position w:val="0"/>
          <w:sz w:val="20"/>
          <w:u w:val="none"/>
          <w:vertAlign w:val="baseline"/>
        </w:rPr>
        <w:t xml:space="preserve">. Song failed to allege that any such remedy was unavailable or inadequate. </w:t>
      </w:r>
      <w:r>
        <w:rPr>
          <w:rFonts w:ascii="arial" w:eastAsia="arial" w:hAnsi="arial" w:cs="arial"/>
          <w:b w:val="0"/>
          <w:i/>
          <w:strike w:val="0"/>
          <w:noProof w:val="0"/>
          <w:color w:val="000000"/>
          <w:position w:val="0"/>
          <w:sz w:val="20"/>
          <w:u w:val="none"/>
          <w:vertAlign w:val="baseline"/>
        </w:rPr>
        <w:t xml:space="preserve">See </w:t>
      </w:r>
      <w:hyperlink r:id="rId33" w:history="1">
        <w:r>
          <w:rPr>
            <w:rFonts w:ascii="arial" w:eastAsia="arial" w:hAnsi="arial" w:cs="arial"/>
            <w:b w:val="0"/>
            <w:i/>
            <w:strike w:val="0"/>
            <w:noProof w:val="0"/>
            <w:color w:val="0077CC"/>
            <w:position w:val="0"/>
            <w:sz w:val="20"/>
            <w:u w:val="single"/>
            <w:vertAlign w:val="baseline"/>
          </w:rPr>
          <w:t>McMillan</w:t>
        </w:r>
      </w:hyperlink>
      <w:hyperlink r:id="rId33" w:history="1">
        <w:r>
          <w:rPr>
            <w:rFonts w:ascii="arial" w:eastAsia="arial" w:hAnsi="arial" w:cs="arial"/>
            <w:b w:val="0"/>
            <w:i/>
            <w:strike w:val="0"/>
            <w:noProof w:val="0"/>
            <w:color w:val="0077CC"/>
            <w:position w:val="0"/>
            <w:sz w:val="20"/>
            <w:u w:val="single"/>
            <w:vertAlign w:val="baseline"/>
          </w:rPr>
          <w:t>, 136 F. App'x at 820</w:t>
        </w:r>
      </w:hyperlink>
      <w:r>
        <w:rPr>
          <w:rFonts w:ascii="arial" w:eastAsia="arial" w:hAnsi="arial" w:cs="arial"/>
          <w:b w:val="0"/>
          <w:i w:val="0"/>
          <w:strike w:val="0"/>
          <w:noProof w:val="0"/>
          <w:color w:val="000000"/>
          <w:position w:val="0"/>
          <w:sz w:val="20"/>
          <w:u w:val="none"/>
          <w:vertAlign w:val="baseline"/>
        </w:rPr>
        <w:t xml:space="preserve">. On appeal, Song contends that the interception of a government-issued stimulus check does not constitute "an unauthorized intentional deprivation of property," apparently arguing that a check does not constitute personal property. Song's argument lacks merit.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Tenn. Code Ann. § 47-3-420(a)</w:t>
        </w:r>
      </w:hyperlink>
      <w:r>
        <w:rPr>
          <w:rFonts w:ascii="arial" w:eastAsia="arial" w:hAnsi="arial" w:cs="arial"/>
          <w:b w:val="0"/>
          <w:i w:val="0"/>
          <w:strike w:val="0"/>
          <w:noProof w:val="0"/>
          <w:color w:val="000000"/>
          <w:position w:val="0"/>
          <w:sz w:val="20"/>
          <w:u w:val="none"/>
          <w:vertAlign w:val="baseline"/>
        </w:rPr>
        <w:t xml:space="preserve"> ("The law applicable to conversion of</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personal property applies to instruments.").</w:t>
      </w:r>
    </w:p>
    <w:p>
      <w:pPr>
        <w:keepNext w:val="0"/>
        <w:spacing w:before="240" w:after="0" w:line="260" w:lineRule="atLeast"/>
        <w:ind w:left="0" w:right="0" w:firstLine="0"/>
        <w:jc w:val="both"/>
      </w:pPr>
      <w:bookmarkStart w:id="30" w:name="Bookmark_para_20"/>
      <w:bookmarkEnd w:id="30"/>
      <w:r>
        <w:rPr>
          <w:rFonts w:ascii="arial" w:eastAsia="arial" w:hAnsi="arial" w:cs="arial"/>
          <w:b w:val="0"/>
          <w:i w:val="0"/>
          <w:strike w:val="0"/>
          <w:noProof w:val="0"/>
          <w:color w:val="000000"/>
          <w:position w:val="0"/>
          <w:sz w:val="20"/>
          <w:u w:val="none"/>
          <w:vertAlign w:val="baseline"/>
        </w:rPr>
        <w:t xml:space="preserve">Third, Song's allegations were speculative and unsupported by "sufficient factual matter." </w:t>
      </w:r>
      <w:hyperlink r:id="rId16" w:history="1">
        <w:r>
          <w:rPr>
            <w:rFonts w:ascii="arial" w:eastAsia="arial" w:hAnsi="arial" w:cs="arial"/>
            <w:b w:val="0"/>
            <w:i/>
            <w:strike w:val="0"/>
            <w:noProof w:val="0"/>
            <w:color w:val="0077CC"/>
            <w:position w:val="0"/>
            <w:sz w:val="20"/>
            <w:u w:val="single"/>
            <w:vertAlign w:val="baseline"/>
          </w:rPr>
          <w:t>Iqbal</w:t>
        </w:r>
      </w:hyperlink>
      <w:hyperlink r:id="rId16"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Song's "vague and conclusory allegations of nefarious intent and motivation by officials" were "insufficient to 'plausibly suggest an entitlement to relief.'" </w:t>
      </w:r>
      <w:hyperlink r:id="rId37" w:history="1">
        <w:r>
          <w:rPr>
            <w:rFonts w:ascii="arial" w:eastAsia="arial" w:hAnsi="arial" w:cs="arial"/>
            <w:b w:val="0"/>
            <w:i/>
            <w:strike w:val="0"/>
            <w:noProof w:val="0"/>
            <w:color w:val="0077CC"/>
            <w:position w:val="0"/>
            <w:sz w:val="20"/>
            <w:u w:val="single"/>
            <w:vertAlign w:val="baseline"/>
          </w:rPr>
          <w:t>Ctr. for Bio-Ethical Reform, Inc. v. Napolitano</w:t>
        </w:r>
      </w:hyperlink>
      <w:hyperlink r:id="rId37" w:history="1">
        <w:r>
          <w:rPr>
            <w:rFonts w:ascii="arial" w:eastAsia="arial" w:hAnsi="arial" w:cs="arial"/>
            <w:b w:val="0"/>
            <w:i/>
            <w:strike w:val="0"/>
            <w:noProof w:val="0"/>
            <w:color w:val="0077CC"/>
            <w:position w:val="0"/>
            <w:sz w:val="20"/>
            <w:u w:val="single"/>
            <w:vertAlign w:val="baseline"/>
          </w:rPr>
          <w:t>, 648 F.3d 365, 377 (6th Cir. 2011)</w:t>
        </w:r>
      </w:hyperlink>
      <w:r>
        <w:rPr>
          <w:rFonts w:ascii="arial" w:eastAsia="arial" w:hAnsi="arial" w:cs="arial"/>
          <w:b w:val="0"/>
          <w:i w:val="0"/>
          <w:strike w:val="0"/>
          <w:noProof w:val="0"/>
          <w:color w:val="000000"/>
          <w:position w:val="0"/>
          <w:sz w:val="20"/>
          <w:u w:val="none"/>
          <w:vertAlign w:val="baseline"/>
        </w:rPr>
        <w:t xml:space="preserve"> (quoting </w:t>
      </w:r>
      <w:hyperlink r:id="rId16" w:history="1">
        <w:r>
          <w:rPr>
            <w:rFonts w:ascii="arial" w:eastAsia="arial" w:hAnsi="arial" w:cs="arial"/>
            <w:b w:val="0"/>
            <w:i/>
            <w:strike w:val="0"/>
            <w:noProof w:val="0"/>
            <w:color w:val="0077CC"/>
            <w:position w:val="0"/>
            <w:sz w:val="20"/>
            <w:u w:val="single"/>
            <w:vertAlign w:val="baseline"/>
          </w:rPr>
          <w:t>Iqbal</w:t>
        </w:r>
      </w:hyperlink>
      <w:hyperlink r:id="rId16" w:history="1">
        <w:r>
          <w:rPr>
            <w:rFonts w:ascii="arial" w:eastAsia="arial" w:hAnsi="arial" w:cs="arial"/>
            <w:b w:val="0"/>
            <w:i/>
            <w:strike w:val="0"/>
            <w:noProof w:val="0"/>
            <w:color w:val="0077CC"/>
            <w:position w:val="0"/>
            <w:sz w:val="20"/>
            <w:u w:val="single"/>
            <w:vertAlign w:val="baseline"/>
          </w:rPr>
          <w:t>, 556 U.S. at 681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Claim E: Interception of Legal Mail</w:t>
      </w:r>
    </w:p>
    <w:p>
      <w:pPr>
        <w:keepNext w:val="0"/>
        <w:spacing w:before="240" w:after="0" w:line="260" w:lineRule="atLeast"/>
        <w:ind w:left="0" w:right="0" w:firstLine="0"/>
        <w:jc w:val="both"/>
      </w:pPr>
      <w:bookmarkStart w:id="31" w:name="Bookmark_para_21"/>
      <w:bookmarkEnd w:id="31"/>
      <w:r>
        <w:rPr>
          <w:rFonts w:ascii="arial" w:eastAsia="arial" w:hAnsi="arial" w:cs="arial"/>
          <w:b w:val="0"/>
          <w:i w:val="0"/>
          <w:strike w:val="0"/>
          <w:noProof w:val="0"/>
          <w:color w:val="000000"/>
          <w:position w:val="0"/>
          <w:sz w:val="20"/>
          <w:u w:val="none"/>
          <w:vertAlign w:val="baseline"/>
        </w:rPr>
        <w:t xml:space="preserve">In support of his claim that the defendants intercepted his legal mail, Song alleged that he gave his original complaint in this case to Case Manager O'Daniel for mailing on February 12, 2021, and that the defendants delayed mailing it until he filed an emergency grievance on February 23, 2021. As the district court pointed out, the envelope containing Song's complaint was postmarked on February 17, 2021, indicating an ordinary mail delay rather than intentional interception by prison officials. In any event, Song failed to state a claim for denial of access to the courts because the delay between Song's delivery of his complaint to prison officials and the district court's receipt of that complaint did not result in any prejudice to his case. </w:t>
      </w:r>
      <w:r>
        <w:rPr>
          <w:rFonts w:ascii="arial" w:eastAsia="arial" w:hAnsi="arial" w:cs="arial"/>
          <w:b w:val="0"/>
          <w:i/>
          <w:strike w:val="0"/>
          <w:noProof w:val="0"/>
          <w:color w:val="000000"/>
          <w:position w:val="0"/>
          <w:sz w:val="20"/>
          <w:u w:val="none"/>
          <w:vertAlign w:val="baseline"/>
        </w:rPr>
        <w:t xml:space="preserve">See </w:t>
      </w:r>
      <w:hyperlink r:id="rId24" w:history="1">
        <w:r>
          <w:rPr>
            <w:rFonts w:ascii="arial" w:eastAsia="arial" w:hAnsi="arial" w:cs="arial"/>
            <w:b w:val="0"/>
            <w:i/>
            <w:strike w:val="0"/>
            <w:noProof w:val="0"/>
            <w:color w:val="0077CC"/>
            <w:position w:val="0"/>
            <w:sz w:val="20"/>
            <w:u w:val="single"/>
            <w:vertAlign w:val="baseline"/>
          </w:rPr>
          <w:t>Lewis</w:t>
        </w:r>
      </w:hyperlink>
      <w:hyperlink r:id="rId24" w:history="1">
        <w:r>
          <w:rPr>
            <w:rFonts w:ascii="arial" w:eastAsia="arial" w:hAnsi="arial" w:cs="arial"/>
            <w:b w:val="0"/>
            <w:i/>
            <w:strike w:val="0"/>
            <w:noProof w:val="0"/>
            <w:color w:val="0077CC"/>
            <w:position w:val="0"/>
            <w:sz w:val="20"/>
            <w:u w:val="single"/>
            <w:vertAlign w:val="baseline"/>
          </w:rPr>
          <w:t>, 518 U.S. at 351</w:t>
        </w:r>
      </w:hyperlink>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Harbin-Bey v. Rutter</w:t>
        </w:r>
      </w:hyperlink>
      <w:hyperlink r:id="rId38" w:history="1">
        <w:r>
          <w:rPr>
            <w:rFonts w:ascii="arial" w:eastAsia="arial" w:hAnsi="arial" w:cs="arial"/>
            <w:b w:val="0"/>
            <w:i/>
            <w:strike w:val="0"/>
            <w:noProof w:val="0"/>
            <w:color w:val="0077CC"/>
            <w:position w:val="0"/>
            <w:sz w:val="20"/>
            <w:u w:val="single"/>
            <w:vertAlign w:val="baseline"/>
          </w:rPr>
          <w:t>, 420 F.3d 571, 578 (6th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Claim F: Retaliatory Transfer and Withheld Personal Property</w:t>
      </w:r>
    </w:p>
    <w:p>
      <w:pPr>
        <w:keepNext w:val="0"/>
        <w:spacing w:before="240" w:after="0" w:line="260" w:lineRule="atLeast"/>
        <w:ind w:left="0" w:right="0" w:firstLine="0"/>
        <w:jc w:val="both"/>
      </w:pPr>
      <w:bookmarkStart w:id="32" w:name="Bookmark_para_22"/>
      <w:bookmarkEnd w:id="32"/>
      <w:r>
        <w:rPr>
          <w:rFonts w:ascii="arial" w:eastAsia="arial" w:hAnsi="arial" w:cs="arial"/>
          <w:b w:val="0"/>
          <w:i w:val="0"/>
          <w:strike w:val="0"/>
          <w:noProof w:val="0"/>
          <w:color w:val="000000"/>
          <w:position w:val="0"/>
          <w:sz w:val="20"/>
          <w:u w:val="none"/>
          <w:vertAlign w:val="baseline"/>
        </w:rPr>
        <w:t>Song alleged that, after he submitted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 letter complaining about the continued solicitation of tax fraud, he was "[s]udden[ly]" transferred from TTCC to Northwest Correctional Complex. As addressed above, Song's complaint about tax fraud was frivolous and therefore did not constitute protected conduct. </w:t>
      </w:r>
      <w:r>
        <w:rPr>
          <w:rFonts w:ascii="arial" w:eastAsia="arial" w:hAnsi="arial" w:cs="arial"/>
          <w:b w:val="0"/>
          <w:i/>
          <w:strike w:val="0"/>
          <w:noProof w:val="0"/>
          <w:color w:val="000000"/>
          <w:position w:val="0"/>
          <w:sz w:val="20"/>
          <w:u w:val="none"/>
          <w:vertAlign w:val="baseline"/>
        </w:rPr>
        <w:t xml:space="preserve">See </w:t>
      </w:r>
      <w:hyperlink r:id="rId27" w:history="1">
        <w:r>
          <w:rPr>
            <w:rFonts w:ascii="arial" w:eastAsia="arial" w:hAnsi="arial" w:cs="arial"/>
            <w:b w:val="0"/>
            <w:i/>
            <w:strike w:val="0"/>
            <w:noProof w:val="0"/>
            <w:color w:val="0077CC"/>
            <w:position w:val="0"/>
            <w:sz w:val="20"/>
            <w:u w:val="single"/>
            <w:vertAlign w:val="baseline"/>
          </w:rPr>
          <w:t>Herron</w:t>
        </w:r>
      </w:hyperlink>
      <w:hyperlink r:id="rId27" w:history="1">
        <w:r>
          <w:rPr>
            <w:rFonts w:ascii="arial" w:eastAsia="arial" w:hAnsi="arial" w:cs="arial"/>
            <w:b w:val="0"/>
            <w:i/>
            <w:strike w:val="0"/>
            <w:noProof w:val="0"/>
            <w:color w:val="0077CC"/>
            <w:position w:val="0"/>
            <w:sz w:val="20"/>
            <w:u w:val="single"/>
            <w:vertAlign w:val="baseline"/>
          </w:rPr>
          <w:t>, 203 F.3d at 415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23"/>
      <w:bookmarkEnd w:id="33"/>
      <w:r>
        <w:rPr>
          <w:rFonts w:ascii="arial" w:eastAsia="arial" w:hAnsi="arial" w:cs="arial"/>
          <w:b w:val="0"/>
          <w:i w:val="0"/>
          <w:strike w:val="0"/>
          <w:noProof w:val="0"/>
          <w:color w:val="000000"/>
          <w:position w:val="0"/>
          <w:sz w:val="20"/>
          <w:u w:val="none"/>
          <w:vertAlign w:val="baseline"/>
        </w:rPr>
        <w:t>With respect to his claim that the defendants withheld his personal property following his transfer, Song asserts that his property has been returned to him. Song therefore withdraws this issue.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Claim G: TDOC's Cover-Up of CoreCivic's Corruption</w:t>
      </w:r>
    </w:p>
    <w:p>
      <w:pPr>
        <w:keepNext w:val="0"/>
        <w:spacing w:before="240" w:after="0" w:line="260" w:lineRule="atLeast"/>
        <w:ind w:left="0" w:right="0" w:firstLine="0"/>
        <w:jc w:val="both"/>
      </w:pPr>
      <w:bookmarkStart w:id="34" w:name="Bookmark_para_24"/>
      <w:bookmarkEnd w:id="34"/>
      <w:r>
        <w:rPr>
          <w:rFonts w:ascii="arial" w:eastAsia="arial" w:hAnsi="arial" w:cs="arial"/>
          <w:b w:val="0"/>
          <w:i w:val="0"/>
          <w:strike w:val="0"/>
          <w:noProof w:val="0"/>
          <w:color w:val="000000"/>
          <w:position w:val="0"/>
          <w:sz w:val="20"/>
          <w:u w:val="none"/>
          <w:vertAlign w:val="baseline"/>
        </w:rPr>
        <w:t xml:space="preserve">According to Song, TDOC has covered up the "[d]eeply [r]ooted [c]orruption" at TTCC, which is run by CoreCivic. Song alleged that CoreCivic employees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drugs into TTCC and engaged in a "pattern of failure" as shown by Claims A through F and that TDOC must have covered up this corruption because TTCC otherwise would not have been able to survive its audits. The district court construed this claim as asserting a conspiracy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"It is well-settled that conspiracy claims must be pled with some degree of specificity and that vague and conclusory allegations unsupported by material facts will not be sufficient to state such a claim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Gutierrez v. Lynch</w:t>
        </w:r>
      </w:hyperlink>
      <w:hyperlink r:id="rId39" w:history="1">
        <w:r>
          <w:rPr>
            <w:rFonts w:ascii="arial" w:eastAsia="arial" w:hAnsi="arial" w:cs="arial"/>
            <w:b w:val="0"/>
            <w:i/>
            <w:strike w:val="0"/>
            <w:noProof w:val="0"/>
            <w:color w:val="0077CC"/>
            <w:position w:val="0"/>
            <w:sz w:val="20"/>
            <w:u w:val="single"/>
            <w:vertAlign w:val="baseline"/>
          </w:rPr>
          <w:t>, 826 F.2d 1534, 1538 (6th Cir. 1987)</w:t>
        </w:r>
      </w:hyperlink>
      <w:r>
        <w:rPr>
          <w:rFonts w:ascii="arial" w:eastAsia="arial" w:hAnsi="arial" w:cs="arial"/>
          <w:b w:val="0"/>
          <w:i w:val="0"/>
          <w:strike w:val="0"/>
          <w:noProof w:val="0"/>
          <w:color w:val="000000"/>
          <w:position w:val="0"/>
          <w:sz w:val="20"/>
          <w:u w:val="none"/>
          <w:vertAlign w:val="baseline"/>
        </w:rPr>
        <w:t>. Song's speculative allegations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lacked the required specificity. Furthermore, because Song's underlying constitutional claims failed, his conspiracy claim also failed. </w:t>
      </w:r>
      <w:r>
        <w:rPr>
          <w:rFonts w:ascii="arial" w:eastAsia="arial" w:hAnsi="arial" w:cs="arial"/>
          <w:b w:val="0"/>
          <w:i/>
          <w:strike w:val="0"/>
          <w:noProof w:val="0"/>
          <w:color w:val="000000"/>
          <w:position w:val="0"/>
          <w:sz w:val="20"/>
          <w:u w:val="none"/>
          <w:vertAlign w:val="baseline"/>
        </w:rPr>
        <w:t xml:space="preserve">See </w:t>
      </w:r>
      <w:hyperlink r:id="rId40" w:history="1">
        <w:r>
          <w:rPr>
            <w:rFonts w:ascii="arial" w:eastAsia="arial" w:hAnsi="arial" w:cs="arial"/>
            <w:b w:val="0"/>
            <w:i/>
            <w:strike w:val="0"/>
            <w:noProof w:val="0"/>
            <w:color w:val="0077CC"/>
            <w:position w:val="0"/>
            <w:sz w:val="20"/>
            <w:u w:val="single"/>
            <w:vertAlign w:val="baseline"/>
          </w:rPr>
          <w:t>Stricker v. Township of Cambridge</w:t>
        </w:r>
      </w:hyperlink>
      <w:hyperlink r:id="rId40" w:history="1">
        <w:r>
          <w:rPr>
            <w:rFonts w:ascii="arial" w:eastAsia="arial" w:hAnsi="arial" w:cs="arial"/>
            <w:b w:val="0"/>
            <w:i/>
            <w:strike w:val="0"/>
            <w:noProof w:val="0"/>
            <w:color w:val="0077CC"/>
            <w:position w:val="0"/>
            <w:sz w:val="20"/>
            <w:u w:val="single"/>
            <w:vertAlign w:val="baseline"/>
          </w:rPr>
          <w:t>, 710 F.3d 350, 365 (6th Cir.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25"/>
      <w:bookmarkEnd w:id="35"/>
      <w:r>
        <w:rPr>
          <w:rFonts w:ascii="arial" w:eastAsia="arial" w:hAnsi="arial" w:cs="arial"/>
          <w:b w:val="0"/>
          <w:i w:val="0"/>
          <w:strike w:val="0"/>
          <w:noProof w:val="0"/>
          <w:color w:val="000000"/>
          <w:position w:val="0"/>
          <w:sz w:val="20"/>
          <w:u w:val="none"/>
          <w:vertAlign w:val="baseline"/>
        </w:rPr>
        <w:t xml:space="preserve">For these reasons, 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the district court's judgment dismissing Song's civil rights action.</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 Bok Song v. Parker, 2023 U.S. App. LEXIS 5564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4TJ-RCY1-F016-S4DS-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SG9-5HW2-D6RV-H0RM-00000-00&amp;context=1519360" TargetMode="External" /><Relationship Id="rId13" Type="http://schemas.openxmlformats.org/officeDocument/2006/relationships/hyperlink" Target="https://advance.lexis.com/api/document?collection=statutes-legislation&amp;id=urn:contentItem:8SHT-0712-D6RV-H531-00000-00&amp;context=1519360" TargetMode="External" /><Relationship Id="rId14" Type="http://schemas.openxmlformats.org/officeDocument/2006/relationships/hyperlink" Target="https://advance.lexis.com/api/document?collection=cases&amp;id=urn:contentItem:55KX-R9J1-F04K-P0BS-00000-00&amp;context=1519360" TargetMode="External" /><Relationship Id="rId15" Type="http://schemas.openxmlformats.org/officeDocument/2006/relationships/hyperlink" Target="https://advance.lexis.com/api/document?collection=cases&amp;id=urn:contentItem:51TH-F6M1-652R-4001-00000-00&amp;context=1519360" TargetMode="External" /><Relationship Id="rId16" Type="http://schemas.openxmlformats.org/officeDocument/2006/relationships/hyperlink" Target="https://advance.lexis.com/api/document?collection=cases&amp;id=urn:contentItem:4W9Y-4KS0-TXFX-1325-00000-00&amp;context=1519360" TargetMode="External" /><Relationship Id="rId17" Type="http://schemas.openxmlformats.org/officeDocument/2006/relationships/hyperlink" Target="https://advance.lexis.com/api/document?collection=cases&amp;id=urn:contentItem:55SM-6W01-F04K-P0M4-00000-00&amp;context=1519360" TargetMode="External" /><Relationship Id="rId18" Type="http://schemas.openxmlformats.org/officeDocument/2006/relationships/hyperlink" Target="https://advance.lexis.com/api/document?collection=cases&amp;id=urn:contentItem:5JSS-2DD1-F04K-F00N-00000-00&amp;context=1519360" TargetMode="External" /><Relationship Id="rId19" Type="http://schemas.openxmlformats.org/officeDocument/2006/relationships/hyperlink" Target="https://advance.lexis.com/api/document?collection=cases&amp;id=urn:contentItem:3S4X-8SH0-003B-53SS-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53-89K0-004C-1007-00000-00&amp;context=1519360" TargetMode="External" /><Relationship Id="rId21" Type="http://schemas.openxmlformats.org/officeDocument/2006/relationships/hyperlink" Target="https://advance.lexis.com/api/document?collection=cases&amp;id=urn:contentItem:60XD-05S1-JYYX-60CP-00000-00&amp;context=1519360" TargetMode="External" /><Relationship Id="rId22" Type="http://schemas.openxmlformats.org/officeDocument/2006/relationships/hyperlink" Target="https://advance.lexis.com/api/document?collection=cases&amp;id=urn:contentItem:612V-MBW1-JNY7-X003-00000-00&amp;context=1519360" TargetMode="External" /><Relationship Id="rId23" Type="http://schemas.openxmlformats.org/officeDocument/2006/relationships/hyperlink" Target="https://advance.lexis.com/api/document?collection=cases&amp;id=urn:contentItem:611C-3041-JC0G-63YX-00000-00&amp;context=1519360" TargetMode="External" /><Relationship Id="rId24" Type="http://schemas.openxmlformats.org/officeDocument/2006/relationships/hyperlink" Target="https://advance.lexis.com/api/document?collection=cases&amp;id=urn:contentItem:3S04-RP80-003B-R23X-00000-00&amp;context=1519360" TargetMode="External" /><Relationship Id="rId25" Type="http://schemas.openxmlformats.org/officeDocument/2006/relationships/hyperlink" Target="https://advance.lexis.com/api/document?collection=statutes-legislation&amp;id=urn:contentItem:8T9R-T2X2-D6RV-H374-00000-00&amp;context=1519360" TargetMode="External" /><Relationship Id="rId26" Type="http://schemas.openxmlformats.org/officeDocument/2006/relationships/hyperlink" Target="https://advance.lexis.com/api/document?collection=cases&amp;id=urn:contentItem:3VYT-J460-0038-X3J3-00000-00&amp;context=1519360" TargetMode="External" /><Relationship Id="rId27" Type="http://schemas.openxmlformats.org/officeDocument/2006/relationships/hyperlink" Target="https://advance.lexis.com/api/document?collection=cases&amp;id=urn:contentItem:3YJY-NVY0-0038-X0W8-00000-00&amp;context=1519360" TargetMode="External" /><Relationship Id="rId28" Type="http://schemas.openxmlformats.org/officeDocument/2006/relationships/hyperlink" Target="https://advance.lexis.com/api/document?collection=cases&amp;id=urn:contentItem:6234-7SW1-DY89-M45T-00000-00&amp;context=1519360" TargetMode="External" /><Relationship Id="rId29" Type="http://schemas.openxmlformats.org/officeDocument/2006/relationships/hyperlink" Target="https://advance.lexis.com/api/document?collection=cases&amp;id=urn:contentItem:3S4X-BD10-003B-4264-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7XR2-9YW0-YB0V-J00C-00000-00&amp;context=1519360" TargetMode="External" /><Relationship Id="rId31" Type="http://schemas.openxmlformats.org/officeDocument/2006/relationships/hyperlink" Target="https://advance.lexis.com/api/document?collection=cases&amp;id=urn:contentItem:4SGV-4MF0-TXFX-83DY-00000-00&amp;context=1519360" TargetMode="External" /><Relationship Id="rId32" Type="http://schemas.openxmlformats.org/officeDocument/2006/relationships/hyperlink" Target="https://advance.lexis.com/api/document?collection=cases&amp;id=urn:contentItem:3S0D-H4X0-003B-R24N-00000-00&amp;context=1519360" TargetMode="External" /><Relationship Id="rId33" Type="http://schemas.openxmlformats.org/officeDocument/2006/relationships/hyperlink" Target="https://advance.lexis.com/api/document?collection=cases&amp;id=urn:contentItem:4GC2-DJJ0-TVRV-B39N-00000-00&amp;context=1519360" TargetMode="External" /><Relationship Id="rId34" Type="http://schemas.openxmlformats.org/officeDocument/2006/relationships/hyperlink" Target="https://advance.lexis.com/api/document?collection=statutes-legislation&amp;id=urn:contentItem:8T9R-T5M2-D6RV-H38C-00000-00&amp;context=1519360" TargetMode="External" /><Relationship Id="rId35" Type="http://schemas.openxmlformats.org/officeDocument/2006/relationships/hyperlink" Target="https://advance.lexis.com/api/document?collection=cases&amp;id=urn:contentItem:3S4X-38T0-003B-S2X7-00000-00&amp;context=1519360" TargetMode="External" /><Relationship Id="rId36" Type="http://schemas.openxmlformats.org/officeDocument/2006/relationships/hyperlink" Target="https://advance.lexis.com/api/document?collection=statutes-legislation&amp;id=urn:contentItem:4X8K-W860-R03K-04S1-00000-00&amp;context=1519360" TargetMode="External" /><Relationship Id="rId37" Type="http://schemas.openxmlformats.org/officeDocument/2006/relationships/hyperlink" Target="https://advance.lexis.com/api/document?collection=cases&amp;id=urn:contentItem:82W7-N2X1-652R-40B7-00000-00&amp;context=1519360" TargetMode="External" /><Relationship Id="rId38" Type="http://schemas.openxmlformats.org/officeDocument/2006/relationships/hyperlink" Target="https://advance.lexis.com/api/document?collection=cases&amp;id=urn:contentItem:4GX1-WDP0-0038-X2CT-00000-00&amp;context=1519360" TargetMode="External" /><Relationship Id="rId39" Type="http://schemas.openxmlformats.org/officeDocument/2006/relationships/hyperlink" Target="https://advance.lexis.com/api/document?collection=cases&amp;id=urn:contentItem:3S4X-7T80-001B-K4CC-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57H1-PXH1-F04K-P3PW-00000-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R8-F651-JJSF-22GN-00000-00&amp;context=1519360" TargetMode="External" /><Relationship Id="rId9" Type="http://schemas.openxmlformats.org/officeDocument/2006/relationships/hyperlink" Target="https://advance.lexis.com/api/document?collection=cases&amp;id=urn:contentItem:69DF-2MG1-F5DR-22P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Bok Song v. Parker, 2023 U.S. App. LEXIS 5564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Doc::urn:hlct:5|contextualFeaturePermID::1519360</vt:lpwstr>
  </property>
  <property fmtid="{D5CDD505-2E9C-101B-9397-08002B2CF9AE}" pid="5" name="UserPermID">
    <vt:lpwstr>urn:user:PA186186283</vt:lpwstr>
  </property>
</Properties>
</file>