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Amieva-Castaneda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23-3036</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31775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OSWALD AMIEVA-CASTANEDA, Petitioner, v. MERRICK B. GARLAND,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FROM THE UNITED STATES BOARD OF IMMIGRATION APPEALS.</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removal, social group, cancellation, torture, persecution, cartels, withholding, acquiesce, immigration, cognizable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An appellate court reviews the Board of Immigration Appeals' (BIA) legal conclusions de novo and its factual findings under the substantial-evidence standard, under which an appellate court upholds the BIA's decision if it is supported by reasonable, substantial, and probative evidence on the record considered as a whole. Administrative findings of fact are conclusive unless any reasonable adjudicator would be compelled to conclude to the contrary. If the BIA reviewed the IJ's decision de novo and issued its own separate opinion, an appellate court reviews the BIA's opinion as the final agency determination. To the extent the BIA adopted the immigration judge's reasoning, an appellate court also reviews the immigration judge's decision.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A showing of admissibility is not required to obtain cancellation of removal under </w:t>
      </w:r>
      <w:hyperlink r:id="rId12" w:history="1">
        <w:r>
          <w:rPr>
            <w:rFonts w:ascii="arial" w:eastAsia="arial" w:hAnsi="arial" w:cs="arial"/>
            <w:b w:val="0"/>
            <w:i/>
            <w:strike w:val="0"/>
            <w:noProof w:val="0"/>
            <w:color w:val="0077CC"/>
            <w:position w:val="0"/>
            <w:sz w:val="20"/>
            <w:u w:val="single"/>
            <w:vertAlign w:val="baseline"/>
          </w:rPr>
          <w:t>8 U.S.C.S. § 1229b(b)</w:t>
        </w:r>
      </w:hyperlink>
      <w:r>
        <w:rPr>
          <w:rFonts w:ascii="arial" w:eastAsia="arial" w:hAnsi="arial" w:cs="arial"/>
          <w:b w:val="0"/>
          <w:i w:val="0"/>
          <w:strike w:val="0"/>
          <w:noProof w:val="0"/>
          <w:color w:val="000000"/>
          <w:position w:val="0"/>
          <w:sz w:val="20"/>
          <w:u w:val="none"/>
          <w:vertAlign w:val="baseline"/>
        </w:rPr>
        <w:t>; rather, an applicant must prove the absence of a disqualifying conviction.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Arbitrary &amp; Capricious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Deference to Agency Statutory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Statutory Application &amp; Interpretation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Arbitrary &amp; Capricious Standard of Review</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An appellate court gives substantial deference to the Board of Immigration Appeals' (BIA) interpretation of the immigration statutes and accompanying regulations. An appellate court will uphold the BIA's interpretation of a statute unless the interpretation is arbitrary, capricious, or manifestly contrary to the statute.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Eligibility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Restriction on Removal, Eligibility Requirements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To qualify for withholding of removal, an applicant must establish a clear probability that his life or freedom will be threatened because of his membership in a particular social group if he returns to the proposed country of removal. A clear probability means that it is more likely than not that the applicant would be subject to persecution in the country of removal. Persecution requires physical punishment, infliction of harm, or significant deprivation of liberty, and includes detention, arrest, interrogation, prosecution, imprisonment, illegal searches, confiscation of property, surveillance, beatings, or torture. Additionally, an applicant must establish a nexus between the claimed persecution and his membership in the particular social group. Withholding of removal is not available to an alien who fears retribution solely over personal matters.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Convention Against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Torture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Refugees &amp; Related Relief, Convention Against Torture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To qualify for Convention Against Torture (CAT) relief, an applicant must establish that it is more likely than not that he would be tortured by or with the acquiescence of a public official if deported to the country of removal. </w:t>
      </w:r>
      <w:r>
        <w:rPr>
          <w:rFonts w:ascii="arial" w:eastAsia="arial" w:hAnsi="arial" w:cs="arial"/>
          <w:b w:val="0"/>
          <w:i/>
          <w:strike w:val="0"/>
          <w:noProof w:val="0"/>
          <w:color w:val="000000"/>
          <w:position w:val="0"/>
          <w:sz w:val="20"/>
          <w:u w:val="none"/>
          <w:vertAlign w:val="baseline"/>
        </w:rPr>
        <w:t>8 C.F.R. § 1208.16(c)(2)</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C.F.R. § 1208.18(a)</w:t>
        </w:r>
      </w:hyperlink>
      <w:r>
        <w:rPr>
          <w:rFonts w:ascii="arial" w:eastAsia="arial" w:hAnsi="arial" w:cs="arial"/>
          <w:b w:val="0"/>
          <w:i w:val="0"/>
          <w:strike w:val="0"/>
          <w:noProof w:val="0"/>
          <w:color w:val="000000"/>
          <w:position w:val="0"/>
          <w:sz w:val="20"/>
          <w:u w:val="none"/>
          <w:vertAlign w:val="baseline"/>
        </w:rPr>
        <w:t xml:space="preserve">. Torture is an extreme form of cruel and inhuman treatment and does not include lesser forms of cruel, inhuman or degrading treatment or punishment that do not amount to torture. </w:t>
      </w:r>
      <w:hyperlink r:id="rId16" w:history="1">
        <w:r>
          <w:rPr>
            <w:rFonts w:ascii="arial" w:eastAsia="arial" w:hAnsi="arial" w:cs="arial"/>
            <w:b w:val="0"/>
            <w:i/>
            <w:strike w:val="0"/>
            <w:noProof w:val="0"/>
            <w:color w:val="0077CC"/>
            <w:position w:val="0"/>
            <w:sz w:val="20"/>
            <w:u w:val="single"/>
            <w:vertAlign w:val="baseline"/>
          </w:rPr>
          <w:t>8 C.F.R. § 1208.18(a)(2)</w:t>
        </w:r>
      </w:hyperlink>
      <w:r>
        <w:rPr>
          <w:rFonts w:ascii="arial" w:eastAsia="arial" w:hAnsi="arial" w:cs="arial"/>
          <w:b w:val="0"/>
          <w:i w:val="0"/>
          <w:strike w:val="0"/>
          <w:noProof w:val="0"/>
          <w:color w:val="000000"/>
          <w:position w:val="0"/>
          <w:sz w:val="20"/>
          <w:u w:val="none"/>
          <w:vertAlign w:val="baseline"/>
        </w:rPr>
        <w:t xml:space="preserve">. Acquiescence of a public official requires that the public official, prior to the activity constituting torture, have awareness of such activity and thereafter breach his or her legal responsibility to intervene to prevent such activity. </w:t>
      </w:r>
      <w:hyperlink r:id="rId16" w:history="1">
        <w:r>
          <w:rPr>
            <w:rFonts w:ascii="arial" w:eastAsia="arial" w:hAnsi="arial" w:cs="arial"/>
            <w:b w:val="0"/>
            <w:i/>
            <w:strike w:val="0"/>
            <w:noProof w:val="0"/>
            <w:color w:val="0077CC"/>
            <w:position w:val="0"/>
            <w:sz w:val="20"/>
            <w:u w:val="single"/>
            <w:vertAlign w:val="baseline"/>
          </w:rPr>
          <w:t>8 C.F.R. § 1208.18(a)(7)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OSWALD AMIEVA-CASTANEDA, Petitioner: Margaret W. Wong, Margaret Wong &amp; Associates, Cleveland,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B. GARLAND, U.S. Attorney General, Respondent: Kathryn McKinney, Office of Immigration Litigation, U.S. Department of Justice, Civil Division, Office of Immigration Litigation, Washington, DC.</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SUTTON, Chief Judge; SUHRHEINRICH and DAVIS, Circuit Judges.</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1" w:name="Bookmark_para_3"/>
      <w:bookmarkEnd w:id="21"/>
      <w:r>
        <w:rPr>
          <w:rFonts w:ascii="arial" w:eastAsia="arial" w:hAnsi="arial" w:cs="arial"/>
          <w:b w:val="0"/>
          <w:i w:val="0"/>
          <w:strike w:val="0"/>
          <w:noProof w:val="0"/>
          <w:color w:val="000000"/>
          <w:position w:val="0"/>
          <w:sz w:val="20"/>
          <w:u w:val="none"/>
          <w:vertAlign w:val="baseline"/>
        </w:rPr>
        <w:t xml:space="preserve">Oswald Amieva-Castaneda, through counsel, appeals an order of the Board of Immigration Appeals ("BIA") dismissing his appeal of an immigration judge's ("IJ") decision pretermitting his application for cancellation of removal and denying his applications for withholding of removal and protection under the Convention Against Torture ("CAT"). The parties have waived oral argument, and the panel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 We deny Amieva's petition for review for the reasons that follow.</w:t>
      </w:r>
    </w:p>
    <w:p>
      <w:pPr>
        <w:keepNext w:val="0"/>
        <w:spacing w:before="200" w:after="0" w:line="260" w:lineRule="atLeast"/>
        <w:ind w:left="0" w:right="0" w:firstLine="0"/>
        <w:jc w:val="both"/>
      </w:pPr>
      <w:bookmarkStart w:id="22" w:name="Bookmark_para_4"/>
      <w:bookmarkEnd w:id="22"/>
      <w:r>
        <w:rPr>
          <w:rFonts w:ascii="arial" w:eastAsia="arial" w:hAnsi="arial" w:cs="arial"/>
          <w:b w:val="0"/>
          <w:i w:val="0"/>
          <w:strike w:val="0"/>
          <w:noProof w:val="0"/>
          <w:color w:val="000000"/>
          <w:position w:val="0"/>
          <w:sz w:val="20"/>
          <w:u w:val="none"/>
          <w:vertAlign w:val="baseline"/>
        </w:rPr>
        <w:t>Amieva is a native and citizen of Mexico. He entered the United States illegally in 2000 when he was 17 years old. In 2011, Amieva was convicted of attempted identity theft in Kentucky and received a suspended sentence of 11 months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imprisonment. In 2012, the Department of Homeland Security served Amieva with a notice to appear, charging him with removability as a person who had entered the United States without admission or parole.</w:t>
      </w:r>
    </w:p>
    <w:p>
      <w:pPr>
        <w:keepNext w:val="0"/>
        <w:spacing w:before="240" w:after="0" w:line="260" w:lineRule="atLeast"/>
        <w:ind w:left="0" w:right="0" w:firstLine="0"/>
        <w:jc w:val="both"/>
      </w:pPr>
      <w:bookmarkStart w:id="23" w:name="Bookmark_para_5"/>
      <w:bookmarkEnd w:id="23"/>
      <w:bookmarkStart w:id="24" w:name="Bookmark_I69T29232D6MV50020000400"/>
      <w:bookmarkEnd w:id="24"/>
      <w:r>
        <w:rPr>
          <w:rFonts w:ascii="arial" w:eastAsia="arial" w:hAnsi="arial" w:cs="arial"/>
          <w:b w:val="0"/>
          <w:i w:val="0"/>
          <w:strike w:val="0"/>
          <w:noProof w:val="0"/>
          <w:color w:val="000000"/>
          <w:position w:val="0"/>
          <w:sz w:val="20"/>
          <w:u w:val="none"/>
          <w:vertAlign w:val="baseline"/>
        </w:rPr>
        <w:t xml:space="preserve">Represented by counsel, Amieva conceded removability, designated Mexico as the country of removal, and applied for hardship cancellation of removal. On motion of the government, the IJ pretermitted Amieva's application because his attempted-identity-theft conviction, which was a crime of moral turpitude, made him statutorily ineligible for cancellation of removal.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8 C.F.R. § 240.66(c)</w:t>
        </w:r>
      </w:hyperlink>
      <w:r>
        <w:rPr>
          <w:rFonts w:ascii="arial" w:eastAsia="arial" w:hAnsi="arial" w:cs="arial"/>
          <w:b w:val="0"/>
          <w:i w:val="0"/>
          <w:strike w:val="0"/>
          <w:noProof w:val="0"/>
          <w:color w:val="000000"/>
          <w:position w:val="0"/>
          <w:sz w:val="20"/>
          <w:u w:val="none"/>
          <w:vertAlign w:val="baseline"/>
        </w:rPr>
        <w:t xml:space="preserve">; </w:t>
      </w:r>
      <w:bookmarkStart w:id="25" w:name="Bookmark_I69T29232D6MV50010000400"/>
      <w:bookmarkEnd w:id="25"/>
      <w:hyperlink r:id="rId18" w:history="1">
        <w:r>
          <w:rPr>
            <w:rFonts w:ascii="arial" w:eastAsia="arial" w:hAnsi="arial" w:cs="arial"/>
            <w:b w:val="0"/>
            <w:i/>
            <w:strike w:val="0"/>
            <w:noProof w:val="0"/>
            <w:color w:val="0077CC"/>
            <w:position w:val="0"/>
            <w:sz w:val="20"/>
            <w:u w:val="single"/>
            <w:vertAlign w:val="baseline"/>
          </w:rPr>
          <w:t>Novatchinski v. Holder</w:t>
        </w:r>
      </w:hyperlink>
      <w:hyperlink r:id="rId18" w:history="1">
        <w:r>
          <w:rPr>
            <w:rFonts w:ascii="arial" w:eastAsia="arial" w:hAnsi="arial" w:cs="arial"/>
            <w:b w:val="0"/>
            <w:i/>
            <w:strike w:val="0"/>
            <w:noProof w:val="0"/>
            <w:color w:val="0077CC"/>
            <w:position w:val="0"/>
            <w:sz w:val="20"/>
            <w:u w:val="single"/>
            <w:vertAlign w:val="baseline"/>
          </w:rPr>
          <w:t>, 516 F. App'x 526, 528 (6th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 xml:space="preserve">Amieva also applied for withholding of removal and protection under the CAT. Amieva claimed that, as a child, he was sexually abused by his babysitter. Additionally, Amieva stated that he was afraid to return to Mexico because the drug cartels might kill or kidnap him, or they would try to recruit him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and guns because of his long-term United States residency. He asserted that the Mexican police would not protect him because they are corrupt and work with the cartels. Accordingly, Amieva claimed protection as a Mexican returning to Mexico after living ten or more years in the United States.</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During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evidentiary hearing on his two applications, Amieva recounted that his babysitter sexually abused him as a child. Amieva also testified that when he was 14 years old, a man named Arturo Sosa beat him up because there was a rumor that Amieva went out with Sosa's girlfriend. Amieva also said that the person who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him into the United States brandished a pistol and threatened to kill anyone who informed on him. In 2002, Amieva's cousin was murdered in Mexico City during a robbery. The police investigated but did not find the murderers. In 2006, one of the cartels kidnapped another of Amieva's cousins and did not release him until the family paid a $20,000 ransom. Amieva knew of five people from his hometown of Veracruz who had been recruited by the Zetas cartel to carry out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because they had lived in the United States for a long time. He was afraid that the same thing would happen to him. Amieva said that the Zetas could easily identify him as someone who had lived in the United States by the way he speaks and because his daughter does not speak Spanish and appears to be an American. He was afraid that the Zetas would harm or kill him if he refused to work for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them. Amieva claimed that he could not safely relocate anywhere in Mexico because the cartels would still be able to identify him as someone who had lived in the United States.</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The IJ found that Amieva testified credibly. The IJ also found that the sexual abuse that Amieva experienced amounted to persecution, but that this abuse was not related to a protected ground or Amieva's membership in a particular social group. Further, the IJ concluded that the incident with Arturo Sosa did not rise to the level of persecution and that the threat from the smuggler was not based on Amieva's particular social group. The IJ found that Amieva reasonably feared that he would be harmed in Mexico. Nevertheless, the IJ concluded that Amieva failed to show a nexus between that harm and his particular social group or that the harm would occur at the hands of the Mexican government or an agent that the government was unwilling to control. Additionally, the IJ ruled that Amieva's claimed particular social group was not cognizable because it was vague and uncertain and lacked social distinction. In support of the latter conclusion, the IJ remarked that "there is no way that anyone would be able to look 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respondent and tell that he has been in the United States ten years or more." (A.R. 54). Finally, the IJ concluded that the Mexican government would not acquiesce in Amieva's torture because it had passed legislation to increase the army's role in providing public security and to prohibit forced disappearances. Accordingly, the IJ denied Amieva withholding of removal and CAT protection.</w:t>
      </w:r>
    </w:p>
    <w:p>
      <w:pPr>
        <w:keepNext w:val="0"/>
        <w:spacing w:before="240" w:after="0" w:line="260" w:lineRule="atLeast"/>
        <w:ind w:left="0" w:right="0" w:firstLine="0"/>
        <w:jc w:val="both"/>
      </w:pPr>
      <w:bookmarkStart w:id="29" w:name="Bookmark_para_9"/>
      <w:bookmarkEnd w:id="29"/>
      <w:bookmarkStart w:id="30" w:name="Bookmark_I69T29232D6MV50040000400"/>
      <w:bookmarkEnd w:id="30"/>
      <w:r>
        <w:rPr>
          <w:rFonts w:ascii="arial" w:eastAsia="arial" w:hAnsi="arial" w:cs="arial"/>
          <w:b w:val="0"/>
          <w:i w:val="0"/>
          <w:strike w:val="0"/>
          <w:noProof w:val="0"/>
          <w:color w:val="000000"/>
          <w:position w:val="0"/>
          <w:sz w:val="20"/>
          <w:u w:val="none"/>
          <w:vertAlign w:val="baseline"/>
        </w:rPr>
        <w:t xml:space="preserve">In his appeal to the BIA, Amieva argued that the IJ erred in pretermitting his application for cancellation of removal. He contended that the provisions for extreme hardship waiver of inadmissibility, which are available even to an applicant who has been convicted of a crime of moral turpitude,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1182(h)(1)(B)</w:t>
        </w:r>
      </w:hyperlink>
      <w:r>
        <w:rPr>
          <w:rFonts w:ascii="arial" w:eastAsia="arial" w:hAnsi="arial" w:cs="arial"/>
          <w:b w:val="0"/>
          <w:i w:val="0"/>
          <w:strike w:val="0"/>
          <w:noProof w:val="0"/>
          <w:color w:val="000000"/>
          <w:position w:val="0"/>
          <w:sz w:val="20"/>
          <w:u w:val="none"/>
          <w:vertAlign w:val="baseline"/>
        </w:rPr>
        <w:t xml:space="preserve">; </w:t>
      </w:r>
      <w:bookmarkStart w:id="31" w:name="Bookmark_I69T29232D6MV50030000400"/>
      <w:bookmarkEnd w:id="31"/>
      <w:hyperlink r:id="rId20" w:history="1">
        <w:r>
          <w:rPr>
            <w:rFonts w:ascii="arial" w:eastAsia="arial" w:hAnsi="arial" w:cs="arial"/>
            <w:b w:val="0"/>
            <w:i/>
            <w:strike w:val="0"/>
            <w:noProof w:val="0"/>
            <w:color w:val="0077CC"/>
            <w:position w:val="0"/>
            <w:sz w:val="20"/>
            <w:u w:val="single"/>
            <w:vertAlign w:val="baseline"/>
          </w:rPr>
          <w:t>Palma-Martinez v. Lynch</w:t>
        </w:r>
      </w:hyperlink>
      <w:hyperlink r:id="rId20" w:history="1">
        <w:r>
          <w:rPr>
            <w:rFonts w:ascii="arial" w:eastAsia="arial" w:hAnsi="arial" w:cs="arial"/>
            <w:b w:val="0"/>
            <w:i/>
            <w:strike w:val="0"/>
            <w:noProof w:val="0"/>
            <w:color w:val="0077CC"/>
            <w:position w:val="0"/>
            <w:sz w:val="20"/>
            <w:u w:val="single"/>
            <w:vertAlign w:val="baseline"/>
          </w:rPr>
          <w:t>, 785 F.3d 1147, 1149 (7th Cir. 2015)</w:t>
        </w:r>
      </w:hyperlink>
      <w:r>
        <w:rPr>
          <w:rFonts w:ascii="arial" w:eastAsia="arial" w:hAnsi="arial" w:cs="arial"/>
          <w:b w:val="0"/>
          <w:i w:val="0"/>
          <w:strike w:val="0"/>
          <w:noProof w:val="0"/>
          <w:color w:val="000000"/>
          <w:position w:val="0"/>
          <w:sz w:val="20"/>
          <w:u w:val="none"/>
          <w:vertAlign w:val="baseline"/>
        </w:rPr>
        <w:t xml:space="preserve">, should also apply to cancellation of removal because "cancellation" is a type of "adjustment." But the BIA concluded that a waiver under </w:t>
      </w:r>
      <w:hyperlink r:id="rId19" w:history="1">
        <w:r>
          <w:rPr>
            <w:rFonts w:ascii="arial" w:eastAsia="arial" w:hAnsi="arial" w:cs="arial"/>
            <w:b w:val="0"/>
            <w:i/>
            <w:strike w:val="0"/>
            <w:noProof w:val="0"/>
            <w:color w:val="0077CC"/>
            <w:position w:val="0"/>
            <w:sz w:val="20"/>
            <w:u w:val="single"/>
            <w:vertAlign w:val="baseline"/>
          </w:rPr>
          <w:t>§ 1182(h)(1)(B)</w:t>
        </w:r>
      </w:hyperlink>
      <w:r>
        <w:rPr>
          <w:rFonts w:ascii="arial" w:eastAsia="arial" w:hAnsi="arial" w:cs="arial"/>
          <w:b w:val="0"/>
          <w:i w:val="0"/>
          <w:strike w:val="0"/>
          <w:noProof w:val="0"/>
          <w:color w:val="000000"/>
          <w:position w:val="0"/>
          <w:sz w:val="20"/>
          <w:u w:val="none"/>
          <w:vertAlign w:val="baseline"/>
        </w:rPr>
        <w:t xml:space="preserve"> is only available to persons who are applying for a visa, admission, or adjustment of status and found that Amieva did not fall into any of these categories. Moreover, the BIA held that a person applying for cancellation of removal, like Amieva, is not applying for adjustment of status. The BIA therefore rejected this argument.</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Amieva also argued that the IJ erred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denying him withholding of removal and CAT protection. Amieva contended that by allegedly conflating "social distinction" with "social visibility," the IJ applied an incorrect standard in ruling that his particular social group was not cognizable. Further, Amieva argued that the IJ erred in concluding that legislation prohibiting forced disappearances and increasing the military's role in security showed that the Mexican government would not acquiesce in his torture.</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Adopting the IJ's findings and conclusions, the BIA agreed that Amieva had not established a clear probability that he would be persecuted in Mexico based on a protected ground. The BIA also ruled that Amieva's particular social group was not cognizable because it lacked particularity and social distinction. Additionally, the BIA concluded that Amieva's fear of generalized violence in Mexico was insufficient to grant withholding of removal. Lastly, the BIA agreed with the IJ's determination that the Mexican government would not acquiesce in Amieva's torture by the cartels or the police. Accordingly, the BIA dismissed Amieva's appeal.</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In his timely petition for review, Amieva reasserts the same arguments that he raised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his appeal to the BIA.</w:t>
      </w:r>
    </w:p>
    <w:p>
      <w:pPr>
        <w:keepNext w:val="0"/>
        <w:spacing w:before="240" w:after="0" w:line="260" w:lineRule="atLeast"/>
        <w:ind w:left="0" w:right="0" w:firstLine="0"/>
        <w:jc w:val="both"/>
      </w:pPr>
      <w:bookmarkStart w:id="35" w:name="Bookmark_para_13"/>
      <w:bookmarkEnd w:id="35"/>
      <w:bookmarkStart w:id="36" w:name="Bookmark_I69T29232N1PMK0010000400"/>
      <w:bookmarkEnd w:id="36"/>
      <w:bookmarkStart w:id="37" w:name="Bookmark_I69T29242SF87S0020000400"/>
      <w:bookmarkEnd w:id="37"/>
      <w:bookmarkStart w:id="38" w:name="Bookmark_I69T29242SF87S0040000400"/>
      <w:bookmarkEnd w:id="38"/>
      <w:bookmarkStart w:id="39" w:name="Bookmark_LNHNREFclscc1"/>
      <w:bookmarkEnd w:id="39"/>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review the BIA's legal conclusions de novo, </w:t>
      </w:r>
      <w:bookmarkStart w:id="40" w:name="Bookmark_I69T29232D6MV50050000400"/>
      <w:bookmarkEnd w:id="40"/>
      <w:hyperlink r:id="rId23" w:history="1">
        <w:r>
          <w:rPr>
            <w:rFonts w:ascii="arial" w:eastAsia="arial" w:hAnsi="arial" w:cs="arial"/>
            <w:b w:val="0"/>
            <w:i/>
            <w:strike w:val="0"/>
            <w:noProof w:val="0"/>
            <w:color w:val="0077CC"/>
            <w:position w:val="0"/>
            <w:sz w:val="20"/>
            <w:u w:val="single"/>
            <w:vertAlign w:val="baseline"/>
          </w:rPr>
          <w:t>Parlak v. Holder</w:t>
        </w:r>
      </w:hyperlink>
      <w:hyperlink r:id="rId23" w:history="1">
        <w:r>
          <w:rPr>
            <w:rFonts w:ascii="arial" w:eastAsia="arial" w:hAnsi="arial" w:cs="arial"/>
            <w:b w:val="0"/>
            <w:i/>
            <w:strike w:val="0"/>
            <w:noProof w:val="0"/>
            <w:color w:val="0077CC"/>
            <w:position w:val="0"/>
            <w:sz w:val="20"/>
            <w:u w:val="single"/>
            <w:vertAlign w:val="baseline"/>
          </w:rPr>
          <w:t>, 578 F.3d 457, 462 (6th Cir. 2009)</w:t>
        </w:r>
      </w:hyperlink>
      <w:r>
        <w:rPr>
          <w:rFonts w:ascii="arial" w:eastAsia="arial" w:hAnsi="arial" w:cs="arial"/>
          <w:b w:val="0"/>
          <w:i w:val="0"/>
          <w:strike w:val="0"/>
          <w:noProof w:val="0"/>
          <w:color w:val="000000"/>
          <w:position w:val="0"/>
          <w:sz w:val="20"/>
          <w:u w:val="none"/>
          <w:vertAlign w:val="baseline"/>
        </w:rPr>
        <w:t xml:space="preserve">, and its factual findings under the substantial-evidence standard, under which we uphold the BIA's decision if "it is 'supported by reasonable, substantial, and probative evidence on the record considered as a whole,'"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1" w:name="Bookmark_I69T29232N1PMK0020000400"/>
      <w:bookmarkEnd w:id="41"/>
      <w:hyperlink r:id="rId24" w:history="1">
        <w:r>
          <w:rPr>
            <w:rFonts w:ascii="arial" w:eastAsia="arial" w:hAnsi="arial" w:cs="arial"/>
            <w:b w:val="0"/>
            <w:i/>
            <w:strike w:val="0"/>
            <w:noProof w:val="0"/>
            <w:color w:val="0077CC"/>
            <w:position w:val="0"/>
            <w:sz w:val="20"/>
            <w:u w:val="single"/>
            <w:vertAlign w:val="baseline"/>
          </w:rPr>
          <w:t>Marku v. Ashcroft</w:t>
        </w:r>
      </w:hyperlink>
      <w:hyperlink r:id="rId24" w:history="1">
        <w:r>
          <w:rPr>
            <w:rFonts w:ascii="arial" w:eastAsia="arial" w:hAnsi="arial" w:cs="arial"/>
            <w:b w:val="0"/>
            <w:i/>
            <w:strike w:val="0"/>
            <w:noProof w:val="0"/>
            <w:color w:val="0077CC"/>
            <w:position w:val="0"/>
            <w:sz w:val="20"/>
            <w:u w:val="single"/>
            <w:vertAlign w:val="baseline"/>
          </w:rPr>
          <w:t>, 380 F.3d 982, 986 (6th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 w:name="Bookmark_I69T29232N1PMK0040000400"/>
      <w:bookmarkEnd w:id="42"/>
      <w:hyperlink r:id="rId25" w:history="1">
        <w:r>
          <w:rPr>
            <w:rFonts w:ascii="arial" w:eastAsia="arial" w:hAnsi="arial" w:cs="arial"/>
            <w:b w:val="0"/>
            <w:i/>
            <w:strike w:val="0"/>
            <w:noProof w:val="0"/>
            <w:color w:val="0077CC"/>
            <w:position w:val="0"/>
            <w:sz w:val="20"/>
            <w:u w:val="single"/>
            <w:vertAlign w:val="baseline"/>
          </w:rPr>
          <w:t>Marouf v. Lynch</w:t>
        </w:r>
      </w:hyperlink>
      <w:hyperlink r:id="rId25" w:history="1">
        <w:r>
          <w:rPr>
            <w:rFonts w:ascii="arial" w:eastAsia="arial" w:hAnsi="arial" w:cs="arial"/>
            <w:b w:val="0"/>
            <w:i/>
            <w:strike w:val="0"/>
            <w:noProof w:val="0"/>
            <w:color w:val="0077CC"/>
            <w:position w:val="0"/>
            <w:sz w:val="20"/>
            <w:u w:val="single"/>
            <w:vertAlign w:val="baseline"/>
          </w:rPr>
          <w:t>, 811 F.3d 174, 180 (6th Cir. 2016)</w:t>
        </w:r>
      </w:hyperlink>
      <w:r>
        <w:rPr>
          <w:rFonts w:ascii="arial" w:eastAsia="arial" w:hAnsi="arial" w:cs="arial"/>
          <w:b w:val="0"/>
          <w:i w:val="0"/>
          <w:strike w:val="0"/>
          <w:noProof w:val="0"/>
          <w:color w:val="000000"/>
          <w:position w:val="0"/>
          <w:sz w:val="20"/>
          <w:u w:val="none"/>
          <w:vertAlign w:val="baseline"/>
        </w:rPr>
        <w:t xml:space="preserve">. </w:t>
      </w:r>
      <w:bookmarkStart w:id="43" w:name="Bookmark_I69T29242HM6TP0010000400"/>
      <w:bookmarkEnd w:id="43"/>
      <w:r>
        <w:rPr>
          <w:rFonts w:ascii="arial" w:eastAsia="arial" w:hAnsi="arial" w:cs="arial"/>
          <w:b w:val="0"/>
          <w:i w:val="0"/>
          <w:strike w:val="0"/>
          <w:noProof w:val="0"/>
          <w:color w:val="000000"/>
          <w:position w:val="0"/>
          <w:sz w:val="20"/>
          <w:u w:val="none"/>
          <w:vertAlign w:val="baseline"/>
        </w:rPr>
        <w:t xml:space="preserve">"[A]dministrative findings of fact are conclusive unless any reasonable adjudicator would be compelled to conclude to the contrary." </w:t>
      </w:r>
      <w:bookmarkStart w:id="44" w:name="Bookmark_I69T29242SF87S0010000400"/>
      <w:bookmarkEnd w:id="44"/>
      <w:hyperlink r:id="rId25" w:history="1">
        <w:r>
          <w:rPr>
            <w:rFonts w:ascii="arial" w:eastAsia="arial" w:hAnsi="arial" w:cs="arial"/>
            <w:b w:val="0"/>
            <w:i/>
            <w:strike w:val="0"/>
            <w:noProof w:val="0"/>
            <w:color w:val="0077CC"/>
            <w:position w:val="0"/>
            <w:sz w:val="20"/>
            <w:u w:val="single"/>
            <w:vertAlign w:val="baseline"/>
          </w:rPr>
          <w:t>Marouf</w:t>
        </w:r>
      </w:hyperlink>
      <w:hyperlink r:id="rId25" w:history="1">
        <w:r>
          <w:rPr>
            <w:rFonts w:ascii="arial" w:eastAsia="arial" w:hAnsi="arial" w:cs="arial"/>
            <w:b w:val="0"/>
            <w:i/>
            <w:strike w:val="0"/>
            <w:noProof w:val="0"/>
            <w:color w:val="0077CC"/>
            <w:position w:val="0"/>
            <w:sz w:val="20"/>
            <w:u w:val="single"/>
            <w:vertAlign w:val="baseline"/>
          </w:rPr>
          <w:t>, 811 F.3d at 180</w:t>
        </w:r>
      </w:hyperlink>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8 U.S.C. § 1252(b)(4)(B)</w:t>
        </w:r>
      </w:hyperlink>
      <w:r>
        <w:rPr>
          <w:rFonts w:ascii="arial" w:eastAsia="arial" w:hAnsi="arial" w:cs="arial"/>
          <w:b w:val="0"/>
          <w:i w:val="0"/>
          <w:strike w:val="0"/>
          <w:noProof w:val="0"/>
          <w:color w:val="000000"/>
          <w:position w:val="0"/>
          <w:sz w:val="20"/>
          <w:u w:val="none"/>
          <w:vertAlign w:val="baseline"/>
        </w:rPr>
        <w:t xml:space="preserve">). If "the BIA reviewed the IJ's decision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issued its own separate opinion, we review the BIA's opinion as the final agency determination." </w:t>
      </w:r>
      <w:bookmarkStart w:id="45" w:name="Bookmark_I69T29242SF87S0030000400"/>
      <w:bookmarkEnd w:id="45"/>
      <w:hyperlink r:id="rId27" w:history="1">
        <w:r>
          <w:rPr>
            <w:rFonts w:ascii="arial" w:eastAsia="arial" w:hAnsi="arial" w:cs="arial"/>
            <w:b w:val="0"/>
            <w:i/>
            <w:strike w:val="0"/>
            <w:noProof w:val="0"/>
            <w:color w:val="0077CC"/>
            <w:position w:val="0"/>
            <w:sz w:val="20"/>
            <w:u w:val="single"/>
            <w:vertAlign w:val="baseline"/>
          </w:rPr>
          <w:t>Hassan v. Holder</w:t>
        </w:r>
      </w:hyperlink>
      <w:hyperlink r:id="rId27" w:history="1">
        <w:r>
          <w:rPr>
            <w:rFonts w:ascii="arial" w:eastAsia="arial" w:hAnsi="arial" w:cs="arial"/>
            <w:b w:val="0"/>
            <w:i/>
            <w:strike w:val="0"/>
            <w:noProof w:val="0"/>
            <w:color w:val="0077CC"/>
            <w:position w:val="0"/>
            <w:sz w:val="20"/>
            <w:u w:val="single"/>
            <w:vertAlign w:val="baseline"/>
          </w:rPr>
          <w:t>, 604 F.3d 915, 924 (6th Cir. 2010)</w:t>
        </w:r>
      </w:hyperlink>
      <w:r>
        <w:rPr>
          <w:rFonts w:ascii="arial" w:eastAsia="arial" w:hAnsi="arial" w:cs="arial"/>
          <w:b w:val="0"/>
          <w:i w:val="0"/>
          <w:strike w:val="0"/>
          <w:noProof w:val="0"/>
          <w:color w:val="000000"/>
          <w:position w:val="0"/>
          <w:sz w:val="20"/>
          <w:u w:val="none"/>
          <w:vertAlign w:val="baseline"/>
        </w:rPr>
        <w:t xml:space="preserve">. </w:t>
      </w:r>
      <w:bookmarkStart w:id="46" w:name="Bookmark_I69T29242HM6TP0010000400_2"/>
      <w:bookmarkEnd w:id="46"/>
      <w:r>
        <w:rPr>
          <w:rFonts w:ascii="arial" w:eastAsia="arial" w:hAnsi="arial" w:cs="arial"/>
          <w:b w:val="0"/>
          <w:i w:val="0"/>
          <w:strike w:val="0"/>
          <w:noProof w:val="0"/>
          <w:color w:val="000000"/>
          <w:position w:val="0"/>
          <w:sz w:val="20"/>
          <w:u w:val="none"/>
          <w:vertAlign w:val="baseline"/>
        </w:rPr>
        <w:t xml:space="preserve">"However, to the extent the BIA adopted the immigration judge's reasoning, this court also reviews the immigration judge's decision." </w:t>
      </w:r>
      <w:bookmarkStart w:id="47" w:name="Bookmark_I69T29242SF87S0050000400"/>
      <w:bookmarkEnd w:id="47"/>
      <w:hyperlink r:id="rId28" w:history="1">
        <w:r>
          <w:rPr>
            <w:rFonts w:ascii="arial" w:eastAsia="arial" w:hAnsi="arial" w:cs="arial"/>
            <w:b w:val="0"/>
            <w:i/>
            <w:strike w:val="0"/>
            <w:noProof w:val="0"/>
            <w:color w:val="0077CC"/>
            <w:position w:val="0"/>
            <w:sz w:val="20"/>
            <w:u w:val="single"/>
            <w:vertAlign w:val="baseline"/>
          </w:rPr>
          <w:t>Sanchez-Robles v. Lynch</w:t>
        </w:r>
      </w:hyperlink>
      <w:hyperlink r:id="rId28" w:history="1">
        <w:r>
          <w:rPr>
            <w:rFonts w:ascii="arial" w:eastAsia="arial" w:hAnsi="arial" w:cs="arial"/>
            <w:b w:val="0"/>
            <w:i/>
            <w:strike w:val="0"/>
            <w:noProof w:val="0"/>
            <w:color w:val="0077CC"/>
            <w:position w:val="0"/>
            <w:sz w:val="20"/>
            <w:u w:val="single"/>
            <w:vertAlign w:val="baseline"/>
          </w:rPr>
          <w:t>, 808 F.3d 688, 692 (6th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Amieva first argues that the BIA erred in concluding that he was ineligible for cancellation of removal. Amieva does not contest the IJ's determination that his attempted-identity-theft conviction disqualifies him for cancellation of removal. But he does contend that the BIA erred in ruling that the extreme hardship provisions for waiver of inadmissibility do not apply to his application for cancellation of removal.</w:t>
      </w:r>
    </w:p>
    <w:p>
      <w:pPr>
        <w:keepNext w:val="0"/>
        <w:spacing w:before="200" w:after="0" w:line="260" w:lineRule="atLeast"/>
        <w:ind w:left="0" w:right="0" w:firstLine="0"/>
        <w:jc w:val="both"/>
      </w:pPr>
      <w:bookmarkStart w:id="49" w:name="Bookmark_para_15"/>
      <w:bookmarkEnd w:id="49"/>
      <w:r>
        <w:rPr>
          <w:rFonts w:ascii="arial" w:eastAsia="arial" w:hAnsi="arial" w:cs="arial"/>
          <w:b w:val="0"/>
          <w:i w:val="0"/>
          <w:strike w:val="0"/>
          <w:noProof w:val="0"/>
          <w:color w:val="000000"/>
          <w:position w:val="0"/>
          <w:sz w:val="20"/>
          <w:u w:val="none"/>
          <w:vertAlign w:val="baseline"/>
        </w:rPr>
        <w:t>The BIA rejected Amieva's argument 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Matter of Bustamante</w:t>
        </w:r>
      </w:hyperlink>
      <w:hyperlink r:id="rId29" w:history="1">
        <w:r>
          <w:rPr>
            <w:rFonts w:ascii="arial" w:eastAsia="arial" w:hAnsi="arial" w:cs="arial"/>
            <w:b w:val="0"/>
            <w:i/>
            <w:strike w:val="0"/>
            <w:noProof w:val="0"/>
            <w:color w:val="0077CC"/>
            <w:position w:val="0"/>
            <w:sz w:val="20"/>
            <w:u w:val="single"/>
            <w:vertAlign w:val="baseline"/>
          </w:rPr>
          <w:t>, 25 I. &amp; N. Dec. 564 (B.I.A. 2011)</w:t>
        </w:r>
      </w:hyperlink>
      <w:r>
        <w:rPr>
          <w:rFonts w:ascii="arial" w:eastAsia="arial" w:hAnsi="arial" w:cs="arial"/>
          <w:b w:val="0"/>
          <w:i w:val="0"/>
          <w:strike w:val="0"/>
          <w:noProof w:val="0"/>
          <w:color w:val="000000"/>
          <w:position w:val="0"/>
          <w:sz w:val="20"/>
          <w:u w:val="none"/>
          <w:vertAlign w:val="baseline"/>
        </w:rPr>
        <w:t xml:space="preserve">. There, the BIA reasoned that the plain language of </w:t>
      </w:r>
      <w:hyperlink r:id="rId19" w:history="1">
        <w:r>
          <w:rPr>
            <w:rFonts w:ascii="arial" w:eastAsia="arial" w:hAnsi="arial" w:cs="arial"/>
            <w:b w:val="0"/>
            <w:i/>
            <w:strike w:val="0"/>
            <w:noProof w:val="0"/>
            <w:color w:val="0077CC"/>
            <w:position w:val="0"/>
            <w:sz w:val="20"/>
            <w:u w:val="single"/>
            <w:vertAlign w:val="baseline"/>
          </w:rPr>
          <w:t>§ 1182(h)</w:t>
        </w:r>
      </w:hyperlink>
      <w:r>
        <w:rPr>
          <w:rFonts w:ascii="arial" w:eastAsia="arial" w:hAnsi="arial" w:cs="arial"/>
          <w:b w:val="0"/>
          <w:i w:val="0"/>
          <w:strike w:val="0"/>
          <w:noProof w:val="0"/>
          <w:color w:val="000000"/>
          <w:position w:val="0"/>
          <w:sz w:val="20"/>
          <w:u w:val="none"/>
          <w:vertAlign w:val="baseline"/>
        </w:rPr>
        <w:t xml:space="preserve"> permits the Attorney General to waive a noncitizen's prior conviction as a ground for inadmissibility, but not the fact of the conviction itself. On the other hand, the BIA stated that </w:t>
      </w:r>
      <w:bookmarkStart w:id="50" w:name="Bookmark_LNHNREFclscc2"/>
      <w:bookmarkEnd w:id="50"/>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 showing of admissibility is not required to obtain cancellation of removal under </w:t>
      </w:r>
      <w:hyperlink r:id="rId12" w:history="1">
        <w:r>
          <w:rPr>
            <w:rFonts w:ascii="arial" w:eastAsia="arial" w:hAnsi="arial" w:cs="arial"/>
            <w:b w:val="0"/>
            <w:i/>
            <w:strike w:val="0"/>
            <w:noProof w:val="0"/>
            <w:color w:val="0077CC"/>
            <w:position w:val="0"/>
            <w:sz w:val="20"/>
            <w:u w:val="single"/>
            <w:vertAlign w:val="baseline"/>
          </w:rPr>
          <w:t>§ 1229b(b)</w:t>
        </w:r>
      </w:hyperlink>
      <w:r>
        <w:rPr>
          <w:rFonts w:ascii="arial" w:eastAsia="arial" w:hAnsi="arial" w:cs="arial"/>
          <w:b w:val="0"/>
          <w:i w:val="0"/>
          <w:strike w:val="0"/>
          <w:noProof w:val="0"/>
          <w:color w:val="000000"/>
          <w:position w:val="0"/>
          <w:sz w:val="20"/>
          <w:u w:val="none"/>
          <w:vertAlign w:val="baseline"/>
        </w:rPr>
        <w:t xml:space="preserve">; rather, the applicant must prove the absence of a disqualifying conviction.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567-69. Consequently, the BIA concluded that a noncitizen cannot use </w:t>
      </w:r>
      <w:hyperlink r:id="rId19" w:history="1">
        <w:r>
          <w:rPr>
            <w:rFonts w:ascii="arial" w:eastAsia="arial" w:hAnsi="arial" w:cs="arial"/>
            <w:b w:val="0"/>
            <w:i/>
            <w:strike w:val="0"/>
            <w:noProof w:val="0"/>
            <w:color w:val="0077CC"/>
            <w:position w:val="0"/>
            <w:sz w:val="20"/>
            <w:u w:val="single"/>
            <w:vertAlign w:val="baseline"/>
          </w:rPr>
          <w:t>§ 1182(h)</w:t>
        </w:r>
      </w:hyperlink>
      <w:r>
        <w:rPr>
          <w:rFonts w:ascii="arial" w:eastAsia="arial" w:hAnsi="arial" w:cs="arial"/>
          <w:b w:val="0"/>
          <w:i w:val="0"/>
          <w:strike w:val="0"/>
          <w:noProof w:val="0"/>
          <w:color w:val="000000"/>
          <w:position w:val="0"/>
          <w:sz w:val="20"/>
          <w:u w:val="none"/>
          <w:vertAlign w:val="baseline"/>
        </w:rPr>
        <w:t xml:space="preserve">'s extreme hardship provisions for waiver of inadmissibility to overcome the statutory bar to cancellation of removal in </w:t>
      </w:r>
      <w:hyperlink r:id="rId12" w:history="1">
        <w:r>
          <w:rPr>
            <w:rFonts w:ascii="arial" w:eastAsia="arial" w:hAnsi="arial" w:cs="arial"/>
            <w:b w:val="0"/>
            <w:i/>
            <w:strike w:val="0"/>
            <w:noProof w:val="0"/>
            <w:color w:val="0077CC"/>
            <w:position w:val="0"/>
            <w:sz w:val="20"/>
            <w:u w:val="single"/>
            <w:vertAlign w:val="baseline"/>
          </w:rPr>
          <w:t>§ 1229b(b)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570.</w:t>
      </w:r>
    </w:p>
    <w:p>
      <w:pPr>
        <w:keepNext w:val="0"/>
        <w:spacing w:before="200" w:after="0" w:line="260" w:lineRule="atLeast"/>
        <w:ind w:left="0" w:right="0" w:firstLine="0"/>
        <w:jc w:val="both"/>
      </w:pPr>
      <w:bookmarkStart w:id="51" w:name="Bookmark_para_16"/>
      <w:bookmarkEnd w:id="51"/>
      <w:bookmarkStart w:id="52" w:name="Bookmark_I69T29242HM6TP0030000400"/>
      <w:bookmarkEnd w:id="52"/>
      <w:bookmarkStart w:id="53" w:name="Bookmark_I69T29242HM6TP0050000400"/>
      <w:bookmarkEnd w:id="53"/>
      <w:bookmarkStart w:id="54" w:name="Bookmark_LNHNREFclscc3"/>
      <w:bookmarkEnd w:id="54"/>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give "substantial deference" to the BIA's interpretation of the immigration statutes and accompanying regulations. </w:t>
      </w:r>
      <w:bookmarkStart w:id="55" w:name="Bookmark_I69T29242HM6TP0020000400"/>
      <w:bookmarkEnd w:id="55"/>
      <w:hyperlink r:id="rId32" w:history="1">
        <w:r>
          <w:rPr>
            <w:rFonts w:ascii="arial" w:eastAsia="arial" w:hAnsi="arial" w:cs="arial"/>
            <w:b w:val="0"/>
            <w:i/>
            <w:strike w:val="0"/>
            <w:noProof w:val="0"/>
            <w:color w:val="0077CC"/>
            <w:position w:val="0"/>
            <w:sz w:val="20"/>
            <w:u w:val="single"/>
            <w:vertAlign w:val="baseline"/>
          </w:rPr>
          <w:t>Lin v. Garland</w:t>
        </w:r>
      </w:hyperlink>
      <w:hyperlink r:id="rId32" w:history="1">
        <w:r>
          <w:rPr>
            <w:rFonts w:ascii="arial" w:eastAsia="arial" w:hAnsi="arial" w:cs="arial"/>
            <w:b w:val="0"/>
            <w:i/>
            <w:strike w:val="0"/>
            <w:noProof w:val="0"/>
            <w:color w:val="0077CC"/>
            <w:position w:val="0"/>
            <w:sz w:val="20"/>
            <w:u w:val="single"/>
            <w:vertAlign w:val="baseline"/>
          </w:rPr>
          <w:t>, 81 F.4th 629, 633 (6th Cir. 2023)</w:t>
        </w:r>
      </w:hyperlink>
      <w:r>
        <w:rPr>
          <w:rFonts w:ascii="arial" w:eastAsia="arial" w:hAnsi="arial" w:cs="arial"/>
          <w:b w:val="0"/>
          <w:i w:val="0"/>
          <w:strike w:val="0"/>
          <w:noProof w:val="0"/>
          <w:color w:val="000000"/>
          <w:position w:val="0"/>
          <w:sz w:val="20"/>
          <w:u w:val="none"/>
          <w:vertAlign w:val="baseline"/>
        </w:rPr>
        <w:t xml:space="preserve">. </w:t>
      </w:r>
      <w:bookmarkStart w:id="56" w:name="Bookmark_I69T29252N1PMX0040000400"/>
      <w:bookmarkEnd w:id="56"/>
      <w:r>
        <w:rPr>
          <w:rFonts w:ascii="arial" w:eastAsia="arial" w:hAnsi="arial" w:cs="arial"/>
          <w:b w:val="0"/>
          <w:i w:val="0"/>
          <w:strike w:val="0"/>
          <w:noProof w:val="0"/>
          <w:color w:val="000000"/>
          <w:position w:val="0"/>
          <w:sz w:val="20"/>
          <w:u w:val="none"/>
          <w:vertAlign w:val="baseline"/>
        </w:rPr>
        <w:t xml:space="preserve">Accordingly, we will uphold the BIA's interpretation of a statute "unless the interpretation is 'arbitrary, capricious, or manifestly contrary to the statute.'" </w:t>
      </w:r>
      <w:bookmarkStart w:id="57" w:name="Bookmark_I69T29242HM6TP0040000400"/>
      <w:bookmarkEnd w:id="57"/>
      <w:hyperlink r:id="rId33" w:history="1">
        <w:r>
          <w:rPr>
            <w:rFonts w:ascii="arial" w:eastAsia="arial" w:hAnsi="arial" w:cs="arial"/>
            <w:b w:val="0"/>
            <w:i/>
            <w:strike w:val="0"/>
            <w:noProof w:val="0"/>
            <w:color w:val="0077CC"/>
            <w:position w:val="0"/>
            <w:sz w:val="20"/>
            <w:u w:val="single"/>
            <w:vertAlign w:val="baseline"/>
          </w:rPr>
          <w:t>Morgan v. Keisler</w:t>
        </w:r>
      </w:hyperlink>
      <w:hyperlink r:id="rId33" w:history="1">
        <w:r>
          <w:rPr>
            <w:rFonts w:ascii="arial" w:eastAsia="arial" w:hAnsi="arial" w:cs="arial"/>
            <w:b w:val="0"/>
            <w:i/>
            <w:strike w:val="0"/>
            <w:noProof w:val="0"/>
            <w:color w:val="0077CC"/>
            <w:position w:val="0"/>
            <w:sz w:val="20"/>
            <w:u w:val="single"/>
            <w:vertAlign w:val="baseline"/>
          </w:rPr>
          <w:t>, 507 F.3d 1053, 1057 (6th Cir. 2007)</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9T29252N1PMX0010000400"/>
      <w:bookmarkEnd w:id="58"/>
      <w:hyperlink r:id="rId34" w:history="1">
        <w:r>
          <w:rPr>
            <w:rFonts w:ascii="arial" w:eastAsia="arial" w:hAnsi="arial" w:cs="arial"/>
            <w:b w:val="0"/>
            <w:i/>
            <w:strike w:val="0"/>
            <w:noProof w:val="0"/>
            <w:color w:val="0077CC"/>
            <w:position w:val="0"/>
            <w:sz w:val="20"/>
            <w:u w:val="single"/>
            <w:vertAlign w:val="baseline"/>
          </w:rPr>
          <w:t>Sad v. INS</w:t>
        </w:r>
      </w:hyperlink>
      <w:hyperlink r:id="rId34" w:history="1">
        <w:r>
          <w:rPr>
            <w:rFonts w:ascii="arial" w:eastAsia="arial" w:hAnsi="arial" w:cs="arial"/>
            <w:b w:val="0"/>
            <w:i/>
            <w:strike w:val="0"/>
            <w:noProof w:val="0"/>
            <w:color w:val="0077CC"/>
            <w:position w:val="0"/>
            <w:sz w:val="20"/>
            <w:u w:val="single"/>
            <w:vertAlign w:val="baseline"/>
          </w:rPr>
          <w:t>, 246 F.3d 811, 815 (6th Cir. 2001)</w:t>
        </w:r>
      </w:hyperlink>
      <w:r>
        <w:rPr>
          <w:rFonts w:ascii="arial" w:eastAsia="arial" w:hAnsi="arial" w:cs="arial"/>
          <w:b w:val="0"/>
          <w:i w:val="0"/>
          <w:strike w:val="0"/>
          <w:noProof w:val="0"/>
          <w:color w:val="000000"/>
          <w:position w:val="0"/>
          <w:sz w:val="20"/>
          <w:u w:val="none"/>
          <w:vertAlign w:val="baseline"/>
        </w:rPr>
        <w:t xml:space="preserve">). </w:t>
      </w:r>
      <w:bookmarkStart w:id="59" w:name="Bookmark_I69T29252N1PMX0040000400_2"/>
      <w:bookmarkEnd w:id="59"/>
      <w:r>
        <w:rPr>
          <w:rFonts w:ascii="arial" w:eastAsia="arial" w:hAnsi="arial" w:cs="arial"/>
          <w:b w:val="0"/>
          <w:i w:val="0"/>
          <w:strike w:val="0"/>
          <w:noProof w:val="0"/>
          <w:color w:val="000000"/>
          <w:position w:val="0"/>
          <w:sz w:val="20"/>
          <w:u w:val="none"/>
          <w:vertAlign w:val="baseline"/>
        </w:rPr>
        <w:t xml:space="preserve">Amieva makes no attempt to show that the BIA's interpretation of </w:t>
      </w:r>
      <w:hyperlink r:id="rId19" w:history="1">
        <w:r>
          <w:rPr>
            <w:rFonts w:ascii="arial" w:eastAsia="arial" w:hAnsi="arial" w:cs="arial"/>
            <w:b w:val="0"/>
            <w:i/>
            <w:strike w:val="0"/>
            <w:noProof w:val="0"/>
            <w:color w:val="0077CC"/>
            <w:position w:val="0"/>
            <w:sz w:val="20"/>
            <w:u w:val="single"/>
            <w:vertAlign w:val="baseline"/>
          </w:rPr>
          <w:t>§§ 1182(h)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1229b(b)</w:t>
        </w:r>
      </w:hyperlink>
      <w:r>
        <w:rPr>
          <w:rFonts w:ascii="arial" w:eastAsia="arial" w:hAnsi="arial" w:cs="arial"/>
          <w:b w:val="0"/>
          <w:i w:val="0"/>
          <w:strike w:val="0"/>
          <w:noProof w:val="0"/>
          <w:color w:val="000000"/>
          <w:position w:val="0"/>
          <w:sz w:val="20"/>
          <w:u w:val="none"/>
          <w:vertAlign w:val="baseline"/>
        </w:rPr>
        <w:t xml:space="preserve"> fails under this least demanding standard of administrative review. </w:t>
      </w:r>
      <w:bookmarkStart w:id="60" w:name="Bookmark_I69T29252N1PN0001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69T29252N1PMX0030000400"/>
      <w:bookmarkEnd w:id="61"/>
      <w:hyperlink r:id="rId35" w:history="1">
        <w:r>
          <w:rPr>
            <w:rFonts w:ascii="arial" w:eastAsia="arial" w:hAnsi="arial" w:cs="arial"/>
            <w:b w:val="0"/>
            <w:i/>
            <w:strike w:val="0"/>
            <w:noProof w:val="0"/>
            <w:color w:val="0077CC"/>
            <w:position w:val="0"/>
            <w:sz w:val="20"/>
            <w:u w:val="single"/>
            <w:vertAlign w:val="baseline"/>
          </w:rPr>
          <w:t>Jomaa v. United States</w:t>
        </w:r>
      </w:hyperlink>
      <w:hyperlink r:id="rId35" w:history="1">
        <w:r>
          <w:rPr>
            <w:rFonts w:ascii="arial" w:eastAsia="arial" w:hAnsi="arial" w:cs="arial"/>
            <w:b w:val="0"/>
            <w:i/>
            <w:strike w:val="0"/>
            <w:noProof w:val="0"/>
            <w:color w:val="0077CC"/>
            <w:position w:val="0"/>
            <w:sz w:val="20"/>
            <w:u w:val="single"/>
            <w:vertAlign w:val="baseline"/>
          </w:rPr>
          <w:t>, 940 F.3d 291, 298 (6th Cir. 2019)</w:t>
        </w:r>
      </w:hyperlink>
      <w:r>
        <w:rPr>
          <w:rFonts w:ascii="arial" w:eastAsia="arial" w:hAnsi="arial" w:cs="arial"/>
          <w:b w:val="0"/>
          <w:i w:val="0"/>
          <w:strike w:val="0"/>
          <w:noProof w:val="0"/>
          <w:color w:val="000000"/>
          <w:position w:val="0"/>
          <w:sz w:val="20"/>
          <w:u w:val="none"/>
          <w:vertAlign w:val="baseline"/>
        </w:rPr>
        <w:t xml:space="preserve">. </w:t>
      </w:r>
      <w:bookmarkStart w:id="62" w:name="Bookmark_I69T29252N1PN00010000400_2"/>
      <w:bookmarkEnd w:id="62"/>
      <w:r>
        <w:rPr>
          <w:rFonts w:ascii="arial" w:eastAsia="arial" w:hAnsi="arial" w:cs="arial"/>
          <w:b w:val="0"/>
          <w:i w:val="0"/>
          <w:strike w:val="0"/>
          <w:noProof w:val="0"/>
          <w:color w:val="000000"/>
          <w:position w:val="0"/>
          <w:sz w:val="20"/>
          <w:u w:val="none"/>
          <w:vertAlign w:val="baseline"/>
        </w:rPr>
        <w:t xml:space="preserve">We conclude therefore that Amieva has forfeited review of this argument. </w:t>
      </w:r>
      <w:r>
        <w:rPr>
          <w:rFonts w:ascii="arial" w:eastAsia="arial" w:hAnsi="arial" w:cs="arial"/>
          <w:b w:val="0"/>
          <w:i/>
          <w:strike w:val="0"/>
          <w:noProof w:val="0"/>
          <w:color w:val="000000"/>
          <w:position w:val="0"/>
          <w:sz w:val="20"/>
          <w:u w:val="none"/>
          <w:vertAlign w:val="baseline"/>
        </w:rPr>
        <w:t xml:space="preserve">See </w:t>
      </w:r>
      <w:bookmarkStart w:id="63" w:name="Bookmark_I69T29252N1PMX0050000400"/>
      <w:bookmarkEnd w:id="63"/>
      <w:r>
        <w:rPr>
          <w:rFonts w:ascii="arial" w:eastAsia="arial" w:hAnsi="arial" w:cs="arial"/>
          <w:b w:val="0"/>
          <w:i/>
          <w:strike w:val="0"/>
          <w:noProof w:val="0"/>
          <w:color w:val="000000"/>
          <w:position w:val="0"/>
          <w:sz w:val="20"/>
          <w:u w:val="none"/>
          <w:vertAlign w:val="baseline"/>
        </w:rPr>
        <w:t>Vasquez v. Holder</w:t>
      </w:r>
      <w:r>
        <w:rPr>
          <w:rFonts w:ascii="arial" w:eastAsia="arial" w:hAnsi="arial" w:cs="arial"/>
          <w:b w:val="0"/>
          <w:i/>
          <w:strike w:val="0"/>
          <w:noProof w:val="0"/>
          <w:color w:val="000000"/>
          <w:position w:val="0"/>
          <w:sz w:val="20"/>
          <w:u w:val="none"/>
          <w:vertAlign w:val="baseline"/>
        </w:rPr>
        <w:t>, 416 F. App'x 565, 568 (6th Cir. 2011)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17"/>
      <w:bookmarkEnd w:id="64"/>
      <w:bookmarkStart w:id="65" w:name="Bookmark_I69T29252N1PN00030000400"/>
      <w:bookmarkEnd w:id="65"/>
      <w:r>
        <w:rPr>
          <w:rFonts w:ascii="arial" w:eastAsia="arial" w:hAnsi="arial" w:cs="arial"/>
          <w:b w:val="0"/>
          <w:i w:val="0"/>
          <w:strike w:val="0"/>
          <w:noProof w:val="0"/>
          <w:color w:val="000000"/>
          <w:position w:val="0"/>
          <w:sz w:val="20"/>
          <w:u w:val="none"/>
          <w:vertAlign w:val="baseline"/>
        </w:rPr>
        <w:t>Amieva next contends that the BIA and IJ erred in denying his applications for withholding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removal and CAT protection. </w:t>
      </w:r>
      <w:bookmarkStart w:id="66" w:name="Bookmark_LNHNREFclscc4"/>
      <w:bookmarkEnd w:id="66"/>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To qualify for withholding of removal, the applicant must establish a "clear probability" that his life or freedom will be threatened because of his membership in a particular social group if he returns to the proposed country of removal. </w:t>
      </w:r>
      <w:bookmarkStart w:id="67" w:name="Bookmark_I69T29252N1PN00050000400"/>
      <w:bookmarkEnd w:id="67"/>
      <w:r>
        <w:rPr>
          <w:rFonts w:ascii="arial" w:eastAsia="arial" w:hAnsi="arial" w:cs="arial"/>
          <w:b w:val="0"/>
          <w:i/>
          <w:strike w:val="0"/>
          <w:noProof w:val="0"/>
          <w:color w:val="000000"/>
          <w:position w:val="0"/>
          <w:sz w:val="20"/>
          <w:u w:val="none"/>
          <w:vertAlign w:val="baseline"/>
        </w:rPr>
        <w:t xml:space="preserve">See </w:t>
      </w:r>
      <w:bookmarkStart w:id="68" w:name="Bookmark_I69T29252N1PN00020000400"/>
      <w:bookmarkEnd w:id="68"/>
      <w:hyperlink r:id="rId37" w:history="1">
        <w:r>
          <w:rPr>
            <w:rFonts w:ascii="arial" w:eastAsia="arial" w:hAnsi="arial" w:cs="arial"/>
            <w:b w:val="0"/>
            <w:i/>
            <w:strike w:val="0"/>
            <w:noProof w:val="0"/>
            <w:color w:val="0077CC"/>
            <w:position w:val="0"/>
            <w:sz w:val="20"/>
            <w:u w:val="single"/>
            <w:vertAlign w:val="baseline"/>
          </w:rPr>
          <w:t>Zaldana Menijar v. Lynch</w:t>
        </w:r>
      </w:hyperlink>
      <w:hyperlink r:id="rId37" w:history="1">
        <w:r>
          <w:rPr>
            <w:rFonts w:ascii="arial" w:eastAsia="arial" w:hAnsi="arial" w:cs="arial"/>
            <w:b w:val="0"/>
            <w:i/>
            <w:strike w:val="0"/>
            <w:noProof w:val="0"/>
            <w:color w:val="0077CC"/>
            <w:position w:val="0"/>
            <w:sz w:val="20"/>
            <w:u w:val="single"/>
            <w:vertAlign w:val="baseline"/>
          </w:rPr>
          <w:t>, 812 F.3d 491, 498 (6th Cir. 2015)</w:t>
        </w:r>
      </w:hyperlink>
      <w:r>
        <w:rPr>
          <w:rFonts w:ascii="arial" w:eastAsia="arial" w:hAnsi="arial" w:cs="arial"/>
          <w:b w:val="0"/>
          <w:i w:val="0"/>
          <w:strike w:val="0"/>
          <w:noProof w:val="0"/>
          <w:color w:val="000000"/>
          <w:position w:val="0"/>
          <w:sz w:val="20"/>
          <w:u w:val="none"/>
          <w:vertAlign w:val="baseline"/>
        </w:rPr>
        <w:t xml:space="preserve">. </w:t>
      </w:r>
      <w:bookmarkStart w:id="69" w:name="Bookmark_I69T29252N1PN00050000400_2"/>
      <w:bookmarkEnd w:id="69"/>
      <w:bookmarkStart w:id="70" w:name="Bookmark_I69T292528T4JR0020000400"/>
      <w:bookmarkEnd w:id="70"/>
      <w:r>
        <w:rPr>
          <w:rFonts w:ascii="arial" w:eastAsia="arial" w:hAnsi="arial" w:cs="arial"/>
          <w:b w:val="0"/>
          <w:i w:val="0"/>
          <w:strike w:val="0"/>
          <w:noProof w:val="0"/>
          <w:color w:val="000000"/>
          <w:position w:val="0"/>
          <w:sz w:val="20"/>
          <w:u w:val="none"/>
          <w:vertAlign w:val="baseline"/>
        </w:rPr>
        <w:t xml:space="preserve">A "clear probability" means that it is more likely than not that the applicant would be subject to persecution in the country of removal. </w:t>
      </w:r>
      <w:r>
        <w:rPr>
          <w:rFonts w:ascii="arial" w:eastAsia="arial" w:hAnsi="arial" w:cs="arial"/>
          <w:b w:val="0"/>
          <w:i/>
          <w:strike w:val="0"/>
          <w:noProof w:val="0"/>
          <w:color w:val="000000"/>
          <w:position w:val="0"/>
          <w:sz w:val="20"/>
          <w:u w:val="none"/>
          <w:vertAlign w:val="baseline"/>
        </w:rPr>
        <w:t xml:space="preserve">See </w:t>
      </w:r>
      <w:bookmarkStart w:id="71" w:name="Bookmark_I69T29252N1PN00040000400"/>
      <w:bookmarkEnd w:id="71"/>
      <w:hyperlink r:id="rId38" w:history="1">
        <w:r>
          <w:rPr>
            <w:rFonts w:ascii="arial" w:eastAsia="arial" w:hAnsi="arial" w:cs="arial"/>
            <w:b w:val="0"/>
            <w:i/>
            <w:strike w:val="0"/>
            <w:noProof w:val="0"/>
            <w:color w:val="0077CC"/>
            <w:position w:val="0"/>
            <w:sz w:val="20"/>
            <w:u w:val="single"/>
            <w:vertAlign w:val="baseline"/>
          </w:rPr>
          <w:t>Kamar v. Sessions</w:t>
        </w:r>
      </w:hyperlink>
      <w:hyperlink r:id="rId38" w:history="1">
        <w:r>
          <w:rPr>
            <w:rFonts w:ascii="arial" w:eastAsia="arial" w:hAnsi="arial" w:cs="arial"/>
            <w:b w:val="0"/>
            <w:i/>
            <w:strike w:val="0"/>
            <w:noProof w:val="0"/>
            <w:color w:val="0077CC"/>
            <w:position w:val="0"/>
            <w:sz w:val="20"/>
            <w:u w:val="single"/>
            <w:vertAlign w:val="baseline"/>
          </w:rPr>
          <w:t>, 875 F.3d 811, 817 (6th Cir. 2017)</w:t>
        </w:r>
      </w:hyperlink>
      <w:r>
        <w:rPr>
          <w:rFonts w:ascii="arial" w:eastAsia="arial" w:hAnsi="arial" w:cs="arial"/>
          <w:b w:val="0"/>
          <w:i w:val="0"/>
          <w:strike w:val="0"/>
          <w:noProof w:val="0"/>
          <w:color w:val="000000"/>
          <w:position w:val="0"/>
          <w:sz w:val="20"/>
          <w:u w:val="none"/>
          <w:vertAlign w:val="baseline"/>
        </w:rPr>
        <w:t xml:space="preserve">. </w:t>
      </w:r>
      <w:bookmarkStart w:id="72" w:name="Bookmark_I69T292528T4JR0020000400_2"/>
      <w:bookmarkEnd w:id="72"/>
      <w:bookmarkStart w:id="73" w:name="Bookmark_I69T29262N1PN40030000400"/>
      <w:bookmarkEnd w:id="73"/>
      <w:r>
        <w:rPr>
          <w:rFonts w:ascii="arial" w:eastAsia="arial" w:hAnsi="arial" w:cs="arial"/>
          <w:b w:val="0"/>
          <w:i w:val="0"/>
          <w:strike w:val="0"/>
          <w:noProof w:val="0"/>
          <w:color w:val="000000"/>
          <w:position w:val="0"/>
          <w:sz w:val="20"/>
          <w:u w:val="none"/>
          <w:vertAlign w:val="baseline"/>
        </w:rPr>
        <w:t xml:space="preserve">Persecution requires "physical punishment, infliction of harm, or significant deprivation of liberty," </w:t>
      </w:r>
      <w:bookmarkStart w:id="74" w:name="Bookmark_I69T292528T4JR0010000400"/>
      <w:bookmarkEnd w:id="74"/>
      <w:hyperlink r:id="rId39" w:history="1">
        <w:r>
          <w:rPr>
            <w:rFonts w:ascii="arial" w:eastAsia="arial" w:hAnsi="arial" w:cs="arial"/>
            <w:b w:val="0"/>
            <w:i/>
            <w:strike w:val="0"/>
            <w:noProof w:val="0"/>
            <w:color w:val="0077CC"/>
            <w:position w:val="0"/>
            <w:sz w:val="20"/>
            <w:u w:val="single"/>
            <w:vertAlign w:val="baseline"/>
          </w:rPr>
          <w:t>Mikhailevitch v. INS</w:t>
        </w:r>
      </w:hyperlink>
      <w:hyperlink r:id="rId39" w:history="1">
        <w:r>
          <w:rPr>
            <w:rFonts w:ascii="arial" w:eastAsia="arial" w:hAnsi="arial" w:cs="arial"/>
            <w:b w:val="0"/>
            <w:i/>
            <w:strike w:val="0"/>
            <w:noProof w:val="0"/>
            <w:color w:val="0077CC"/>
            <w:position w:val="0"/>
            <w:sz w:val="20"/>
            <w:u w:val="single"/>
            <w:vertAlign w:val="baseline"/>
          </w:rPr>
          <w:t>, 146 F.3d 384, 390 (6th Cir. 1998)</w:t>
        </w:r>
      </w:hyperlink>
      <w:r>
        <w:rPr>
          <w:rFonts w:ascii="arial" w:eastAsia="arial" w:hAnsi="arial" w:cs="arial"/>
          <w:b w:val="0"/>
          <w:i w:val="0"/>
          <w:strike w:val="0"/>
          <w:noProof w:val="0"/>
          <w:color w:val="000000"/>
          <w:position w:val="0"/>
          <w:sz w:val="20"/>
          <w:u w:val="none"/>
          <w:vertAlign w:val="baseline"/>
        </w:rPr>
        <w:t xml:space="preserve">, and includes "detention, arrest, interrogation, prosecution, imprisonment, illegal searches, confiscation of property, surveillance, beatings, or torture," </w:t>
      </w:r>
      <w:bookmarkStart w:id="75" w:name="Bookmark_I69T292528T4JR0030000400"/>
      <w:bookmarkEnd w:id="75"/>
      <w:hyperlink r:id="rId40" w:history="1">
        <w:r>
          <w:rPr>
            <w:rFonts w:ascii="arial" w:eastAsia="arial" w:hAnsi="arial" w:cs="arial"/>
            <w:b w:val="0"/>
            <w:i/>
            <w:strike w:val="0"/>
            <w:noProof w:val="0"/>
            <w:color w:val="0077CC"/>
            <w:position w:val="0"/>
            <w:sz w:val="20"/>
            <w:u w:val="single"/>
            <w:vertAlign w:val="baseline"/>
          </w:rPr>
          <w:t>Haider v. Holder</w:t>
        </w:r>
      </w:hyperlink>
      <w:hyperlink r:id="rId40" w:history="1">
        <w:r>
          <w:rPr>
            <w:rFonts w:ascii="arial" w:eastAsia="arial" w:hAnsi="arial" w:cs="arial"/>
            <w:b w:val="0"/>
            <w:i/>
            <w:strike w:val="0"/>
            <w:noProof w:val="0"/>
            <w:color w:val="0077CC"/>
            <w:position w:val="0"/>
            <w:sz w:val="20"/>
            <w:u w:val="single"/>
            <w:vertAlign w:val="baseline"/>
          </w:rPr>
          <w:t>, 595 F.3d 276, 286-87 (6th Cir. 2010)</w:t>
        </w:r>
      </w:hyperlink>
      <w:r>
        <w:rPr>
          <w:rFonts w:ascii="arial" w:eastAsia="arial" w:hAnsi="arial" w:cs="arial"/>
          <w:b w:val="0"/>
          <w:i w:val="0"/>
          <w:strike w:val="0"/>
          <w:noProof w:val="0"/>
          <w:color w:val="000000"/>
          <w:position w:val="0"/>
          <w:sz w:val="20"/>
          <w:u w:val="none"/>
          <w:vertAlign w:val="baseline"/>
        </w:rPr>
        <w:t xml:space="preserve"> (quoting </w:t>
      </w:r>
      <w:bookmarkStart w:id="76" w:name="Bookmark_I69T292528T4JR0050000400"/>
      <w:bookmarkEnd w:id="76"/>
      <w:hyperlink r:id="rId41" w:history="1">
        <w:r>
          <w:rPr>
            <w:rFonts w:ascii="arial" w:eastAsia="arial" w:hAnsi="arial" w:cs="arial"/>
            <w:b w:val="0"/>
            <w:i/>
            <w:strike w:val="0"/>
            <w:noProof w:val="0"/>
            <w:color w:val="0077CC"/>
            <w:position w:val="0"/>
            <w:sz w:val="20"/>
            <w:u w:val="single"/>
            <w:vertAlign w:val="baseline"/>
          </w:rPr>
          <w:t>Zacarias v. Gonzales</w:t>
        </w:r>
      </w:hyperlink>
      <w:hyperlink r:id="rId41" w:history="1">
        <w:r>
          <w:rPr>
            <w:rFonts w:ascii="arial" w:eastAsia="arial" w:hAnsi="arial" w:cs="arial"/>
            <w:b w:val="0"/>
            <w:i/>
            <w:strike w:val="0"/>
            <w:noProof w:val="0"/>
            <w:color w:val="0077CC"/>
            <w:position w:val="0"/>
            <w:sz w:val="20"/>
            <w:u w:val="single"/>
            <w:vertAlign w:val="baseline"/>
          </w:rPr>
          <w:t>, 232 F. App'x 458, 462 (6th Cir. 2007)</w:t>
        </w:r>
      </w:hyperlink>
      <w:r>
        <w:rPr>
          <w:rFonts w:ascii="arial" w:eastAsia="arial" w:hAnsi="arial" w:cs="arial"/>
          <w:b w:val="0"/>
          <w:i w:val="0"/>
          <w:strike w:val="0"/>
          <w:noProof w:val="0"/>
          <w:color w:val="000000"/>
          <w:position w:val="0"/>
          <w:sz w:val="20"/>
          <w:u w:val="none"/>
          <w:vertAlign w:val="baseline"/>
        </w:rPr>
        <w:t xml:space="preserve">). </w:t>
      </w:r>
      <w:bookmarkStart w:id="77" w:name="Bookmark_I69T29262N1PN40030000400_2"/>
      <w:bookmarkEnd w:id="77"/>
      <w:bookmarkStart w:id="78" w:name="Bookmark_I69T29262N1PN40050000400"/>
      <w:bookmarkEnd w:id="78"/>
      <w:r>
        <w:rPr>
          <w:rFonts w:ascii="arial" w:eastAsia="arial" w:hAnsi="arial" w:cs="arial"/>
          <w:b w:val="0"/>
          <w:i w:val="0"/>
          <w:strike w:val="0"/>
          <w:noProof w:val="0"/>
          <w:color w:val="000000"/>
          <w:position w:val="0"/>
          <w:sz w:val="20"/>
          <w:u w:val="none"/>
          <w:vertAlign w:val="baseline"/>
        </w:rPr>
        <w:t xml:space="preserve">Additionally, the applicant must establish a nexus between the claimed persecution and his membership in the particular social group. </w:t>
      </w:r>
      <w:r>
        <w:rPr>
          <w:rFonts w:ascii="arial" w:eastAsia="arial" w:hAnsi="arial" w:cs="arial"/>
          <w:b w:val="0"/>
          <w:i/>
          <w:strike w:val="0"/>
          <w:noProof w:val="0"/>
          <w:color w:val="000000"/>
          <w:position w:val="0"/>
          <w:sz w:val="20"/>
          <w:u w:val="none"/>
          <w:vertAlign w:val="baseline"/>
        </w:rPr>
        <w:t xml:space="preserve">See </w:t>
      </w:r>
      <w:bookmarkStart w:id="79" w:name="Bookmark_I69T29262N1PN40020000400"/>
      <w:bookmarkEnd w:id="79"/>
      <w:hyperlink r:id="rId42" w:history="1">
        <w:r>
          <w:rPr>
            <w:rFonts w:ascii="arial" w:eastAsia="arial" w:hAnsi="arial" w:cs="arial"/>
            <w:b w:val="0"/>
            <w:i/>
            <w:strike w:val="0"/>
            <w:noProof w:val="0"/>
            <w:color w:val="0077CC"/>
            <w:position w:val="0"/>
            <w:sz w:val="20"/>
            <w:u w:val="single"/>
            <w:vertAlign w:val="baseline"/>
          </w:rPr>
          <w:t>Al-Ghorbani v. Holder</w:t>
        </w:r>
      </w:hyperlink>
      <w:hyperlink r:id="rId42" w:history="1">
        <w:r>
          <w:rPr>
            <w:rFonts w:ascii="arial" w:eastAsia="arial" w:hAnsi="arial" w:cs="arial"/>
            <w:b w:val="0"/>
            <w:i/>
            <w:strike w:val="0"/>
            <w:noProof w:val="0"/>
            <w:color w:val="0077CC"/>
            <w:position w:val="0"/>
            <w:sz w:val="20"/>
            <w:u w:val="single"/>
            <w:vertAlign w:val="baseline"/>
          </w:rPr>
          <w:t>, 585 F.3d 980, 997 (6th Cir. 2009)</w:t>
        </w:r>
      </w:hyperlink>
      <w:r>
        <w:rPr>
          <w:rFonts w:ascii="arial" w:eastAsia="arial" w:hAnsi="arial" w:cs="arial"/>
          <w:b w:val="0"/>
          <w:i w:val="0"/>
          <w:strike w:val="0"/>
          <w:noProof w:val="0"/>
          <w:color w:val="000000"/>
          <w:position w:val="0"/>
          <w:sz w:val="20"/>
          <w:u w:val="none"/>
          <w:vertAlign w:val="baseline"/>
        </w:rPr>
        <w:t xml:space="preserve">. </w:t>
      </w:r>
      <w:bookmarkStart w:id="80" w:name="Bookmark_I69T29262N1PN40050000400_2"/>
      <w:bookmarkEnd w:id="80"/>
      <w:r>
        <w:rPr>
          <w:rFonts w:ascii="arial" w:eastAsia="arial" w:hAnsi="arial" w:cs="arial"/>
          <w:b w:val="0"/>
          <w:i w:val="0"/>
          <w:strike w:val="0"/>
          <w:noProof w:val="0"/>
          <w:color w:val="000000"/>
          <w:position w:val="0"/>
          <w:sz w:val="20"/>
          <w:u w:val="none"/>
          <w:vertAlign w:val="baseline"/>
        </w:rPr>
        <w:t xml:space="preserve">Withholding of removal is "not available to an alien who fears retribution solely over personal matters."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1" w:name="Bookmark_I69T29262N1PN40040000400"/>
      <w:bookmarkEnd w:id="81"/>
      <w:hyperlink r:id="rId43" w:history="1">
        <w:r>
          <w:rPr>
            <w:rFonts w:ascii="arial" w:eastAsia="arial" w:hAnsi="arial" w:cs="arial"/>
            <w:b w:val="0"/>
            <w:i/>
            <w:strike w:val="0"/>
            <w:noProof w:val="0"/>
            <w:color w:val="0077CC"/>
            <w:position w:val="0"/>
            <w:sz w:val="20"/>
            <w:u w:val="single"/>
            <w:vertAlign w:val="baseline"/>
          </w:rPr>
          <w:t>Zoarab v. Mukasey</w:t>
        </w:r>
      </w:hyperlink>
      <w:hyperlink r:id="rId43" w:history="1">
        <w:r>
          <w:rPr>
            <w:rFonts w:ascii="arial" w:eastAsia="arial" w:hAnsi="arial" w:cs="arial"/>
            <w:b w:val="0"/>
            <w:i/>
            <w:strike w:val="0"/>
            <w:noProof w:val="0"/>
            <w:color w:val="0077CC"/>
            <w:position w:val="0"/>
            <w:sz w:val="20"/>
            <w:u w:val="single"/>
            <w:vertAlign w:val="baseline"/>
          </w:rPr>
          <w:t>, 524 F.3d 777, 781 (6th Cir. 2008)</w:t>
        </w:r>
      </w:hyperlink>
      <w:r>
        <w:rPr>
          <w:rFonts w:ascii="arial" w:eastAsia="arial" w:hAnsi="arial" w:cs="arial"/>
          <w:b w:val="0"/>
          <w:i w:val="0"/>
          <w:strike w:val="0"/>
          <w:noProof w:val="0"/>
          <w:color w:val="000000"/>
          <w:position w:val="0"/>
          <w:sz w:val="20"/>
          <w:u w:val="none"/>
          <w:vertAlign w:val="baseline"/>
        </w:rPr>
        <w:t xml:space="preserve"> (emphasis omitted)).</w:t>
      </w:r>
    </w:p>
    <w:p>
      <w:pPr>
        <w:keepNext w:val="0"/>
        <w:spacing w:before="240" w:after="0" w:line="260" w:lineRule="atLeast"/>
        <w:ind w:left="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The record does not compel a conclusion that Amieva suffered persecution in Mexico. The sexual abuse that Amieva experienced as a child and the beating that he suffered from Arturo Sosa as a teenager were solely personal matters.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So there was no nexus between the claimed persecution and Amieva's particular social group. </w:t>
      </w:r>
      <w:bookmarkStart w:id="83" w:name="Bookmark_I69T29262N1PN80020000400"/>
      <w:bookmarkEnd w:id="83"/>
      <w:r>
        <w:rPr>
          <w:rFonts w:ascii="arial" w:eastAsia="arial" w:hAnsi="arial" w:cs="arial"/>
          <w:b w:val="0"/>
          <w:i w:val="0"/>
          <w:strike w:val="0"/>
          <w:noProof w:val="0"/>
          <w:color w:val="000000"/>
          <w:position w:val="0"/>
          <w:sz w:val="20"/>
          <w:u w:val="none"/>
          <w:vertAlign w:val="baseline"/>
        </w:rPr>
        <w:t xml:space="preserve">Neither was there any nexus between the single incident where the smuggler threatened to kill Amieva if Amieva informed on him and any particular social group. Further we have repeatedly held that Mexicans returning to Mexico from the United States do not constitute a cognizable particular social group. </w:t>
      </w:r>
      <w:bookmarkStart w:id="84" w:name="Bookmark_I69T29262N1PN80040000400"/>
      <w:bookmarkEnd w:id="84"/>
      <w:r>
        <w:rPr>
          <w:rFonts w:ascii="arial" w:eastAsia="arial" w:hAnsi="arial" w:cs="arial"/>
          <w:b w:val="0"/>
          <w:i/>
          <w:strike w:val="0"/>
          <w:noProof w:val="0"/>
          <w:color w:val="000000"/>
          <w:position w:val="0"/>
          <w:sz w:val="20"/>
          <w:u w:val="none"/>
          <w:vertAlign w:val="baseline"/>
        </w:rPr>
        <w:t xml:space="preserve">See </w:t>
      </w:r>
      <w:bookmarkStart w:id="85" w:name="Bookmark_I69T29262N1PN80010000400"/>
      <w:bookmarkEnd w:id="85"/>
      <w:hyperlink r:id="rId44" w:history="1">
        <w:r>
          <w:rPr>
            <w:rFonts w:ascii="arial" w:eastAsia="arial" w:hAnsi="arial" w:cs="arial"/>
            <w:b w:val="0"/>
            <w:i/>
            <w:strike w:val="0"/>
            <w:noProof w:val="0"/>
            <w:color w:val="0077CC"/>
            <w:position w:val="0"/>
            <w:sz w:val="20"/>
            <w:u w:val="single"/>
            <w:vertAlign w:val="baseline"/>
          </w:rPr>
          <w:t>Dealmonte-Castillo v. Sessions</w:t>
        </w:r>
      </w:hyperlink>
      <w:hyperlink r:id="rId44" w:history="1">
        <w:r>
          <w:rPr>
            <w:rFonts w:ascii="arial" w:eastAsia="arial" w:hAnsi="arial" w:cs="arial"/>
            <w:b w:val="0"/>
            <w:i/>
            <w:strike w:val="0"/>
            <w:noProof w:val="0"/>
            <w:color w:val="0077CC"/>
            <w:position w:val="0"/>
            <w:sz w:val="20"/>
            <w:u w:val="single"/>
            <w:vertAlign w:val="baseline"/>
          </w:rPr>
          <w:t>, 737 F. App'x 282, 285 (6th Cir. 2018)</w:t>
        </w:r>
      </w:hyperlink>
      <w:r>
        <w:rPr>
          <w:rFonts w:ascii="arial" w:eastAsia="arial" w:hAnsi="arial" w:cs="arial"/>
          <w:b w:val="0"/>
          <w:i w:val="0"/>
          <w:strike w:val="0"/>
          <w:noProof w:val="0"/>
          <w:color w:val="000000"/>
          <w:position w:val="0"/>
          <w:sz w:val="20"/>
          <w:u w:val="none"/>
          <w:vertAlign w:val="baseline"/>
        </w:rPr>
        <w:t xml:space="preserve"> (collecting cases). </w:t>
      </w:r>
      <w:bookmarkStart w:id="86" w:name="Bookmark_I69T29262N1PN80040000400_2"/>
      <w:bookmarkEnd w:id="86"/>
      <w:r>
        <w:rPr>
          <w:rFonts w:ascii="arial" w:eastAsia="arial" w:hAnsi="arial" w:cs="arial"/>
          <w:b w:val="0"/>
          <w:i w:val="0"/>
          <w:strike w:val="0"/>
          <w:noProof w:val="0"/>
          <w:color w:val="000000"/>
          <w:position w:val="0"/>
          <w:sz w:val="20"/>
          <w:u w:val="none"/>
          <w:vertAlign w:val="baseline"/>
        </w:rPr>
        <w:t xml:space="preserve">Because Amieva failed to identify a cognizable particular social group, he cannot establish a probability that he will be persecuted if he returns to Mexico. </w:t>
      </w:r>
      <w:r>
        <w:rPr>
          <w:rFonts w:ascii="arial" w:eastAsia="arial" w:hAnsi="arial" w:cs="arial"/>
          <w:b w:val="0"/>
          <w:i/>
          <w:strike w:val="0"/>
          <w:noProof w:val="0"/>
          <w:color w:val="000000"/>
          <w:position w:val="0"/>
          <w:sz w:val="20"/>
          <w:u w:val="none"/>
          <w:vertAlign w:val="baseline"/>
        </w:rPr>
        <w:t xml:space="preserve">See </w:t>
      </w:r>
      <w:bookmarkStart w:id="87" w:name="Bookmark_I69T29262N1PN80030000400"/>
      <w:bookmarkEnd w:id="87"/>
      <w:hyperlink r:id="rId28" w:history="1">
        <w:r>
          <w:rPr>
            <w:rFonts w:ascii="arial" w:eastAsia="arial" w:hAnsi="arial" w:cs="arial"/>
            <w:b w:val="0"/>
            <w:i/>
            <w:strike w:val="0"/>
            <w:noProof w:val="0"/>
            <w:color w:val="0077CC"/>
            <w:position w:val="0"/>
            <w:sz w:val="20"/>
            <w:u w:val="single"/>
            <w:vertAlign w:val="baseline"/>
          </w:rPr>
          <w:t>Sanchez-Robles</w:t>
        </w:r>
      </w:hyperlink>
      <w:hyperlink r:id="rId28" w:history="1">
        <w:r>
          <w:rPr>
            <w:rFonts w:ascii="arial" w:eastAsia="arial" w:hAnsi="arial" w:cs="arial"/>
            <w:b w:val="0"/>
            <w:i/>
            <w:strike w:val="0"/>
            <w:noProof w:val="0"/>
            <w:color w:val="0077CC"/>
            <w:position w:val="0"/>
            <w:sz w:val="20"/>
            <w:u w:val="single"/>
            <w:vertAlign w:val="baseline"/>
          </w:rPr>
          <w:t>, 808 F.3d at 692-93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19"/>
      <w:bookmarkEnd w:id="88"/>
      <w:bookmarkStart w:id="89" w:name="Bookmark_I69T29262SF8890010000400"/>
      <w:bookmarkEnd w:id="89"/>
      <w:bookmarkStart w:id="90" w:name="Bookmark_LNHNREFclscc5"/>
      <w:bookmarkEnd w:id="90"/>
      <w:hyperlink r:id="rId4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To qualify for CAT relief, an applicant must establish that it is more likely than not that he would be tortured by or with the acquiescence of a public official if deported to the country of removal. </w:t>
      </w:r>
      <w:r>
        <w:rPr>
          <w:rFonts w:ascii="arial" w:eastAsia="arial" w:hAnsi="arial" w:cs="arial"/>
          <w:b w:val="0"/>
          <w:i/>
          <w:strike w:val="0"/>
          <w:noProof w:val="0"/>
          <w:color w:val="000000"/>
          <w:position w:val="0"/>
          <w:sz w:val="20"/>
          <w:u w:val="none"/>
          <w:vertAlign w:val="baseline"/>
        </w:rPr>
        <w:t>8 C.F.R. § 1208.16(c)(2)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1208.18(a)</w:t>
        </w:r>
      </w:hyperlink>
      <w:r>
        <w:rPr>
          <w:rFonts w:ascii="arial" w:eastAsia="arial" w:hAnsi="arial" w:cs="arial"/>
          <w:b w:val="0"/>
          <w:i w:val="0"/>
          <w:strike w:val="0"/>
          <w:noProof w:val="0"/>
          <w:color w:val="000000"/>
          <w:position w:val="0"/>
          <w:sz w:val="20"/>
          <w:u w:val="none"/>
          <w:vertAlign w:val="baseline"/>
        </w:rPr>
        <w:t xml:space="preserve">; </w:t>
      </w:r>
      <w:bookmarkStart w:id="91" w:name="Bookmark_I69T29262N1PN80050000400"/>
      <w:bookmarkEnd w:id="91"/>
      <w:hyperlink r:id="rId46" w:history="1">
        <w:r>
          <w:rPr>
            <w:rFonts w:ascii="arial" w:eastAsia="arial" w:hAnsi="arial" w:cs="arial"/>
            <w:b w:val="0"/>
            <w:i/>
            <w:strike w:val="0"/>
            <w:noProof w:val="0"/>
            <w:color w:val="0077CC"/>
            <w:position w:val="0"/>
            <w:sz w:val="20"/>
            <w:u w:val="single"/>
            <w:vertAlign w:val="baseline"/>
          </w:rPr>
          <w:t>Zhao v. Holder</w:t>
        </w:r>
      </w:hyperlink>
      <w:hyperlink r:id="rId46" w:history="1">
        <w:r>
          <w:rPr>
            <w:rFonts w:ascii="arial" w:eastAsia="arial" w:hAnsi="arial" w:cs="arial"/>
            <w:b w:val="0"/>
            <w:i/>
            <w:strike w:val="0"/>
            <w:noProof w:val="0"/>
            <w:color w:val="0077CC"/>
            <w:position w:val="0"/>
            <w:sz w:val="20"/>
            <w:u w:val="single"/>
            <w:vertAlign w:val="baseline"/>
          </w:rPr>
          <w:t>, 569 F.3d 238, 241 (6th Cir. 2009)</w:t>
        </w:r>
      </w:hyperlink>
      <w:r>
        <w:rPr>
          <w:rFonts w:ascii="arial" w:eastAsia="arial" w:hAnsi="arial" w:cs="arial"/>
          <w:b w:val="0"/>
          <w:i w:val="0"/>
          <w:strike w:val="0"/>
          <w:noProof w:val="0"/>
          <w:color w:val="000000"/>
          <w:position w:val="0"/>
          <w:sz w:val="20"/>
          <w:u w:val="none"/>
          <w:vertAlign w:val="baseline"/>
        </w:rPr>
        <w:t xml:space="preserve"> (amended opinion). "Torture is an extreme form of cruel and inhuman treatment and does not include lesser forms of cruel, inhuman or degrading treatment or punishment that do not amount to torture." </w:t>
      </w:r>
      <w:hyperlink r:id="rId16" w:history="1">
        <w:r>
          <w:rPr>
            <w:rFonts w:ascii="arial" w:eastAsia="arial" w:hAnsi="arial" w:cs="arial"/>
            <w:b w:val="0"/>
            <w:i/>
            <w:strike w:val="0"/>
            <w:noProof w:val="0"/>
            <w:color w:val="0077CC"/>
            <w:position w:val="0"/>
            <w:sz w:val="20"/>
            <w:u w:val="single"/>
            <w:vertAlign w:val="baseline"/>
          </w:rPr>
          <w:t>8 C.F.R. § 1208.18(a)(2)</w:t>
        </w:r>
      </w:hyperlink>
      <w:r>
        <w:rPr>
          <w:rFonts w:ascii="arial" w:eastAsia="arial" w:hAnsi="arial" w:cs="arial"/>
          <w:b w:val="0"/>
          <w:i w:val="0"/>
          <w:strike w:val="0"/>
          <w:noProof w:val="0"/>
          <w:color w:val="000000"/>
          <w:position w:val="0"/>
          <w:sz w:val="20"/>
          <w:u w:val="none"/>
          <w:vertAlign w:val="baseline"/>
        </w:rPr>
        <w:t>. "Acquiescence of a public official requires that the public official, prior to the activity constituting torture, have awareness of such activity and thereafter breach his or her legal responsibility to intervene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prevent such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1208.18(a)(7)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20"/>
      <w:bookmarkEnd w:id="92"/>
      <w:r>
        <w:rPr>
          <w:rFonts w:ascii="arial" w:eastAsia="arial" w:hAnsi="arial" w:cs="arial"/>
          <w:b w:val="0"/>
          <w:i w:val="0"/>
          <w:strike w:val="0"/>
          <w:noProof w:val="0"/>
          <w:color w:val="000000"/>
          <w:position w:val="0"/>
          <w:sz w:val="20"/>
          <w:u w:val="none"/>
          <w:vertAlign w:val="baseline"/>
        </w:rPr>
        <w:t xml:space="preserve">The record does not compel a conclusion that Amieva probably would be tortured in Mexico. Amieva does not cite any record evidence to support his assertion that the Mexican government engages in pervasive torture of its own citizens. A report on organized crime in Mexico disclosed that Mexican security forces have carried out operations against the cartels and cartel leadership. </w:t>
      </w:r>
      <w:bookmarkStart w:id="93" w:name="Bookmark_I69T29262SF8890030000400"/>
      <w:bookmarkEnd w:id="93"/>
      <w:r>
        <w:rPr>
          <w:rFonts w:ascii="arial" w:eastAsia="arial" w:hAnsi="arial" w:cs="arial"/>
          <w:b w:val="0"/>
          <w:i w:val="0"/>
          <w:strike w:val="0"/>
          <w:noProof w:val="0"/>
          <w:color w:val="000000"/>
          <w:position w:val="0"/>
          <w:sz w:val="20"/>
          <w:u w:val="none"/>
          <w:vertAlign w:val="baseline"/>
        </w:rPr>
        <w:t xml:space="preserve">The U.S. State Department reported that "[c]ivilian authorities generally maintained effective control over the security forces." Further, the Mexican government has prosecuted military commanders for corruption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abuses. The government's lack of success in stemming cartel violence and police corruption does not demonstrate acquiescence. </w:t>
      </w:r>
      <w:r>
        <w:rPr>
          <w:rFonts w:ascii="arial" w:eastAsia="arial" w:hAnsi="arial" w:cs="arial"/>
          <w:b w:val="0"/>
          <w:i/>
          <w:strike w:val="0"/>
          <w:noProof w:val="0"/>
          <w:color w:val="000000"/>
          <w:position w:val="0"/>
          <w:sz w:val="20"/>
          <w:u w:val="none"/>
          <w:vertAlign w:val="baseline"/>
        </w:rPr>
        <w:t xml:space="preserve">See </w:t>
      </w:r>
      <w:bookmarkStart w:id="94" w:name="Bookmark_I69T29262SF8890020000400"/>
      <w:bookmarkEnd w:id="94"/>
      <w:hyperlink r:id="rId47" w:history="1">
        <w:r>
          <w:rPr>
            <w:rFonts w:ascii="arial" w:eastAsia="arial" w:hAnsi="arial" w:cs="arial"/>
            <w:b w:val="0"/>
            <w:i/>
            <w:strike w:val="0"/>
            <w:noProof w:val="0"/>
            <w:color w:val="0077CC"/>
            <w:position w:val="0"/>
            <w:sz w:val="20"/>
            <w:u w:val="single"/>
            <w:vertAlign w:val="baseline"/>
          </w:rPr>
          <w:t>Torres v. Sessions</w:t>
        </w:r>
      </w:hyperlink>
      <w:hyperlink r:id="rId47" w:history="1">
        <w:r>
          <w:rPr>
            <w:rFonts w:ascii="arial" w:eastAsia="arial" w:hAnsi="arial" w:cs="arial"/>
            <w:b w:val="0"/>
            <w:i/>
            <w:strike w:val="0"/>
            <w:noProof w:val="0"/>
            <w:color w:val="0077CC"/>
            <w:position w:val="0"/>
            <w:sz w:val="20"/>
            <w:u w:val="single"/>
            <w:vertAlign w:val="baseline"/>
          </w:rPr>
          <w:t>, 728 F. App'x 584, 589-90 (6th Cir. 2018)</w:t>
        </w:r>
      </w:hyperlink>
      <w:r>
        <w:rPr>
          <w:rFonts w:ascii="arial" w:eastAsia="arial" w:hAnsi="arial" w:cs="arial"/>
          <w:b w:val="0"/>
          <w:i w:val="0"/>
          <w:strike w:val="0"/>
          <w:noProof w:val="0"/>
          <w:color w:val="000000"/>
          <w:position w:val="0"/>
          <w:sz w:val="20"/>
          <w:u w:val="none"/>
          <w:vertAlign w:val="baseline"/>
        </w:rPr>
        <w:t xml:space="preserve">; </w:t>
      </w:r>
      <w:bookmarkStart w:id="95" w:name="Bookmark_I69T29262SF8890040000400"/>
      <w:bookmarkEnd w:id="95"/>
      <w:hyperlink r:id="rId37" w:history="1">
        <w:r>
          <w:rPr>
            <w:rFonts w:ascii="arial" w:eastAsia="arial" w:hAnsi="arial" w:cs="arial"/>
            <w:b w:val="0"/>
            <w:i/>
            <w:strike w:val="0"/>
            <w:noProof w:val="0"/>
            <w:color w:val="0077CC"/>
            <w:position w:val="0"/>
            <w:sz w:val="20"/>
            <w:u w:val="single"/>
            <w:vertAlign w:val="baseline"/>
          </w:rPr>
          <w:t>Zaldana Menijar</w:t>
        </w:r>
      </w:hyperlink>
      <w:hyperlink r:id="rId37" w:history="1">
        <w:r>
          <w:rPr>
            <w:rFonts w:ascii="arial" w:eastAsia="arial" w:hAnsi="arial" w:cs="arial"/>
            <w:b w:val="0"/>
            <w:i/>
            <w:strike w:val="0"/>
            <w:noProof w:val="0"/>
            <w:color w:val="0077CC"/>
            <w:position w:val="0"/>
            <w:sz w:val="20"/>
            <w:u w:val="single"/>
            <w:vertAlign w:val="baseline"/>
          </w:rPr>
          <w:t>, 812 F.3d at 502</w:t>
        </w:r>
      </w:hyperlink>
      <w:r>
        <w:rPr>
          <w:rFonts w:ascii="arial" w:eastAsia="arial" w:hAnsi="arial" w:cs="arial"/>
          <w:b w:val="0"/>
          <w:i w:val="0"/>
          <w:strike w:val="0"/>
          <w:noProof w:val="0"/>
          <w:color w:val="000000"/>
          <w:position w:val="0"/>
          <w:sz w:val="20"/>
          <w:u w:val="none"/>
          <w:vertAlign w:val="baseline"/>
        </w:rPr>
        <w:t>. Accordingly, there was substantial evidence that the Mexican government would not acquiesce in Amieva's torture.</w:t>
      </w:r>
    </w:p>
    <w:p>
      <w:pPr>
        <w:keepNext w:val="0"/>
        <w:spacing w:before="200" w:after="0" w:line="260" w:lineRule="atLeast"/>
        <w:ind w:left="0" w:right="0" w:firstLine="0"/>
        <w:jc w:val="both"/>
      </w:pPr>
      <w:bookmarkStart w:id="96" w:name="Bookmark_para_21"/>
      <w:bookmarkEnd w:id="96"/>
      <w:r>
        <w:rPr>
          <w:rFonts w:ascii="arial" w:eastAsia="arial" w:hAnsi="arial" w:cs="arial"/>
          <w:b w:val="0"/>
          <w:i w:val="0"/>
          <w:strike w:val="0"/>
          <w:noProof w:val="0"/>
          <w:color w:val="000000"/>
          <w:position w:val="0"/>
          <w:sz w:val="20"/>
          <w:u w:val="none"/>
          <w:vertAlign w:val="baseline"/>
        </w:rPr>
        <w:t xml:space="preserve">For these reasons, 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Amieva's petition for review.</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Amieva-Castaneda v. Garland, 2023 U.S. App. LEXIS 31775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9S8-YHN1-F1P7-B01B-00000-00&amp;context=1519360&amp;link=LNHNREFclscc2" TargetMode="External" /><Relationship Id="rId12" Type="http://schemas.openxmlformats.org/officeDocument/2006/relationships/hyperlink" Target="https://advance.lexis.com/api/document?collection=statutes-legislation&amp;id=urn:contentItem:8S6M-T0S2-D6RV-H487-00000-00&amp;context=1519360" TargetMode="External" /><Relationship Id="rId13" Type="http://schemas.openxmlformats.org/officeDocument/2006/relationships/hyperlink" Target="https://advance.lexis.com/api/document?collection=cases&amp;id=urn:contentItem:69S8-YHN1-F1P7-B01B-00000-00&amp;context=1519360&amp;link=LNHNREFclscc3" TargetMode="External" /><Relationship Id="rId14" Type="http://schemas.openxmlformats.org/officeDocument/2006/relationships/hyperlink" Target="https://advance.lexis.com/api/document?collection=cases&amp;id=urn:contentItem:69S8-YHN1-F1P7-B01B-00000-00&amp;context=1519360&amp;link=LNHNREFclscc4" TargetMode="External" /><Relationship Id="rId15" Type="http://schemas.openxmlformats.org/officeDocument/2006/relationships/hyperlink" Target="https://advance.lexis.com/api/document?collection=cases&amp;id=urn:contentItem:69S8-YHN1-F1P7-B01B-00000-00&amp;context=1519360&amp;link=LNHNREFclscc5" TargetMode="External" /><Relationship Id="rId16" Type="http://schemas.openxmlformats.org/officeDocument/2006/relationships/hyperlink" Target="https://advance.lexis.com/api/document?collection=administrative-codes&amp;id=urn:contentItem:6540-C6W3-GXF6-8419-00000-00&amp;context=1519360" TargetMode="External" /><Relationship Id="rId17" Type="http://schemas.openxmlformats.org/officeDocument/2006/relationships/hyperlink" Target="https://advance.lexis.com/api/document?collection=administrative-codes&amp;id=urn:contentItem:5YYH-WX61-DYB7-W166-00000-00&amp;context=1519360" TargetMode="External" /><Relationship Id="rId18" Type="http://schemas.openxmlformats.org/officeDocument/2006/relationships/hyperlink" Target="https://advance.lexis.com/api/document?collection=cases&amp;id=urn:contentItem:57WG-B5P1-F04K-P0D0-00000-00&amp;context=1519360" TargetMode="External" /><Relationship Id="rId19" Type="http://schemas.openxmlformats.org/officeDocument/2006/relationships/hyperlink" Target="https://advance.lexis.com/api/document?collection=statutes-legislation&amp;id=urn:contentItem:8S6M-T0S2-D6RV-H46X-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FYN-N4G1-F04K-R09Y-00000-00&amp;context=1519360" TargetMode="External" /><Relationship Id="rId21" Type="http://schemas.openxmlformats.org/officeDocument/2006/relationships/hyperlink" Target="https://advance.lexis.com/api/document?collection=cases&amp;id=urn:contentItem:69S8-YHN1-F1P7-B01B-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4X2V-RBJ0-TXFX-821V-00000-00&amp;context=1519360" TargetMode="External" /><Relationship Id="rId24" Type="http://schemas.openxmlformats.org/officeDocument/2006/relationships/hyperlink" Target="https://advance.lexis.com/api/document?collection=cases&amp;id=urn:contentItem:4D4Y-Y200-0038-X4SM-00000-00&amp;context=1519360" TargetMode="External" /><Relationship Id="rId25" Type="http://schemas.openxmlformats.org/officeDocument/2006/relationships/hyperlink" Target="https://advance.lexis.com/api/document?collection=cases&amp;id=urn:contentItem:5HSV-C1P1-F04K-P08S-00000-00&amp;context=1519360" TargetMode="External" /><Relationship Id="rId26" Type="http://schemas.openxmlformats.org/officeDocument/2006/relationships/hyperlink" Target="https://advance.lexis.com/api/document?collection=statutes-legislation&amp;id=urn:contentItem:8S6M-T0S2-D6RV-H48H-00000-00&amp;context=1519360" TargetMode="External" /><Relationship Id="rId27" Type="http://schemas.openxmlformats.org/officeDocument/2006/relationships/hyperlink" Target="https://advance.lexis.com/api/document?collection=cases&amp;id=urn:contentItem:7YF9-1G81-2RHS-V000-00000-00&amp;context=1519360" TargetMode="External" /><Relationship Id="rId28" Type="http://schemas.openxmlformats.org/officeDocument/2006/relationships/hyperlink" Target="https://advance.lexis.com/api/document?collection=cases&amp;id=urn:contentItem:5HMJ-TV41-F04K-P06N-00000-00&amp;context=1519360" TargetMode="External" /><Relationship Id="rId29" Type="http://schemas.openxmlformats.org/officeDocument/2006/relationships/hyperlink" Target="https://advance.lexis.com/api/document?collection=administrative-materials&amp;id=urn:contentItem:539Y-5MC0-01KR-V06S-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9S8-YHN1-F1P7-B01B-00000-00&amp;context=1519360&amp;link=clscc2" TargetMode="External" /><Relationship Id="rId31" Type="http://schemas.openxmlformats.org/officeDocument/2006/relationships/hyperlink" Target="https://advance.lexis.com/api/document?collection=cases&amp;id=urn:contentItem:69S8-YHN1-F1P7-B01B-00000-00&amp;context=1519360&amp;link=clscc3" TargetMode="External" /><Relationship Id="rId32" Type="http://schemas.openxmlformats.org/officeDocument/2006/relationships/hyperlink" Target="https://advance.lexis.com/api/document?collection=cases&amp;id=urn:contentItem:692W-4X21-F873-B098-00000-00&amp;context=1519360" TargetMode="External" /><Relationship Id="rId33" Type="http://schemas.openxmlformats.org/officeDocument/2006/relationships/hyperlink" Target="https://advance.lexis.com/api/document?collection=cases&amp;id=urn:contentItem:4R12-0C90-TXFX-832T-00000-00&amp;context=1519360" TargetMode="External" /><Relationship Id="rId34" Type="http://schemas.openxmlformats.org/officeDocument/2006/relationships/hyperlink" Target="https://advance.lexis.com/api/document?collection=cases&amp;id=urn:contentItem:42V7-31K0-0038-X4PG-00000-00&amp;context=1519360" TargetMode="External" /><Relationship Id="rId35" Type="http://schemas.openxmlformats.org/officeDocument/2006/relationships/hyperlink" Target="https://advance.lexis.com/api/document?collection=cases&amp;id=urn:contentItem:5X7D-8G01-F57G-S2TG-00000-00&amp;context=1519360" TargetMode="External" /><Relationship Id="rId36" Type="http://schemas.openxmlformats.org/officeDocument/2006/relationships/hyperlink" Target="https://advance.lexis.com/api/document?collection=cases&amp;id=urn:contentItem:69S8-YHN1-F1P7-B01B-00000-00&amp;context=1519360&amp;link=clscc4" TargetMode="External" /><Relationship Id="rId37" Type="http://schemas.openxmlformats.org/officeDocument/2006/relationships/hyperlink" Target="https://advance.lexis.com/api/document?collection=cases&amp;id=urn:contentItem:5HX1-XVK1-F04K-P0DN-00000-00&amp;context=1519360" TargetMode="External" /><Relationship Id="rId38" Type="http://schemas.openxmlformats.org/officeDocument/2006/relationships/hyperlink" Target="https://advance.lexis.com/api/document?collection=cases&amp;id=urn:contentItem:5R02-J0G1-F04K-P1C7-00000-00&amp;context=1519360" TargetMode="External" /><Relationship Id="rId39" Type="http://schemas.openxmlformats.org/officeDocument/2006/relationships/hyperlink" Target="https://advance.lexis.com/api/document?collection=cases&amp;id=urn:contentItem:3SWT-K3W0-0038-X255-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7XS4-D3G0-YB0V-J00W-00000-00&amp;context=1519360" TargetMode="External" /><Relationship Id="rId41" Type="http://schemas.openxmlformats.org/officeDocument/2006/relationships/hyperlink" Target="https://advance.lexis.com/api/document?collection=cases&amp;id=urn:contentItem:4NP4-VYY0-TVRV-B34N-00000-00&amp;context=1519360" TargetMode="External" /><Relationship Id="rId42" Type="http://schemas.openxmlformats.org/officeDocument/2006/relationships/hyperlink" Target="https://advance.lexis.com/api/document?collection=cases&amp;id=urn:contentItem:7X28-V170-YB0V-J005-00000-00&amp;context=1519360" TargetMode="External" /><Relationship Id="rId43" Type="http://schemas.openxmlformats.org/officeDocument/2006/relationships/hyperlink" Target="https://advance.lexis.com/api/document?collection=cases&amp;id=urn:contentItem:4SFJ-DXM0-TXFX-81R2-00000-00&amp;context=1519360" TargetMode="External" /><Relationship Id="rId44" Type="http://schemas.openxmlformats.org/officeDocument/2006/relationships/hyperlink" Target="https://advance.lexis.com/api/document?collection=cases&amp;id=urn:contentItem:5T3S-J0W1-DXPM-S4M5-00000-00&amp;context=1519360" TargetMode="External" /><Relationship Id="rId45" Type="http://schemas.openxmlformats.org/officeDocument/2006/relationships/hyperlink" Target="https://advance.lexis.com/api/document?collection=cases&amp;id=urn:contentItem:69S8-YHN1-F1P7-B01B-00000-00&amp;context=1519360&amp;link=clscc5" TargetMode="External" /><Relationship Id="rId46" Type="http://schemas.openxmlformats.org/officeDocument/2006/relationships/hyperlink" Target="https://advance.lexis.com/api/document?collection=cases&amp;id=urn:contentItem:4WJB-Y0K0-TXFX-8304-00000-00&amp;context=1519360" TargetMode="External" /><Relationship Id="rId47" Type="http://schemas.openxmlformats.org/officeDocument/2006/relationships/hyperlink" Target="https://advance.lexis.com/api/document?collection=cases&amp;id=urn:contentItem:5SB6-YJV1-JFDC-X0FP-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S8-YHN1-F1P7-B01B-00000-00&amp;context=1519360" TargetMode="External" /><Relationship Id="rId9" Type="http://schemas.openxmlformats.org/officeDocument/2006/relationships/hyperlink" Target="https://advance.lexis.com/api/document?collection=cases&amp;id=urn:contentItem:69S8-YHN1-F1P7-B01B-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Amieva-Castaneda v. Garland, 2023 U.S. App. LEXIS 31775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urn:user:PA186186280</vt:lpwstr>
  </property>
</Properties>
</file>