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In re Loryssa 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Superior Court of Connecticut, Judicial District of Waterbury, Juvenile Matters At Waterbury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DOCKET NO.: U06-CP-22-013155-A, U06-CP-22-013156-A</w:t>
      </w:r>
    </w:p>
    <w:p>
      <w:pPr>
        <w:keepNext w:val="0"/>
        <w:spacing w:after="0" w:line="240" w:lineRule="atLeast"/>
        <w:ind w:right="0"/>
        <w:jc w:val="both"/>
      </w:pPr>
      <w:bookmarkStart w:id="0" w:name="Bookmark_2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Conn. Super. LEXIS 366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2582628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 RE: LORYSSA S. &amp; JAZELLE S., Children under the age of eighteen years</w:t>
      </w:r>
      <w:r>
        <w:rPr>
          <w:rFonts w:ascii="arial" w:eastAsia="arial" w:hAnsi="arial" w:cs="arial"/>
          <w:vertAlign w:val="superscript"/>
        </w:rPr>
        <w:footnoteReference w:customMarkFollows="1" w:id="2"/>
        <w:t xml:space="preserve">1</w:t>
      </w:r>
    </w:p>
    <w:p>
      <w:pPr>
        <w:keepNext w:val="0"/>
        <w:spacing w:before="240" w:after="0" w:line="260" w:lineRule="atLeast"/>
        <w:ind w:left="0" w:right="0" w:firstLine="0"/>
        <w:jc w:val="both"/>
      </w:pPr>
      <w:bookmarkStart w:id="3" w:name="Notice"/>
      <w:bookmarkEnd w:id="3"/>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4" w:name="Bookmark_para_1"/>
      <w:bookmarkEnd w:id="4"/>
      <w:r>
        <w:rPr>
          <w:rFonts w:ascii="arial" w:eastAsia="arial" w:hAnsi="arial" w:cs="arial"/>
          <w:b w:val="0"/>
          <w:i w:val="0"/>
          <w:strike w:val="0"/>
          <w:noProof w:val="0"/>
          <w:color w:val="000000"/>
          <w:position w:val="0"/>
          <w:sz w:val="20"/>
          <w:u w:val="none"/>
          <w:vertAlign w:val="baseline"/>
        </w:rPr>
        <w:t>THIS DECISION IS UNREPORTED AND MAY BE SUBJECT TO FURTHER APPELLATE REVIEW. COUNSEL IS CAUTIONED TO MAKE AN INDEPENDENT DETERMINATION OF THE STATUS OF THIS CASE.</w:t>
      </w:r>
    </w:p>
    <w:p>
      <w:pPr>
        <w:keepNext/>
        <w:spacing w:before="240" w:after="0" w:line="340" w:lineRule="atLeast"/>
        <w:ind w:left="0" w:right="0" w:firstLine="0"/>
        <w:jc w:val="left"/>
      </w:pPr>
      <w:bookmarkStart w:id="5" w:name="Core Terms"/>
      <w:bookmarkEnd w:id="5"/>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aunt, neglect, custody, siblings, proceedings, petitions, bruising, injuries, grade, phase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Knight, J.</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Knight</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MEMORANDUM OF DECISION</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The genesis of these matters was a careline report made to the Department of Children and Families (the petitioner or department) on October 5, 2022, by personnel at Yale New Haven Hospital concerning a fourteen-month-old child, Amateo R. (Amateo), who was admitted to the hospital's trauma unit with injuries indicative of intentional physical abuse.</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As a result of Amateo's condition, the department invoked a ninety-six-hour hold on two of his siblings. His half siblings, Loryssa S. (Loryssa), age seventeen, and Jazelle S. (Jazelle), age fifteen, the subjects of these proceedings, were permitted to remain in the home with a family member provided that their mother and stepfather, Antonio R., were not present.</w:t>
      </w:r>
    </w:p>
    <w:p>
      <w:pPr>
        <w:keepNext w:val="0"/>
        <w:spacing w:before="24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 xml:space="preserve">On October 7, 2022, the petitioner moved for orders of temporary custody (OTCs) and contemporaneously filed neglect petitions as to the children Loryssa and Jazelle pursuant to </w:t>
      </w:r>
      <w:hyperlink r:id="rId10" w:history="1">
        <w:r>
          <w:rPr>
            <w:rFonts w:ascii="arial" w:eastAsia="arial" w:hAnsi="arial" w:cs="arial"/>
            <w:b w:val="0"/>
            <w:i/>
            <w:strike w:val="0"/>
            <w:noProof w:val="0"/>
            <w:color w:val="0077CC"/>
            <w:position w:val="0"/>
            <w:sz w:val="20"/>
            <w:u w:val="single"/>
            <w:vertAlign w:val="baseline"/>
          </w:rPr>
          <w:t>General Statutes § 46b-129</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The petitions alleged both neglect and abuse.</w:t>
      </w:r>
    </w:p>
    <w:p>
      <w:pPr>
        <w:keepNext w:val="0"/>
        <w:spacing w:before="200" w:after="0" w:line="260" w:lineRule="atLeast"/>
        <w:ind w:left="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On October 10, 2022, Amateo died from his injuries. The mother and her husband, Antonio R., father of Amateo, were implicated in the child's death.</w:t>
      </w:r>
    </w:p>
    <w:p>
      <w:pPr>
        <w:keepNext w:val="0"/>
        <w:spacing w:before="200" w:after="0" w:line="260" w:lineRule="atLeast"/>
        <w:ind w:left="0" w:right="0" w:firstLine="0"/>
        <w:jc w:val="both"/>
      </w:pPr>
      <w:bookmarkStart w:id="14" w:name="Bookmark_para_6"/>
      <w:bookmarkEnd w:id="14"/>
      <w:r>
        <w:rPr>
          <w:rFonts w:ascii="arial" w:eastAsia="arial" w:hAnsi="arial" w:cs="arial"/>
          <w:b w:val="0"/>
          <w:i w:val="0"/>
          <w:strike w:val="0"/>
          <w:noProof w:val="0"/>
          <w:color w:val="000000"/>
          <w:position w:val="0"/>
          <w:sz w:val="20"/>
          <w:u w:val="none"/>
          <w:vertAlign w:val="baseline"/>
        </w:rPr>
        <w:t>On December 8, 2022, Loryssa and Jazelle's mother and their father, Charles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S., agreed to sustain the OTCs for both children. The mother entered nolo pleas to the petitions, which were brought on the grounds that the children were denied proper care and attention. The father stood silent. The court adjudicated the children neglected. This dispositional trial followed.</w:t>
      </w:r>
    </w:p>
    <w:p>
      <w:pPr>
        <w:keepNext w:val="0"/>
        <w:spacing w:before="200" w:after="0" w:line="260" w:lineRule="atLeast"/>
        <w:ind w:left="0" w:right="0" w:firstLine="0"/>
        <w:jc w:val="both"/>
      </w:pPr>
      <w:bookmarkStart w:id="15" w:name="Bookmark_para_7"/>
      <w:bookmarkEnd w:id="15"/>
      <w:r>
        <w:rPr>
          <w:rFonts w:ascii="arial" w:eastAsia="arial" w:hAnsi="arial" w:cs="arial"/>
          <w:b w:val="0"/>
          <w:i w:val="0"/>
          <w:strike w:val="0"/>
          <w:noProof w:val="0"/>
          <w:color w:val="000000"/>
          <w:position w:val="0"/>
          <w:sz w:val="20"/>
          <w:u w:val="none"/>
          <w:vertAlign w:val="baseline"/>
        </w:rPr>
        <w:t>The trial took place on February 7, 2023. The mother and father were represented by counsel, as were the children. The department sought commitment of each child. The mother requested the children be reunified with herself or the father. The father and Jazelle asked to be reunified. Loryssa asked to stay in the department's care.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TRIAL AS TO DISPOSITION</w:t>
      </w:r>
    </w:p>
    <w:p>
      <w:pPr>
        <w:keepNext w:val="0"/>
        <w:spacing w:before="240" w:after="0" w:line="260" w:lineRule="atLeast"/>
        <w:ind w:left="0" w:right="0" w:firstLine="0"/>
        <w:jc w:val="both"/>
      </w:pPr>
      <w:bookmarkStart w:id="16" w:name="Bookmark_para_8"/>
      <w:bookmarkEnd w:id="16"/>
      <w:r>
        <w:rPr>
          <w:rFonts w:ascii="arial" w:eastAsia="arial" w:hAnsi="arial" w:cs="arial"/>
          <w:b w:val="0"/>
          <w:i w:val="0"/>
          <w:strike w:val="0"/>
          <w:noProof w:val="0"/>
          <w:color w:val="000000"/>
          <w:position w:val="0"/>
          <w:sz w:val="20"/>
          <w:u w:val="none"/>
          <w:vertAlign w:val="baseline"/>
        </w:rPr>
        <w:t xml:space="preserve">"Neglect proceedings, under . . . </w:t>
      </w:r>
      <w:bookmarkStart w:id="17" w:name="Bookmark_I67W3GP52D6NXC0020000400"/>
      <w:bookmarkEnd w:id="17"/>
      <w:hyperlink r:id="rId10" w:history="1">
        <w:r>
          <w:rPr>
            <w:rFonts w:ascii="arial" w:eastAsia="arial" w:hAnsi="arial" w:cs="arial"/>
            <w:b w:val="0"/>
            <w:i/>
            <w:strike w:val="0"/>
            <w:noProof w:val="0"/>
            <w:color w:val="0077CC"/>
            <w:position w:val="0"/>
            <w:sz w:val="20"/>
            <w:u w:val="single"/>
            <w:vertAlign w:val="baseline"/>
          </w:rPr>
          <w:t>[General Statutes] § 46b-129</w:t>
        </w:r>
      </w:hyperlink>
      <w:r>
        <w:rPr>
          <w:rFonts w:ascii="arial" w:eastAsia="arial" w:hAnsi="arial" w:cs="arial"/>
          <w:b w:val="0"/>
          <w:i w:val="0"/>
          <w:strike w:val="0"/>
          <w:noProof w:val="0"/>
          <w:color w:val="000000"/>
          <w:position w:val="0"/>
          <w:sz w:val="20"/>
          <w:u w:val="none"/>
          <w:vertAlign w:val="baseline"/>
        </w:rPr>
        <w:t xml:space="preserve">, are comprised of two parts, adjudication and disposition. . . . </w:t>
      </w:r>
      <w:bookmarkStart w:id="18" w:name="Bookmark_I67W3GP52D6NXC0040000400"/>
      <w:bookmarkEnd w:id="18"/>
      <w:r>
        <w:rPr>
          <w:rFonts w:ascii="arial" w:eastAsia="arial" w:hAnsi="arial" w:cs="arial"/>
          <w:b w:val="0"/>
          <w:i w:val="0"/>
          <w:strike w:val="0"/>
          <w:noProof w:val="0"/>
          <w:color w:val="000000"/>
          <w:position w:val="0"/>
          <w:sz w:val="20"/>
          <w:u w:val="none"/>
          <w:vertAlign w:val="baseline"/>
        </w:rPr>
        <w:t xml:space="preserve">The standard of proof applicable to nonpermanent custody proceedings, such as neglect proceedings, is a fair preponderance of the evidence." (Internal quotation marks omitted.) </w:t>
      </w:r>
      <w:bookmarkStart w:id="19" w:name="Bookmark_I67W3GP52D6NXC0010000400"/>
      <w:bookmarkEnd w:id="19"/>
      <w:hyperlink r:id="rId11" w:history="1">
        <w:r>
          <w:rPr>
            <w:rFonts w:ascii="arial" w:eastAsia="arial" w:hAnsi="arial" w:cs="arial"/>
            <w:b w:val="0"/>
            <w:i/>
            <w:strike w:val="0"/>
            <w:noProof w:val="0"/>
            <w:color w:val="0077CC"/>
            <w:position w:val="0"/>
            <w:sz w:val="20"/>
            <w:u w:val="single"/>
            <w:vertAlign w:val="baseline"/>
          </w:rPr>
          <w:t>In re Ja-lyn R.</w:t>
        </w:r>
      </w:hyperlink>
      <w:hyperlink r:id="rId11" w:history="1">
        <w:r>
          <w:rPr>
            <w:rFonts w:ascii="arial" w:eastAsia="arial" w:hAnsi="arial" w:cs="arial"/>
            <w:b w:val="0"/>
            <w:i/>
            <w:strike w:val="0"/>
            <w:noProof w:val="0"/>
            <w:color w:val="0077CC"/>
            <w:position w:val="0"/>
            <w:sz w:val="20"/>
            <w:u w:val="single"/>
            <w:vertAlign w:val="baseline"/>
          </w:rPr>
          <w:t>, 132 Conn. App. 314, 318, 31 A.3d 441 (2011)</w:t>
        </w:r>
      </w:hyperlink>
      <w:r>
        <w:rPr>
          <w:rFonts w:ascii="arial" w:eastAsia="arial" w:hAnsi="arial" w:cs="arial"/>
          <w:b w:val="0"/>
          <w:i w:val="0"/>
          <w:strike w:val="0"/>
          <w:noProof w:val="0"/>
          <w:color w:val="000000"/>
          <w:position w:val="0"/>
          <w:sz w:val="20"/>
          <w:u w:val="none"/>
          <w:vertAlign w:val="baseline"/>
        </w:rPr>
        <w:t xml:space="preserve">. </w:t>
      </w:r>
      <w:bookmarkStart w:id="20" w:name="Bookmark_I67W3GP52D6NXC0040000400_2"/>
      <w:bookmarkEnd w:id="20"/>
      <w:r>
        <w:rPr>
          <w:rFonts w:ascii="arial" w:eastAsia="arial" w:hAnsi="arial" w:cs="arial"/>
          <w:b w:val="0"/>
          <w:i w:val="0"/>
          <w:strike w:val="0"/>
          <w:noProof w:val="0"/>
          <w:color w:val="000000"/>
          <w:position w:val="0"/>
          <w:sz w:val="20"/>
          <w:u w:val="none"/>
          <w:vertAlign w:val="baseline"/>
        </w:rPr>
        <w:t xml:space="preserve">"Pursuant to </w:t>
      </w:r>
      <w:hyperlink r:id="rId10" w:history="1">
        <w:r>
          <w:rPr>
            <w:rFonts w:ascii="arial" w:eastAsia="arial" w:hAnsi="arial" w:cs="arial"/>
            <w:b w:val="0"/>
            <w:i/>
            <w:strike w:val="0"/>
            <w:noProof w:val="0"/>
            <w:color w:val="0077CC"/>
            <w:position w:val="0"/>
            <w:sz w:val="20"/>
            <w:u w:val="single"/>
            <w:vertAlign w:val="baseline"/>
          </w:rPr>
          <w:t>§ 46b-129</w:t>
        </w:r>
      </w:hyperlink>
      <w:r>
        <w:rPr>
          <w:rFonts w:ascii="arial" w:eastAsia="arial" w:hAnsi="arial" w:cs="arial"/>
          <w:b w:val="0"/>
          <w:i w:val="0"/>
          <w:strike w:val="0"/>
          <w:noProof w:val="0"/>
          <w:color w:val="000000"/>
          <w:position w:val="0"/>
          <w:sz w:val="20"/>
          <w:u w:val="none"/>
          <w:vertAlign w:val="baseline"/>
        </w:rPr>
        <w:t xml:space="preserve">, before determining custody of a minor child, the court must determine whether the child was neglected, uncared for or dependent." </w:t>
      </w:r>
      <w:bookmarkStart w:id="21" w:name="Bookmark_I67W3GP52D6NXC0030000400"/>
      <w:bookmarkEnd w:id="21"/>
      <w:hyperlink r:id="rId12" w:history="1">
        <w:r>
          <w:rPr>
            <w:rFonts w:ascii="arial" w:eastAsia="arial" w:hAnsi="arial" w:cs="arial"/>
            <w:b w:val="0"/>
            <w:i/>
            <w:strike w:val="0"/>
            <w:noProof w:val="0"/>
            <w:color w:val="0077CC"/>
            <w:position w:val="0"/>
            <w:sz w:val="20"/>
            <w:u w:val="single"/>
            <w:vertAlign w:val="baseline"/>
          </w:rPr>
          <w:t>In re Brianna C.</w:t>
        </w:r>
      </w:hyperlink>
      <w:hyperlink r:id="rId12" w:history="1">
        <w:r>
          <w:rPr>
            <w:rFonts w:ascii="arial" w:eastAsia="arial" w:hAnsi="arial" w:cs="arial"/>
            <w:b w:val="0"/>
            <w:i/>
            <w:strike w:val="0"/>
            <w:noProof w:val="0"/>
            <w:color w:val="0077CC"/>
            <w:position w:val="0"/>
            <w:sz w:val="20"/>
            <w:u w:val="single"/>
            <w:vertAlign w:val="baseline"/>
          </w:rPr>
          <w:t>, 98 Conn. App. 797, 801, 912 A.2d 505 (2006)</w:t>
        </w:r>
      </w:hyperlink>
      <w:r>
        <w:rPr>
          <w:rFonts w:ascii="arial" w:eastAsia="arial" w:hAnsi="arial" w:cs="arial"/>
          <w:b w:val="0"/>
          <w:i w:val="0"/>
          <w:strike w:val="0"/>
          <w:noProof w:val="0"/>
          <w:color w:val="000000"/>
          <w:position w:val="0"/>
          <w:sz w:val="20"/>
          <w:u w:val="none"/>
          <w:vertAlign w:val="baseline"/>
        </w:rPr>
        <w:t xml:space="preserve">; see </w:t>
      </w:r>
      <w:hyperlink r:id="rId10" w:history="1">
        <w:r>
          <w:rPr>
            <w:rFonts w:ascii="arial" w:eastAsia="arial" w:hAnsi="arial" w:cs="arial"/>
            <w:b w:val="0"/>
            <w:i/>
            <w:strike w:val="0"/>
            <w:noProof w:val="0"/>
            <w:color w:val="0077CC"/>
            <w:position w:val="0"/>
            <w:sz w:val="20"/>
            <w:u w:val="single"/>
            <w:vertAlign w:val="baseline"/>
          </w:rPr>
          <w:t>General Statutes § 46b-129 (j) (2)</w:t>
        </w:r>
      </w:hyperlink>
      <w:r>
        <w:rPr>
          <w:rFonts w:ascii="arial" w:eastAsia="arial" w:hAnsi="arial" w:cs="arial"/>
          <w:b w:val="0"/>
          <w:i w:val="0"/>
          <w:strike w:val="0"/>
          <w:noProof w:val="0"/>
          <w:color w:val="000000"/>
          <w:position w:val="0"/>
          <w:sz w:val="20"/>
          <w:u w:val="none"/>
          <w:vertAlign w:val="baseline"/>
        </w:rPr>
        <w:t>. "After an adjudication of neglect is made, a court may (1) commit the child to the commissioner, (2) vest guardianship</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in a third party or (3) permit the parent to retain custody with or without protective supervision. . . . </w:t>
      </w:r>
      <w:bookmarkStart w:id="22" w:name="Bookmark_I67W3GP62N1RRW0010000400"/>
      <w:bookmarkEnd w:id="22"/>
      <w:r>
        <w:rPr>
          <w:rFonts w:ascii="arial" w:eastAsia="arial" w:hAnsi="arial" w:cs="arial"/>
          <w:b w:val="0"/>
          <w:i w:val="0"/>
          <w:strike w:val="0"/>
          <w:noProof w:val="0"/>
          <w:color w:val="000000"/>
          <w:position w:val="0"/>
          <w:sz w:val="20"/>
          <w:u w:val="none"/>
          <w:vertAlign w:val="baseline"/>
        </w:rPr>
        <w:t xml:space="preserve">In determining the disposition portion of the neglect proceeding, the court must decide which of the various custody alternatives are in the best interest of the child. </w:t>
      </w:r>
      <w:bookmarkStart w:id="23" w:name="Bookmark_I67W3GP62N1RRW0030000400"/>
      <w:bookmarkEnd w:id="23"/>
      <w:r>
        <w:rPr>
          <w:rFonts w:ascii="arial" w:eastAsia="arial" w:hAnsi="arial" w:cs="arial"/>
          <w:b w:val="0"/>
          <w:i w:val="0"/>
          <w:strike w:val="0"/>
          <w:noProof w:val="0"/>
          <w:color w:val="000000"/>
          <w:position w:val="0"/>
          <w:sz w:val="20"/>
          <w:u w:val="none"/>
          <w:vertAlign w:val="baseline"/>
        </w:rPr>
        <w:t xml:space="preserve">To determine whether a custodial placement is in the best interest of the child, the court uses its broad discretion to choose a place that will foster the child's interest in sustained growth, development, well-being, and in the continuity and stability of [the child's] environment." (Citations omitted; internal quotation marks omitted.) </w:t>
      </w:r>
      <w:bookmarkStart w:id="24" w:name="Bookmark_I67W3GP52D6NXC0050000400"/>
      <w:bookmarkEnd w:id="24"/>
      <w:hyperlink r:id="rId11" w:history="1">
        <w:r>
          <w:rPr>
            <w:rFonts w:ascii="arial" w:eastAsia="arial" w:hAnsi="arial" w:cs="arial"/>
            <w:b w:val="0"/>
            <w:i/>
            <w:strike w:val="0"/>
            <w:noProof w:val="0"/>
            <w:color w:val="0077CC"/>
            <w:position w:val="0"/>
            <w:sz w:val="20"/>
            <w:u w:val="single"/>
            <w:vertAlign w:val="baseline"/>
          </w:rPr>
          <w:t>In re Ja-lyn R.</w:t>
        </w:r>
      </w:hyperlink>
      <w:hyperlink r:id="rId11" w:history="1">
        <w:r>
          <w:rPr>
            <w:rFonts w:ascii="arial" w:eastAsia="arial" w:hAnsi="arial" w:cs="arial"/>
            <w:b w:val="0"/>
            <w:i/>
            <w:strike w:val="0"/>
            <w:noProof w:val="0"/>
            <w:color w:val="0077CC"/>
            <w:position w:val="0"/>
            <w:sz w:val="20"/>
            <w:u w:val="single"/>
            <w:vertAlign w:val="baseline"/>
          </w:rPr>
          <w:t>, supra, 323-24</w:t>
        </w:r>
      </w:hyperlink>
      <w:r>
        <w:rPr>
          <w:rFonts w:ascii="arial" w:eastAsia="arial" w:hAnsi="arial" w:cs="arial"/>
          <w:b w:val="0"/>
          <w:i w:val="0"/>
          <w:strike w:val="0"/>
          <w:noProof w:val="0"/>
          <w:color w:val="000000"/>
          <w:position w:val="0"/>
          <w:sz w:val="20"/>
          <w:u w:val="none"/>
          <w:vertAlign w:val="baseline"/>
        </w:rPr>
        <w:t xml:space="preserve">. </w:t>
      </w:r>
      <w:bookmarkStart w:id="25" w:name="Bookmark_I67W3GP62N1RRW0030000400_2"/>
      <w:bookmarkEnd w:id="25"/>
      <w:bookmarkStart w:id="26" w:name="Bookmark_I67W3GP62N1RRW0050000400"/>
      <w:bookmarkEnd w:id="26"/>
      <w:r>
        <w:rPr>
          <w:rFonts w:ascii="arial" w:eastAsia="arial" w:hAnsi="arial" w:cs="arial"/>
          <w:b w:val="0"/>
          <w:i w:val="0"/>
          <w:strike w:val="0"/>
          <w:noProof w:val="0"/>
          <w:color w:val="000000"/>
          <w:position w:val="0"/>
          <w:sz w:val="20"/>
          <w:u w:val="none"/>
          <w:vertAlign w:val="baseline"/>
        </w:rPr>
        <w:t xml:space="preserve">"At trial, the commissioner [has] the burden of proving by a fair preponderance of the evidence that it [is] in the child's best interest to be committed to the commissioner rather than to remain with the respondent." </w:t>
      </w:r>
      <w:bookmarkStart w:id="27" w:name="Bookmark_I67W3GP62N1RRW0020000400"/>
      <w:bookmarkEnd w:id="27"/>
      <w:hyperlink r:id="rId12" w:history="1">
        <w:r>
          <w:rPr>
            <w:rFonts w:ascii="arial" w:eastAsia="arial" w:hAnsi="arial" w:cs="arial"/>
            <w:b w:val="0"/>
            <w:i/>
            <w:strike w:val="0"/>
            <w:noProof w:val="0"/>
            <w:color w:val="0077CC"/>
            <w:position w:val="0"/>
            <w:sz w:val="20"/>
            <w:u w:val="single"/>
            <w:vertAlign w:val="baseline"/>
          </w:rPr>
          <w:t>In re Brianna C.</w:t>
        </w:r>
      </w:hyperlink>
      <w:hyperlink r:id="rId12" w:history="1">
        <w:r>
          <w:rPr>
            <w:rFonts w:ascii="arial" w:eastAsia="arial" w:hAnsi="arial" w:cs="arial"/>
            <w:b w:val="0"/>
            <w:i/>
            <w:strike w:val="0"/>
            <w:noProof w:val="0"/>
            <w:color w:val="0077CC"/>
            <w:position w:val="0"/>
            <w:sz w:val="20"/>
            <w:u w:val="single"/>
            <w:vertAlign w:val="baseline"/>
          </w:rPr>
          <w:t>, supra, 804</w:t>
        </w:r>
      </w:hyperlink>
      <w:r>
        <w:rPr>
          <w:rFonts w:ascii="arial" w:eastAsia="arial" w:hAnsi="arial" w:cs="arial"/>
          <w:b w:val="0"/>
          <w:i w:val="0"/>
          <w:strike w:val="0"/>
          <w:noProof w:val="0"/>
          <w:color w:val="000000"/>
          <w:position w:val="0"/>
          <w:sz w:val="20"/>
          <w:u w:val="none"/>
          <w:vertAlign w:val="baseline"/>
        </w:rPr>
        <w:t xml:space="preserve">. </w:t>
      </w:r>
      <w:bookmarkStart w:id="28" w:name="Bookmark_I67W3GP62N1RRW0050000400_2"/>
      <w:bookmarkEnd w:id="28"/>
      <w:r>
        <w:rPr>
          <w:rFonts w:ascii="arial" w:eastAsia="arial" w:hAnsi="arial" w:cs="arial"/>
          <w:b w:val="0"/>
          <w:i w:val="0"/>
          <w:strike w:val="0"/>
          <w:noProof w:val="0"/>
          <w:color w:val="000000"/>
          <w:position w:val="0"/>
          <w:sz w:val="20"/>
          <w:u w:val="none"/>
          <w:vertAlign w:val="baseline"/>
        </w:rPr>
        <w:t xml:space="preserve">As to the dispositive phase, the court is entitled to extend its consideration to matters occurring until the end of the trial. See </w:t>
      </w:r>
      <w:bookmarkStart w:id="29" w:name="Bookmark_I67W3GP62N1RRW0040000400"/>
      <w:bookmarkEnd w:id="29"/>
      <w:hyperlink r:id="rId13" w:history="1">
        <w:r>
          <w:rPr>
            <w:rFonts w:ascii="arial" w:eastAsia="arial" w:hAnsi="arial" w:cs="arial"/>
            <w:b w:val="0"/>
            <w:i/>
            <w:strike w:val="0"/>
            <w:noProof w:val="0"/>
            <w:color w:val="0077CC"/>
            <w:position w:val="0"/>
            <w:sz w:val="20"/>
            <w:u w:val="single"/>
            <w:vertAlign w:val="baseline"/>
          </w:rPr>
          <w:t>In re Juvenile Appeal (84—AB)</w:t>
        </w:r>
      </w:hyperlink>
      <w:hyperlink r:id="rId13" w:history="1">
        <w:r>
          <w:rPr>
            <w:rFonts w:ascii="arial" w:eastAsia="arial" w:hAnsi="arial" w:cs="arial"/>
            <w:b w:val="0"/>
            <w:i/>
            <w:strike w:val="0"/>
            <w:noProof w:val="0"/>
            <w:color w:val="0077CC"/>
            <w:position w:val="0"/>
            <w:sz w:val="20"/>
            <w:u w:val="single"/>
            <w:vertAlign w:val="baseline"/>
          </w:rPr>
          <w:t>, 192 Conn. 254, 267, 267-68 n.14, 471 A.2d 1380 (1984)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0" w:name="Bookmark_para_9"/>
      <w:bookmarkEnd w:id="30"/>
      <w:r>
        <w:rPr>
          <w:rFonts w:ascii="arial" w:eastAsia="arial" w:hAnsi="arial" w:cs="arial"/>
          <w:b w:val="0"/>
          <w:i w:val="0"/>
          <w:strike w:val="0"/>
          <w:noProof w:val="0"/>
          <w:color w:val="000000"/>
          <w:position w:val="0"/>
          <w:sz w:val="20"/>
          <w:u w:val="none"/>
          <w:vertAlign w:val="baseline"/>
        </w:rPr>
        <w:t>At trial, the court considered the testimony of the following witnesses: (1) Brenda McMahon, an investigative social worker; (2) Terri Randall, an on-going social worker; and (3) the father.</w:t>
      </w:r>
    </w:p>
    <w:p>
      <w:pPr>
        <w:keepNext w:val="0"/>
        <w:spacing w:before="200" w:after="0" w:line="260" w:lineRule="atLeast"/>
        <w:ind w:left="0" w:right="0" w:firstLine="0"/>
        <w:jc w:val="both"/>
      </w:pPr>
      <w:bookmarkStart w:id="31" w:name="Bookmark_para_10"/>
      <w:bookmarkEnd w:id="31"/>
      <w:r>
        <w:rPr>
          <w:rFonts w:ascii="arial" w:eastAsia="arial" w:hAnsi="arial" w:cs="arial"/>
          <w:b w:val="0"/>
          <w:i w:val="0"/>
          <w:strike w:val="0"/>
          <w:noProof w:val="0"/>
          <w:color w:val="000000"/>
          <w:position w:val="0"/>
          <w:sz w:val="20"/>
          <w:u w:val="none"/>
          <w:vertAlign w:val="baseline"/>
        </w:rPr>
        <w:t>In addition, the court considered the following</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items that were entered into evidence as full exhibits: (1) social study in support of the neglect petition dated November 7, 2022; (2) affidavit of the social worker dated October 6, 2022; (3) investigative protocol; (4) running narrative dated October 1, 2022 to January 26, 2023; (5) Rhode Island Department of Children, Youth and Families investigative findings; (6) the father's criminal history; (7) Woonsocket Police Department incident report dated October 8, 2018; (8) Woonsocket Police Department incident report dated July 28, 2018; (9) Woonsocket Police Department arrest report dated January 9, 2018; and (10) Woonsocket Police Department arrest report dated October 21, 2018.</w:t>
      </w:r>
    </w:p>
    <w:p>
      <w:pPr>
        <w:keepNext w:val="0"/>
        <w:spacing w:before="200" w:after="0" w:line="260" w:lineRule="atLeast"/>
        <w:ind w:left="0" w:right="0" w:firstLine="0"/>
        <w:jc w:val="both"/>
      </w:pPr>
      <w:bookmarkStart w:id="32" w:name="Bookmark_para_11"/>
      <w:bookmarkEnd w:id="32"/>
      <w:r>
        <w:rPr>
          <w:rFonts w:ascii="arial" w:eastAsia="arial" w:hAnsi="arial" w:cs="arial"/>
          <w:b w:val="0"/>
          <w:i w:val="0"/>
          <w:strike w:val="0"/>
          <w:noProof w:val="0"/>
          <w:color w:val="000000"/>
          <w:position w:val="0"/>
          <w:sz w:val="20"/>
          <w:u w:val="none"/>
          <w:vertAlign w:val="baseline"/>
        </w:rPr>
        <w:t>The court has heard and carefully considered the testimony of all the witnesses, reviewed and carefully considered all exhibits, and judicially noticed and thoroughly reviewed the verified petitions. The credible and relevant evidence offered at the dispositional trial and a review of the judicially noticed court records support the finding of facts set forth below by a preponderance of the evidence presented.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FACTUAL FINDINGS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Mother</w:t>
      </w:r>
    </w:p>
    <w:p>
      <w:pPr>
        <w:keepNext w:val="0"/>
        <w:spacing w:before="200" w:after="0" w:line="260" w:lineRule="atLeast"/>
        <w:ind w:left="0" w:right="0" w:firstLine="0"/>
        <w:jc w:val="both"/>
      </w:pPr>
      <w:bookmarkStart w:id="33" w:name="Bookmark_para_12"/>
      <w:bookmarkEnd w:id="33"/>
      <w:r>
        <w:rPr>
          <w:rFonts w:ascii="arial" w:eastAsia="arial" w:hAnsi="arial" w:cs="arial"/>
          <w:b w:val="0"/>
          <w:i w:val="0"/>
          <w:strike w:val="0"/>
          <w:noProof w:val="0"/>
          <w:color w:val="000000"/>
          <w:position w:val="0"/>
          <w:sz w:val="20"/>
          <w:u w:val="none"/>
          <w:vertAlign w:val="baseline"/>
        </w:rPr>
        <w:t>The mother, thirty-five, had a traumatic childhood, although she described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it as normal. She and her three siblings were raised for the most part by their mother in Massachusetts. There, the family had a history with child protective services, and the mother was placed in foster care during her youth. The mother was a victim of sexual assault at an early age and victimized by both her father and stepfather. Both men were ultimately charged and incarcerated for their offenses. The mother received special education in high school. She discontinued her formal education after completing the tenth grade. She is currently pursuing her GED.</w:t>
      </w:r>
    </w:p>
    <w:p>
      <w:pPr>
        <w:keepNext w:val="0"/>
        <w:spacing w:before="200" w:after="0" w:line="260" w:lineRule="atLeast"/>
        <w:ind w:left="0" w:right="0" w:firstLine="0"/>
        <w:jc w:val="both"/>
      </w:pPr>
      <w:bookmarkStart w:id="34" w:name="Bookmark_para_13"/>
      <w:bookmarkEnd w:id="34"/>
      <w:r>
        <w:rPr>
          <w:rFonts w:ascii="arial" w:eastAsia="arial" w:hAnsi="arial" w:cs="arial"/>
          <w:b w:val="0"/>
          <w:i w:val="0"/>
          <w:strike w:val="0"/>
          <w:noProof w:val="0"/>
          <w:color w:val="000000"/>
          <w:position w:val="0"/>
          <w:sz w:val="20"/>
          <w:u w:val="none"/>
          <w:vertAlign w:val="baseline"/>
        </w:rPr>
        <w:t>The mother and father's relationship spanned approximately five and one-half years and was, according to the mother, replete with instances of abuse and intimate partner violence (IPV). They separated in 2008, and the father became the primary custodian of Loryssa and Jazelle for several years, due in part to the mother's limited resources. The father eventually settled in Rhode Island with the two children. During this time, the mother moved throughout New York, Connecticut and Massachusetts. At some point she took the children from the father and moved to New York with them. It is unclear from the evidence whether this was per</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 court order or whether the father was aware that the children would not be returned.</w:t>
      </w:r>
    </w:p>
    <w:p>
      <w:pPr>
        <w:keepNext w:val="0"/>
        <w:spacing w:before="200" w:after="0" w:line="260" w:lineRule="atLeast"/>
        <w:ind w:left="0" w:right="0" w:firstLine="0"/>
        <w:jc w:val="both"/>
      </w:pPr>
      <w:bookmarkStart w:id="35" w:name="Bookmark_para_14"/>
      <w:bookmarkEnd w:id="35"/>
      <w:r>
        <w:rPr>
          <w:rFonts w:ascii="arial" w:eastAsia="arial" w:hAnsi="arial" w:cs="arial"/>
          <w:b w:val="0"/>
          <w:i w:val="0"/>
          <w:strike w:val="0"/>
          <w:noProof w:val="0"/>
          <w:color w:val="000000"/>
          <w:position w:val="0"/>
          <w:sz w:val="20"/>
          <w:u w:val="none"/>
          <w:vertAlign w:val="baseline"/>
        </w:rPr>
        <w:t>Both parents were involved with child protective services in New York and Rhode Island. Neglect was substantiated as to the mother and her husband, Antonio R., in New York for leaving Loryssa, then age thirteen, to care for her siblings overnight even though Loryssa had concerning behaviors including aggression, fire starting and self-harming.</w:t>
      </w:r>
    </w:p>
    <w:p>
      <w:pPr>
        <w:keepNext w:val="0"/>
        <w:spacing w:before="200" w:after="0" w:line="260" w:lineRule="atLeast"/>
        <w:ind w:left="0" w:right="0" w:firstLine="0"/>
        <w:jc w:val="both"/>
      </w:pPr>
      <w:bookmarkStart w:id="36" w:name="Bookmark_para_15"/>
      <w:bookmarkEnd w:id="36"/>
      <w:r>
        <w:rPr>
          <w:rFonts w:ascii="arial" w:eastAsia="arial" w:hAnsi="arial" w:cs="arial"/>
          <w:b w:val="0"/>
          <w:i w:val="0"/>
          <w:strike w:val="0"/>
          <w:noProof w:val="0"/>
          <w:color w:val="000000"/>
          <w:position w:val="0"/>
          <w:sz w:val="20"/>
          <w:u w:val="none"/>
          <w:vertAlign w:val="baseline"/>
        </w:rPr>
        <w:t>Mother and Antonio R. began a relationship in 2014. They were married in 2021. They had three children together. Two of their daughters have been removed from their home pursuant to a ninety-six-hour hold and OTCs and are the subjects of separate child protection proceedings. The third child, Amateo, was the subject of the careline report to the department and is deceased.</w:t>
      </w:r>
    </w:p>
    <w:p>
      <w:pPr>
        <w:keepNext w:val="0"/>
        <w:spacing w:before="200" w:after="0" w:line="260" w:lineRule="atLeast"/>
        <w:ind w:left="0" w:right="0" w:firstLine="0"/>
        <w:jc w:val="both"/>
      </w:pPr>
      <w:bookmarkStart w:id="37" w:name="Bookmark_para_16"/>
      <w:bookmarkEnd w:id="37"/>
      <w:r>
        <w:rPr>
          <w:rFonts w:ascii="arial" w:eastAsia="arial" w:hAnsi="arial" w:cs="arial"/>
          <w:b w:val="0"/>
          <w:i w:val="0"/>
          <w:strike w:val="0"/>
          <w:noProof w:val="0"/>
          <w:color w:val="000000"/>
          <w:position w:val="0"/>
          <w:sz w:val="20"/>
          <w:u w:val="none"/>
          <w:vertAlign w:val="baseline"/>
        </w:rPr>
        <w:t>In October, 2022, Yale New Haven Hospital reported that Amateo, fourteen months old, was admitted to the hospital with life-threatening injuries including: sustained bilateral subdural hemorrhage; rectal bleeding; abdominal rigidity; and bruising to his right hip, right leg and right chest. He later died from his injuries. His maternal aunt had been babysitting him at the time while the mother</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and her husband attended school, presumably for GED preparation. The maternal aunt, who is married to the mother's brother, has a history with child protective services in New Mexico and Massachusetts involving her use of methadone while pregnant, homelessness, transiency and poor follow up with providers.</w:t>
      </w:r>
    </w:p>
    <w:p>
      <w:pPr>
        <w:keepNext w:val="0"/>
        <w:spacing w:before="200" w:after="0" w:line="260" w:lineRule="atLeast"/>
        <w:ind w:left="0" w:right="0" w:firstLine="0"/>
        <w:jc w:val="both"/>
      </w:pPr>
      <w:bookmarkStart w:id="38" w:name="Bookmark_para_17"/>
      <w:bookmarkEnd w:id="38"/>
      <w:r>
        <w:rPr>
          <w:rFonts w:ascii="arial" w:eastAsia="arial" w:hAnsi="arial" w:cs="arial"/>
          <w:b w:val="0"/>
          <w:i w:val="0"/>
          <w:strike w:val="0"/>
          <w:noProof w:val="0"/>
          <w:color w:val="000000"/>
          <w:position w:val="0"/>
          <w:sz w:val="20"/>
          <w:u w:val="none"/>
          <w:vertAlign w:val="baseline"/>
        </w:rPr>
        <w:t>Notably, when the mother was advised at the hospital that Amateo had brain bleeding, she insisted he did not and attributed the bleed to a possible seizure disorder. Both she and Antonio R. denied noticing any bruising on the child prior to his admission to the trauma unit, despite the physician's opinion that the bruising was two to three days old and likely present before the child was placed in the aunt's care.</w:t>
      </w:r>
    </w:p>
    <w:p>
      <w:pPr>
        <w:keepNext w:val="0"/>
        <w:spacing w:before="200" w:after="0" w:line="260" w:lineRule="atLeast"/>
        <w:ind w:left="0" w:right="0" w:firstLine="0"/>
        <w:jc w:val="both"/>
      </w:pPr>
      <w:bookmarkStart w:id="39" w:name="Bookmark_para_18"/>
      <w:bookmarkEnd w:id="39"/>
      <w:r>
        <w:rPr>
          <w:rFonts w:ascii="arial" w:eastAsia="arial" w:hAnsi="arial" w:cs="arial"/>
          <w:b w:val="0"/>
          <w:i w:val="0"/>
          <w:strike w:val="0"/>
          <w:noProof w:val="0"/>
          <w:color w:val="000000"/>
          <w:position w:val="0"/>
          <w:sz w:val="20"/>
          <w:u w:val="none"/>
          <w:vertAlign w:val="baseline"/>
        </w:rPr>
        <w:t>Additionally, both the mother and Antonio R. described Amateo as being sick for two days—vomiting uncontrollably—prior to being dropped off at the aunt's home. Notwithstanding his symptoms, neither sought pediatric care for the child. Further, texts between the mother and aunt demonstrate that the aunt observed a handprint-like bruise on the child's backside while the child was in her care. The aunt advised the mother not to bring the child to a doctor because of the suspicious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nature of the injury. One physician opined that Amateo may have died from shaken-baby type injuries which would place him in the care of the aunt at the seminal time. An autopsy report has yet to be completed.</w:t>
      </w:r>
    </w:p>
    <w:p>
      <w:pPr>
        <w:keepNext w:val="0"/>
        <w:spacing w:before="200" w:after="0" w:line="260" w:lineRule="atLeast"/>
        <w:ind w:left="0" w:right="0" w:firstLine="0"/>
        <w:jc w:val="both"/>
      </w:pPr>
      <w:bookmarkStart w:id="40" w:name="Bookmark_para_19"/>
      <w:bookmarkEnd w:id="40"/>
      <w:r>
        <w:rPr>
          <w:rFonts w:ascii="arial" w:eastAsia="arial" w:hAnsi="arial" w:cs="arial"/>
          <w:b w:val="0"/>
          <w:i w:val="0"/>
          <w:strike w:val="0"/>
          <w:noProof w:val="0"/>
          <w:color w:val="000000"/>
          <w:position w:val="0"/>
          <w:sz w:val="20"/>
          <w:u w:val="none"/>
          <w:vertAlign w:val="baseline"/>
        </w:rPr>
        <w:t>Presently the mother, Antonio R., and the aunt are the primary suspects in the child's abuse and death. The criminal investigation is ongoing.</w:t>
      </w:r>
    </w:p>
    <w:p>
      <w:pPr>
        <w:keepNext w:val="0"/>
        <w:spacing w:before="200" w:after="0" w:line="260" w:lineRule="atLeast"/>
        <w:ind w:left="0" w:right="0" w:firstLine="0"/>
        <w:jc w:val="both"/>
      </w:pPr>
      <w:bookmarkStart w:id="41" w:name="Bookmark_para_20"/>
      <w:bookmarkEnd w:id="41"/>
      <w:r>
        <w:rPr>
          <w:rFonts w:ascii="arial" w:eastAsia="arial" w:hAnsi="arial" w:cs="arial"/>
          <w:b w:val="0"/>
          <w:i w:val="0"/>
          <w:strike w:val="0"/>
          <w:noProof w:val="0"/>
          <w:color w:val="000000"/>
          <w:position w:val="0"/>
          <w:sz w:val="20"/>
          <w:u w:val="none"/>
          <w:vertAlign w:val="baseline"/>
        </w:rPr>
        <w:t xml:space="preserve">The mother has a significant criminal history in New York including convictions for driving while impaired (2018); drug paraphernalia and failure to appear (2017); DUI (2016); narcotic possession (2012); illegal control of enterprise, money laundering and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humans</w:t>
      </w:r>
      <w:r>
        <w:rPr>
          <w:rFonts w:ascii="arial" w:eastAsia="arial" w:hAnsi="arial" w:cs="arial"/>
          <w:b w:val="0"/>
          <w:i w:val="0"/>
          <w:strike w:val="0"/>
          <w:noProof w:val="0"/>
          <w:color w:val="000000"/>
          <w:position w:val="0"/>
          <w:sz w:val="20"/>
          <w:u w:val="none"/>
          <w:vertAlign w:val="baseline"/>
        </w:rPr>
        <w:t xml:space="preserve"> (2011); and shoplifting (2010).</w:t>
      </w:r>
    </w:p>
    <w:p>
      <w:pPr>
        <w:keepNext w:val="0"/>
        <w:spacing w:before="200" w:after="0" w:line="260" w:lineRule="atLeast"/>
        <w:ind w:left="0" w:right="0" w:firstLine="0"/>
        <w:jc w:val="both"/>
      </w:pPr>
      <w:bookmarkStart w:id="42" w:name="Bookmark_para_21"/>
      <w:bookmarkEnd w:id="42"/>
      <w:r>
        <w:rPr>
          <w:rFonts w:ascii="arial" w:eastAsia="arial" w:hAnsi="arial" w:cs="arial"/>
          <w:b w:val="0"/>
          <w:i w:val="0"/>
          <w:strike w:val="0"/>
          <w:noProof w:val="0"/>
          <w:color w:val="000000"/>
          <w:position w:val="0"/>
          <w:sz w:val="20"/>
          <w:u w:val="none"/>
          <w:vertAlign w:val="baseline"/>
        </w:rPr>
        <w:t>The mother initially failed to avail herself to mental health treatment or other supports offered by the department despite claiming she was depressed and anxious.</w:t>
      </w:r>
    </w:p>
    <w:p>
      <w:pPr>
        <w:keepNext w:val="0"/>
        <w:spacing w:before="200" w:after="0" w:line="260" w:lineRule="atLeast"/>
        <w:ind w:left="0" w:right="0" w:firstLine="0"/>
        <w:jc w:val="both"/>
      </w:pPr>
      <w:bookmarkStart w:id="43" w:name="Bookmark_para_22"/>
      <w:bookmarkEnd w:id="43"/>
      <w:r>
        <w:rPr>
          <w:rFonts w:ascii="arial" w:eastAsia="arial" w:hAnsi="arial" w:cs="arial"/>
          <w:b w:val="0"/>
          <w:i w:val="0"/>
          <w:strike w:val="0"/>
          <w:noProof w:val="0"/>
          <w:color w:val="000000"/>
          <w:position w:val="0"/>
          <w:sz w:val="20"/>
          <w:u w:val="none"/>
          <w:vertAlign w:val="baseline"/>
        </w:rPr>
        <w:t>Her husband, Antonio R., thirty-three, has a criminal history including 2010 convictions in New York for rape of a person eighteen or older and sexual misconduct. He suffers from mental health issues including anxiety and depression.</w:t>
      </w:r>
    </w:p>
    <w:p>
      <w:pPr>
        <w:keepNext w:val="0"/>
        <w:spacing w:before="200" w:after="0" w:line="260" w:lineRule="atLeast"/>
        <w:ind w:left="0" w:right="0" w:firstLine="0"/>
        <w:jc w:val="both"/>
      </w:pPr>
      <w:bookmarkStart w:id="44" w:name="Bookmark_para_23"/>
      <w:bookmarkEnd w:id="44"/>
      <w:r>
        <w:rPr>
          <w:rFonts w:ascii="arial" w:eastAsia="arial" w:hAnsi="arial" w:cs="arial"/>
          <w:b w:val="0"/>
          <w:i w:val="0"/>
          <w:strike w:val="0"/>
          <w:noProof w:val="0"/>
          <w:color w:val="000000"/>
          <w:position w:val="0"/>
          <w:sz w:val="20"/>
          <w:u w:val="none"/>
          <w:vertAlign w:val="baseline"/>
        </w:rPr>
        <w:t>He completed the eleventh grade as a student in a special education school before dropping out. He is not currently employed but is, however, pursuing</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his GED. The mother is presently employed at McDonald's restaurant and pursuing her GED. Currently she resides with her husband in a three-bedroom apartment.</w:t>
      </w:r>
    </w:p>
    <w:p>
      <w:pPr>
        <w:keepNext w:val="0"/>
        <w:spacing w:before="200" w:after="0" w:line="260" w:lineRule="atLeast"/>
        <w:ind w:left="0" w:right="0" w:firstLine="0"/>
        <w:jc w:val="both"/>
      </w:pPr>
      <w:bookmarkStart w:id="45" w:name="Bookmark_para_24"/>
      <w:bookmarkEnd w:id="45"/>
      <w:r>
        <w:rPr>
          <w:rFonts w:ascii="arial" w:eastAsia="arial" w:hAnsi="arial" w:cs="arial"/>
          <w:b w:val="0"/>
          <w:i w:val="0"/>
          <w:strike w:val="0"/>
          <w:noProof w:val="0"/>
          <w:color w:val="000000"/>
          <w:position w:val="0"/>
          <w:sz w:val="20"/>
          <w:u w:val="none"/>
          <w:vertAlign w:val="baseline"/>
        </w:rPr>
        <w:t>Mother has one other child currently living with her father in Massachusetts.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Father</w:t>
      </w:r>
    </w:p>
    <w:p>
      <w:pPr>
        <w:keepNext w:val="0"/>
        <w:spacing w:before="200" w:after="0" w:line="260" w:lineRule="atLeast"/>
        <w:ind w:left="0" w:right="0" w:firstLine="0"/>
        <w:jc w:val="both"/>
      </w:pPr>
      <w:bookmarkStart w:id="46" w:name="Bookmark_para_25"/>
      <w:bookmarkEnd w:id="46"/>
      <w:r>
        <w:rPr>
          <w:rFonts w:ascii="arial" w:eastAsia="arial" w:hAnsi="arial" w:cs="arial"/>
          <w:b w:val="0"/>
          <w:i w:val="0"/>
          <w:strike w:val="0"/>
          <w:noProof w:val="0"/>
          <w:color w:val="000000"/>
          <w:position w:val="0"/>
          <w:sz w:val="20"/>
          <w:u w:val="none"/>
          <w:vertAlign w:val="baseline"/>
        </w:rPr>
        <w:t>Father, age thirty-four, also had a difficult childhood. He was raised primarily by his mother in Massachusetts although his father was sporadically involved in his life. He too was a victim of sexual abuse as a child. He graduated high school as a special education student. He struggled with a learning disability throughout his life and has cognitive issues that affect his reading, writing ability and comprehension. He is re-applying for SSI benefits given his cognitive limitations.</w:t>
      </w:r>
    </w:p>
    <w:p>
      <w:pPr>
        <w:keepNext w:val="0"/>
        <w:spacing w:before="200" w:after="0" w:line="260" w:lineRule="atLeast"/>
        <w:ind w:left="0" w:right="0" w:firstLine="0"/>
        <w:jc w:val="both"/>
      </w:pPr>
      <w:bookmarkStart w:id="47" w:name="Bookmark_para_26"/>
      <w:bookmarkEnd w:id="47"/>
      <w:r>
        <w:rPr>
          <w:rFonts w:ascii="arial" w:eastAsia="arial" w:hAnsi="arial" w:cs="arial"/>
          <w:b w:val="0"/>
          <w:i w:val="0"/>
          <w:strike w:val="0"/>
          <w:noProof w:val="0"/>
          <w:color w:val="000000"/>
          <w:position w:val="0"/>
          <w:sz w:val="20"/>
          <w:u w:val="none"/>
          <w:vertAlign w:val="baseline"/>
        </w:rPr>
        <w:t>He has a history of alcohol abuse but has maintained his sobriety for the last eight years. He suffers bipolar disorder and depression and participates in counseling and medication management at a center in Rhode Island. He lives in a three-bedroom apartment with his girlfriend, their child and a stepchild. He works various independent contracting jobs, including as a contractor and delivery driver. He has his CDL and forklift operator's license. He has a history</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of IPV with the mother of another of his children. He is currently on probation for eight years out of the Rhode Island criminal court. Father was the primary custodian of the children for a part of their lives and prior to the family's involvement with the department.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Loryssa</w:t>
      </w:r>
    </w:p>
    <w:p>
      <w:pPr>
        <w:keepNext w:val="0"/>
        <w:spacing w:before="200" w:after="0" w:line="260" w:lineRule="atLeast"/>
        <w:ind w:left="0" w:right="0" w:firstLine="0"/>
        <w:jc w:val="both"/>
      </w:pPr>
      <w:bookmarkStart w:id="48" w:name="Bookmark_para_27"/>
      <w:bookmarkEnd w:id="48"/>
      <w:r>
        <w:rPr>
          <w:rFonts w:ascii="arial" w:eastAsia="arial" w:hAnsi="arial" w:cs="arial"/>
          <w:b w:val="0"/>
          <w:i w:val="0"/>
          <w:strike w:val="0"/>
          <w:noProof w:val="0"/>
          <w:color w:val="000000"/>
          <w:position w:val="0"/>
          <w:sz w:val="20"/>
          <w:u w:val="none"/>
          <w:vertAlign w:val="baseline"/>
        </w:rPr>
        <w:t>Currently Loryssa is placed with fictive kin along with her two half siblings and full sibling, Jazelle.</w:t>
      </w:r>
    </w:p>
    <w:p>
      <w:pPr>
        <w:keepNext w:val="0"/>
        <w:spacing w:before="200" w:after="0" w:line="260" w:lineRule="atLeast"/>
        <w:ind w:left="0" w:right="0" w:firstLine="0"/>
        <w:jc w:val="both"/>
      </w:pPr>
      <w:bookmarkStart w:id="49" w:name="Bookmark_para_28"/>
      <w:bookmarkEnd w:id="49"/>
      <w:r>
        <w:rPr>
          <w:rFonts w:ascii="arial" w:eastAsia="arial" w:hAnsi="arial" w:cs="arial"/>
          <w:b w:val="0"/>
          <w:i w:val="0"/>
          <w:strike w:val="0"/>
          <w:noProof w:val="0"/>
          <w:color w:val="000000"/>
          <w:position w:val="0"/>
          <w:sz w:val="20"/>
          <w:u w:val="none"/>
          <w:vertAlign w:val="baseline"/>
        </w:rPr>
        <w:t>Loryssa is interested in relocating to New York with an aunt who had previously cared for her and with whom she is bonded. She is adamant she does not want to reunify with the father. She prefers to remain in the care of the department rather than be reunified with either parent.</w:t>
      </w:r>
    </w:p>
    <w:p>
      <w:pPr>
        <w:keepNext w:val="0"/>
        <w:spacing w:before="200" w:after="0" w:line="260" w:lineRule="atLeast"/>
        <w:ind w:left="0" w:right="0" w:firstLine="0"/>
        <w:jc w:val="both"/>
      </w:pPr>
      <w:bookmarkStart w:id="50" w:name="Bookmark_para_29"/>
      <w:bookmarkEnd w:id="50"/>
      <w:r>
        <w:rPr>
          <w:rFonts w:ascii="arial" w:eastAsia="arial" w:hAnsi="arial" w:cs="arial"/>
          <w:b w:val="0"/>
          <w:i w:val="0"/>
          <w:strike w:val="0"/>
          <w:noProof w:val="0"/>
          <w:color w:val="000000"/>
          <w:position w:val="0"/>
          <w:sz w:val="20"/>
          <w:u w:val="none"/>
          <w:vertAlign w:val="baseline"/>
        </w:rPr>
        <w:t>Loryssa alleges that the father was very abusive to her during the time she lived with him. She claims he would make her stand in the corner naked—even if he had male friends in the home—as a disciplinary measure. She claims that he was physically punitive to her as well, using a belt to beat her for transgressions. She further claims the father made her care for Jazelle or had a girlfriend do so. She has stated that the father was not abusive to Jazelle and attributes his disdain for her to her identification as a member of the LGBTQ</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community.</w:t>
      </w:r>
    </w:p>
    <w:p>
      <w:pPr>
        <w:keepNext w:val="0"/>
        <w:spacing w:before="200" w:after="0" w:line="260" w:lineRule="atLeast"/>
        <w:ind w:left="0" w:right="0" w:firstLine="0"/>
        <w:jc w:val="both"/>
      </w:pPr>
      <w:bookmarkStart w:id="51" w:name="Bookmark_para_30"/>
      <w:bookmarkEnd w:id="51"/>
      <w:r>
        <w:rPr>
          <w:rFonts w:ascii="arial" w:eastAsia="arial" w:hAnsi="arial" w:cs="arial"/>
          <w:b w:val="0"/>
          <w:i w:val="0"/>
          <w:strike w:val="0"/>
          <w:noProof w:val="0"/>
          <w:color w:val="000000"/>
          <w:position w:val="0"/>
          <w:sz w:val="20"/>
          <w:u w:val="none"/>
          <w:vertAlign w:val="baseline"/>
        </w:rPr>
        <w:t>Loryssa attends a local high school and achieves honors, attaining mostly A grades. She is in advanced placement courses and wants to go to college.</w:t>
      </w:r>
    </w:p>
    <w:p>
      <w:pPr>
        <w:keepNext w:val="0"/>
        <w:spacing w:before="200" w:after="0" w:line="260" w:lineRule="atLeast"/>
        <w:ind w:left="0" w:right="0" w:firstLine="0"/>
        <w:jc w:val="both"/>
      </w:pPr>
      <w:bookmarkStart w:id="52" w:name="Bookmark_para_31"/>
      <w:bookmarkEnd w:id="52"/>
      <w:r>
        <w:rPr>
          <w:rFonts w:ascii="arial" w:eastAsia="arial" w:hAnsi="arial" w:cs="arial"/>
          <w:b w:val="0"/>
          <w:i w:val="0"/>
          <w:strike w:val="0"/>
          <w:noProof w:val="0"/>
          <w:color w:val="000000"/>
          <w:position w:val="0"/>
          <w:sz w:val="20"/>
          <w:u w:val="none"/>
          <w:vertAlign w:val="baseline"/>
        </w:rPr>
        <w:t>She has major depressive disorder and anxiety disorder. She is up-to-date medically and with her immunizations.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Jazelle</w:t>
      </w:r>
    </w:p>
    <w:p>
      <w:pPr>
        <w:keepNext w:val="0"/>
        <w:spacing w:before="200" w:after="0" w:line="260" w:lineRule="atLeast"/>
        <w:ind w:left="0" w:right="0" w:firstLine="0"/>
        <w:jc w:val="both"/>
      </w:pPr>
      <w:bookmarkStart w:id="53" w:name="Bookmark_para_32"/>
      <w:bookmarkEnd w:id="53"/>
      <w:r>
        <w:rPr>
          <w:rFonts w:ascii="arial" w:eastAsia="arial" w:hAnsi="arial" w:cs="arial"/>
          <w:b w:val="0"/>
          <w:i w:val="0"/>
          <w:strike w:val="0"/>
          <w:noProof w:val="0"/>
          <w:color w:val="000000"/>
          <w:position w:val="0"/>
          <w:sz w:val="20"/>
          <w:u w:val="none"/>
          <w:vertAlign w:val="baseline"/>
        </w:rPr>
        <w:t>Jazelle has expressed a desire to live with the father. She denies any abuse at his hands and does not recall him abusing Loryssa. Her visits with the father have been positive and productive. She also has expressed in the alternative a desire to move to New York with her sister and to live with her aunt.</w:t>
      </w:r>
    </w:p>
    <w:p>
      <w:pPr>
        <w:keepNext w:val="0"/>
        <w:spacing w:before="200" w:after="0" w:line="260" w:lineRule="atLeast"/>
        <w:ind w:left="0" w:right="0" w:firstLine="0"/>
        <w:jc w:val="both"/>
      </w:pPr>
      <w:bookmarkStart w:id="54" w:name="Bookmark_para_33"/>
      <w:bookmarkEnd w:id="54"/>
      <w:r>
        <w:rPr>
          <w:rFonts w:ascii="arial" w:eastAsia="arial" w:hAnsi="arial" w:cs="arial"/>
          <w:b w:val="0"/>
          <w:i w:val="0"/>
          <w:strike w:val="0"/>
          <w:noProof w:val="0"/>
          <w:color w:val="000000"/>
          <w:position w:val="0"/>
          <w:sz w:val="20"/>
          <w:u w:val="none"/>
          <w:vertAlign w:val="baseline"/>
        </w:rPr>
        <w:t>She is in the tenth grade and doing well with good grades and attendance. She is engaged in many extracurricular activities.</w:t>
      </w:r>
    </w:p>
    <w:p>
      <w:pPr>
        <w:keepNext w:val="0"/>
        <w:spacing w:before="200" w:after="0" w:line="260" w:lineRule="atLeast"/>
        <w:ind w:left="0" w:right="0" w:firstLine="0"/>
        <w:jc w:val="both"/>
      </w:pPr>
      <w:bookmarkStart w:id="55" w:name="Bookmark_para_34"/>
      <w:bookmarkEnd w:id="55"/>
      <w:r>
        <w:rPr>
          <w:rFonts w:ascii="arial" w:eastAsia="arial" w:hAnsi="arial" w:cs="arial"/>
          <w:b w:val="0"/>
          <w:i w:val="0"/>
          <w:strike w:val="0"/>
          <w:noProof w:val="0"/>
          <w:color w:val="000000"/>
          <w:position w:val="0"/>
          <w:sz w:val="20"/>
          <w:u w:val="none"/>
          <w:vertAlign w:val="baseline"/>
        </w:rPr>
        <w:t>Jazelle was diagnosed with lead poisoning at age five while living with her father. She has some mental health and neurological issues that need to be monitored. She is up to date medically.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III</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DISPOSITION</w:t>
      </w:r>
    </w:p>
    <w:p>
      <w:pPr>
        <w:keepNext w:val="0"/>
        <w:spacing w:before="240" w:after="0" w:line="260" w:lineRule="atLeast"/>
        <w:ind w:left="0" w:right="0" w:firstLine="0"/>
        <w:jc w:val="both"/>
      </w:pPr>
      <w:bookmarkStart w:id="56" w:name="Bookmark_para_35"/>
      <w:bookmarkEnd w:id="56"/>
      <w:bookmarkStart w:id="57" w:name="Bookmark_I67W3GP62N1RRX0020000400"/>
      <w:bookmarkEnd w:id="57"/>
      <w:r>
        <w:rPr>
          <w:rFonts w:ascii="arial" w:eastAsia="arial" w:hAnsi="arial" w:cs="arial"/>
          <w:b w:val="0"/>
          <w:i w:val="0"/>
          <w:strike w:val="0"/>
          <w:noProof w:val="0"/>
          <w:color w:val="000000"/>
          <w:position w:val="0"/>
          <w:sz w:val="20"/>
          <w:u w:val="none"/>
          <w:vertAlign w:val="baseline"/>
        </w:rPr>
        <w:t xml:space="preserve">The dispositive phase is concerned with what action should be taken in the best interest of the child and, as to that phase, the court is entitled to extend its consideration to matters occurring until the end of the trial, which in this case was February 7, 2023. </w:t>
      </w:r>
      <w:bookmarkStart w:id="58" w:name="Bookmark_I67W3GP62N1RRX0040000400"/>
      <w:bookmarkEnd w:id="58"/>
      <w:r>
        <w:rPr>
          <w:rFonts w:ascii="arial" w:eastAsia="arial" w:hAnsi="arial" w:cs="arial"/>
          <w:b w:val="0"/>
          <w:i w:val="0"/>
          <w:strike w:val="0"/>
          <w:noProof w:val="0"/>
          <w:color w:val="000000"/>
          <w:position w:val="0"/>
          <w:sz w:val="20"/>
          <w:u w:val="none"/>
          <w:vertAlign w:val="baseline"/>
        </w:rPr>
        <w:t xml:space="preserve">See </w:t>
      </w:r>
      <w:bookmarkStart w:id="59" w:name="Bookmark_I67W3GP62N1RRX0010000400"/>
      <w:bookmarkEnd w:id="59"/>
      <w:hyperlink r:id="rId13" w:history="1">
        <w:r>
          <w:rPr>
            <w:rFonts w:ascii="arial" w:eastAsia="arial" w:hAnsi="arial" w:cs="arial"/>
            <w:b w:val="0"/>
            <w:i/>
            <w:strike w:val="0"/>
            <w:noProof w:val="0"/>
            <w:color w:val="0077CC"/>
            <w:position w:val="0"/>
            <w:sz w:val="20"/>
            <w:u w:val="single"/>
            <w:vertAlign w:val="baseline"/>
          </w:rPr>
          <w:t>In re Juvenile Appeal (84—AB)</w:t>
        </w:r>
      </w:hyperlink>
      <w:hyperlink r:id="rId13" w:history="1">
        <w:r>
          <w:rPr>
            <w:rFonts w:ascii="arial" w:eastAsia="arial" w:hAnsi="arial" w:cs="arial"/>
            <w:b w:val="0"/>
            <w:i/>
            <w:strike w:val="0"/>
            <w:noProof w:val="0"/>
            <w:color w:val="0077CC"/>
            <w:position w:val="0"/>
            <w:sz w:val="20"/>
            <w:u w:val="single"/>
            <w:vertAlign w:val="baseline"/>
          </w:rPr>
          <w:t>, supra, 192 Conn. 267, 267-68 n.14</w:t>
        </w:r>
      </w:hyperlink>
      <w:r>
        <w:rPr>
          <w:rFonts w:ascii="arial" w:eastAsia="arial" w:hAnsi="arial" w:cs="arial"/>
          <w:b w:val="0"/>
          <w:i w:val="0"/>
          <w:strike w:val="0"/>
          <w:noProof w:val="0"/>
          <w:color w:val="000000"/>
          <w:position w:val="0"/>
          <w:sz w:val="20"/>
          <w:u w:val="none"/>
          <w:vertAlign w:val="baseline"/>
        </w:rPr>
        <w:t>. The dispositive phase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is not reached unless the grounds alleged in the adjudicatory phase are proven. </w:t>
      </w:r>
      <w:bookmarkStart w:id="60" w:name="Bookmark_I67W3GP62N1RRX0040000400_2"/>
      <w:bookmarkEnd w:id="60"/>
      <w:r>
        <w:rPr>
          <w:rFonts w:ascii="arial" w:eastAsia="arial" w:hAnsi="arial" w:cs="arial"/>
          <w:b w:val="0"/>
          <w:i w:val="0"/>
          <w:strike w:val="0"/>
          <w:noProof w:val="0"/>
          <w:color w:val="000000"/>
          <w:position w:val="0"/>
          <w:sz w:val="20"/>
          <w:u w:val="none"/>
          <w:vertAlign w:val="baseline"/>
        </w:rPr>
        <w:t xml:space="preserve">See </w:t>
      </w:r>
      <w:bookmarkStart w:id="61" w:name="Bookmark_I67W3GP62N1RRX0030000400"/>
      <w:bookmarkEnd w:id="61"/>
      <w:hyperlink r:id="rId12" w:history="1">
        <w:r>
          <w:rPr>
            <w:rFonts w:ascii="arial" w:eastAsia="arial" w:hAnsi="arial" w:cs="arial"/>
            <w:b w:val="0"/>
            <w:i/>
            <w:strike w:val="0"/>
            <w:noProof w:val="0"/>
            <w:color w:val="0077CC"/>
            <w:position w:val="0"/>
            <w:sz w:val="20"/>
            <w:u w:val="single"/>
            <w:vertAlign w:val="baseline"/>
          </w:rPr>
          <w:t>In re Brianna C.</w:t>
        </w:r>
      </w:hyperlink>
      <w:hyperlink r:id="rId12" w:history="1">
        <w:r>
          <w:rPr>
            <w:rFonts w:ascii="arial" w:eastAsia="arial" w:hAnsi="arial" w:cs="arial"/>
            <w:b w:val="0"/>
            <w:i/>
            <w:strike w:val="0"/>
            <w:noProof w:val="0"/>
            <w:color w:val="0077CC"/>
            <w:position w:val="0"/>
            <w:sz w:val="20"/>
            <w:u w:val="single"/>
            <w:vertAlign w:val="baseline"/>
          </w:rPr>
          <w:t>, supra, 98 Conn. App. 801</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General Statutes § 46b-129 (j) (2)</w:t>
        </w:r>
      </w:hyperlink>
      <w:r>
        <w:rPr>
          <w:rFonts w:ascii="arial" w:eastAsia="arial" w:hAnsi="arial" w:cs="arial"/>
          <w:b w:val="0"/>
          <w:i w:val="0"/>
          <w:strike w:val="0"/>
          <w:noProof w:val="0"/>
          <w:color w:val="000000"/>
          <w:position w:val="0"/>
          <w:sz w:val="20"/>
          <w:u w:val="none"/>
          <w:vertAlign w:val="baseline"/>
        </w:rPr>
        <w:t>. As detailed previously in this decision, the mother tendered pleas of no contest to the petitions and the father stood silent. The children were adjudicated neglected by the court as of December 8, 2022.</w:t>
      </w:r>
    </w:p>
    <w:p>
      <w:pPr>
        <w:keepNext w:val="0"/>
        <w:spacing w:before="200" w:after="0" w:line="260" w:lineRule="atLeast"/>
        <w:ind w:left="0" w:right="0" w:firstLine="0"/>
        <w:jc w:val="both"/>
      </w:pPr>
      <w:bookmarkStart w:id="62" w:name="Bookmark_para_36"/>
      <w:bookmarkEnd w:id="62"/>
      <w:r>
        <w:rPr>
          <w:rFonts w:ascii="arial" w:eastAsia="arial" w:hAnsi="arial" w:cs="arial"/>
          <w:b w:val="0"/>
          <w:i w:val="0"/>
          <w:strike w:val="0"/>
          <w:noProof w:val="0"/>
          <w:color w:val="000000"/>
          <w:position w:val="0"/>
          <w:sz w:val="20"/>
          <w:u w:val="none"/>
          <w:vertAlign w:val="baseline"/>
        </w:rPr>
        <w:t xml:space="preserve">The court has grave concerns regarding the mother's ability to parent the children appropriately and safely. She has a history of transience—moving from state to state—which impacted the children. They were left in the care of their father for several years and then taken to New York by their mother under questionable circumstances. The mother has a history of child protection issues, including a substantiation out of New York. She has a significant criminal history, which includes convictions for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driving while impaired and driving under the influence. The latter two convictions suggests a history of substance abuse. She admits to mental health issues, yet she initially refused treatment or services. Mother is married to a man who is a sexual offender. Loryssa will soon be eighteen years old and has expressed a desire to remain in the department's care. Jazelle likewise wishes to</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reside with her father or be placed with her sister.</w:t>
      </w:r>
    </w:p>
    <w:p>
      <w:pPr>
        <w:keepNext w:val="0"/>
        <w:spacing w:before="200" w:after="0" w:line="260" w:lineRule="atLeast"/>
        <w:ind w:left="0" w:right="0" w:firstLine="0"/>
        <w:jc w:val="both"/>
      </w:pPr>
      <w:bookmarkStart w:id="63" w:name="Bookmark_para_37"/>
      <w:bookmarkEnd w:id="63"/>
      <w:r>
        <w:rPr>
          <w:rFonts w:ascii="arial" w:eastAsia="arial" w:hAnsi="arial" w:cs="arial"/>
          <w:b w:val="0"/>
          <w:i w:val="0"/>
          <w:strike w:val="0"/>
          <w:noProof w:val="0"/>
          <w:color w:val="000000"/>
          <w:position w:val="0"/>
          <w:sz w:val="20"/>
          <w:u w:val="none"/>
          <w:vertAlign w:val="baseline"/>
        </w:rPr>
        <w:t>Most significant to the court's consideration, however, is the homicide of Amateo. The mother is a primary suspect in his death, as is her husband and the aunt. A criminal investigation is ongoing. Neither the mother nor her husband sought out medical care for Amateo when he was vomiting uncontrollably for two days. Moreover, they both claim not to have noticed significant days-old bruising on him, including what appeared to be a handprint on his backside prior to him being placed in the aunt's care. The mother and her husband left Amateo in the care of the aunt, who has a significant history with child protective services in other states and who advised the mother not to bring Amateo to a pediatrician, presumably so as not to alert authorities because of a suspicious mark on his backside.</w:t>
      </w:r>
    </w:p>
    <w:p>
      <w:pPr>
        <w:keepNext w:val="0"/>
        <w:spacing w:before="200" w:after="0" w:line="260" w:lineRule="atLeast"/>
        <w:ind w:left="0" w:right="0" w:firstLine="0"/>
        <w:jc w:val="both"/>
      </w:pPr>
      <w:bookmarkStart w:id="64" w:name="Bookmark_para_38"/>
      <w:bookmarkEnd w:id="64"/>
      <w:r>
        <w:rPr>
          <w:rFonts w:ascii="arial" w:eastAsia="arial" w:hAnsi="arial" w:cs="arial"/>
          <w:b w:val="0"/>
          <w:i w:val="0"/>
          <w:strike w:val="0"/>
          <w:noProof w:val="0"/>
          <w:color w:val="000000"/>
          <w:position w:val="0"/>
          <w:sz w:val="20"/>
          <w:u w:val="none"/>
          <w:vertAlign w:val="baseline"/>
        </w:rPr>
        <w:t>Father is estranged from Loryssa, who is adamant that she does not wish to live with him. When she was in his care, he abused her by engaging in both humiliating and violent punishments for her alleged misbehavior. He does not support her inclusion in the LGBTQ community. He often relied on girlfriends to care for his children when they were in his</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custody. These factors speak to his ability to parent safely and appropriately. Although Jazelle has expressed a desire to live with the father, his parenting, child protection history and history of IPV, for which he is on probation, give the court pause.</w:t>
      </w:r>
    </w:p>
    <w:p>
      <w:pPr>
        <w:keepNext w:val="0"/>
        <w:spacing w:before="200" w:after="0" w:line="260" w:lineRule="atLeast"/>
        <w:ind w:left="0" w:right="0" w:firstLine="0"/>
        <w:jc w:val="both"/>
      </w:pPr>
      <w:bookmarkStart w:id="65" w:name="Bookmark_para_39"/>
      <w:bookmarkEnd w:id="65"/>
      <w:r>
        <w:rPr>
          <w:rFonts w:ascii="arial" w:eastAsia="arial" w:hAnsi="arial" w:cs="arial"/>
          <w:b w:val="0"/>
          <w:i w:val="0"/>
          <w:strike w:val="0"/>
          <w:noProof w:val="0"/>
          <w:color w:val="000000"/>
          <w:position w:val="0"/>
          <w:sz w:val="20"/>
          <w:u w:val="none"/>
          <w:vertAlign w:val="baseline"/>
        </w:rPr>
        <w:t>Given the totality of the circumstances the court finds it is in the best interest of both children that they be committed to the care and custody of the Department of Children and Families until further order of the court.</w:t>
      </w:r>
    </w:p>
    <w:p>
      <w:pPr>
        <w:keepNext w:val="0"/>
        <w:spacing w:before="200" w:after="0" w:line="260" w:lineRule="atLeast"/>
        <w:ind w:left="0" w:right="0" w:firstLine="0"/>
        <w:jc w:val="both"/>
      </w:pPr>
      <w:bookmarkStart w:id="66" w:name="Bookmark_para_40"/>
      <w:bookmarkEnd w:id="66"/>
      <w:r>
        <w:rPr>
          <w:rFonts w:ascii="arial" w:eastAsia="arial" w:hAnsi="arial" w:cs="arial"/>
          <w:b w:val="0"/>
          <w:i w:val="0"/>
          <w:strike w:val="0"/>
          <w:noProof w:val="0"/>
          <w:color w:val="000000"/>
          <w:position w:val="0"/>
          <w:sz w:val="20"/>
          <w:u w:val="none"/>
          <w:vertAlign w:val="baseline"/>
        </w:rPr>
        <w:t>By the Court</w:t>
      </w:r>
    </w:p>
    <w:p>
      <w:pPr>
        <w:keepNext w:val="0"/>
        <w:spacing w:before="200" w:after="0" w:line="260" w:lineRule="atLeast"/>
        <w:ind w:left="0" w:right="0" w:firstLine="0"/>
        <w:jc w:val="both"/>
      </w:pPr>
      <w:bookmarkStart w:id="67" w:name="Bookmark_para_41"/>
      <w:bookmarkEnd w:id="67"/>
      <w:r>
        <w:rPr>
          <w:rFonts w:ascii="arial" w:eastAsia="arial" w:hAnsi="arial" w:cs="arial"/>
          <w:b w:val="0"/>
          <w:i w:val="0"/>
          <w:strike w:val="0"/>
          <w:noProof w:val="0"/>
          <w:color w:val="000000"/>
          <w:position w:val="0"/>
          <w:sz w:val="20"/>
          <w:u w:val="none"/>
          <w:vertAlign w:val="baseline"/>
        </w:rPr>
        <w:t>/s/ Knight, J</w:t>
      </w:r>
    </w:p>
    <w:p>
      <w:pPr>
        <w:keepNext w:val="0"/>
        <w:spacing w:before="200" w:after="0" w:line="260" w:lineRule="atLeast"/>
        <w:ind w:left="0" w:right="0" w:firstLine="0"/>
        <w:jc w:val="both"/>
      </w:pPr>
      <w:bookmarkStart w:id="68" w:name="Bookmark_para_42"/>
      <w:bookmarkEnd w:id="68"/>
      <w:r>
        <w:rPr>
          <w:rFonts w:ascii="arial" w:eastAsia="arial" w:hAnsi="arial" w:cs="arial"/>
          <w:b w:val="0"/>
          <w:i w:val="0"/>
          <w:strike w:val="0"/>
          <w:noProof w:val="0"/>
          <w:color w:val="000000"/>
          <w:position w:val="0"/>
          <w:sz w:val="20"/>
          <w:u w:val="none"/>
          <w:vertAlign w:val="baseline"/>
        </w:rPr>
        <w:t>Knight, J</w:t>
      </w:r>
    </w:p>
    <w:p>
      <w:pPr>
        <w:keepNext w:val="0"/>
        <w:spacing w:before="200" w:after="0" w:line="260" w:lineRule="atLeast"/>
        <w:ind w:left="0" w:right="0" w:firstLine="0"/>
        <w:jc w:val="both"/>
      </w:pPr>
      <w:bookmarkStart w:id="69" w:name="Bookmark_para_43"/>
      <w:bookmarkEnd w:id="69"/>
      <w:r>
        <w:rPr>
          <w:rFonts w:ascii="arial" w:eastAsia="arial" w:hAnsi="arial" w:cs="arial"/>
          <w:b w:val="0"/>
          <w:i w:val="0"/>
          <w:strike w:val="0"/>
          <w:noProof w:val="0"/>
          <w:color w:val="000000"/>
          <w:position w:val="0"/>
          <w:sz w:val="20"/>
          <w:u w:val="none"/>
          <w:vertAlign w:val="baseline"/>
        </w:rPr>
        <w:t>March 6, 2023</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 w:name="Bookmark_fnpara_1"/>
      <w:bookmarkEnd w:id="2"/>
      <w:r>
        <w:rPr>
          <w:rFonts w:ascii="arial" w:eastAsia="arial" w:hAnsi="arial" w:cs="arial"/>
          <w:b w:val="0"/>
          <w:i w:val="0"/>
          <w:strike w:val="0"/>
          <w:noProof w:val="0"/>
          <w:color w:val="000000"/>
          <w:position w:val="0"/>
          <w:sz w:val="18"/>
          <w:u w:val="none"/>
          <w:vertAlign w:val="baseline"/>
        </w:rPr>
        <w:t>In accordance with General Statutes § 46b-124 and Practice Book § 32a-7, the names of the parties involved in this case are not to be disclosed, and the records and papers of this case shall be open for inspection only to persons having a proper interest therein and only upon order of the Superior Court.</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2" w:name="Bookmark_fnpara_2"/>
      <w:bookmarkEnd w:id="12"/>
      <w:hyperlink r:id="rId1" w:history="1">
        <w:r>
          <w:rPr>
            <w:rFonts w:ascii="arial" w:eastAsia="arial" w:hAnsi="arial" w:cs="arial"/>
            <w:b w:val="0"/>
            <w:i/>
            <w:strike w:val="0"/>
            <w:noProof w:val="0"/>
            <w:color w:val="0077CC"/>
            <w:position w:val="0"/>
            <w:sz w:val="18"/>
            <w:u w:val="single"/>
            <w:vertAlign w:val="baseline"/>
          </w:rPr>
          <w:t>General Statutes § 46b-129</w:t>
        </w:r>
      </w:hyperlink>
      <w:r>
        <w:rPr>
          <w:rFonts w:ascii="arial" w:eastAsia="arial" w:hAnsi="arial" w:cs="arial"/>
          <w:b w:val="0"/>
          <w:i w:val="0"/>
          <w:strike w:val="0"/>
          <w:noProof w:val="0"/>
          <w:color w:val="000000"/>
          <w:position w:val="0"/>
          <w:sz w:val="18"/>
          <w:u w:val="none"/>
          <w:vertAlign w:val="baseline"/>
        </w:rPr>
        <w:t xml:space="preserve"> provides in relevant part: "(a) [T]he Commissioner of Children and Families . . . may file with the Superior Court that has venue over such matter a verified petition plainly stating such facts as bring the child or youth within the jurisdiction of the court as neglected, uncared for or abused within the meaning of </w:t>
      </w:r>
      <w:hyperlink r:id="rId2" w:history="1">
        <w:r>
          <w:rPr>
            <w:rFonts w:ascii="arial" w:eastAsia="arial" w:hAnsi="arial" w:cs="arial"/>
            <w:b w:val="0"/>
            <w:i/>
            <w:strike w:val="0"/>
            <w:noProof w:val="0"/>
            <w:color w:val="0077CC"/>
            <w:position w:val="0"/>
            <w:sz w:val="18"/>
            <w:u w:val="single"/>
            <w:vertAlign w:val="baseline"/>
          </w:rPr>
          <w:t>section 46b-120</w:t>
        </w:r>
      </w:hyperlink>
      <w:r>
        <w:rPr>
          <w:rFonts w:ascii="arial" w:eastAsia="arial" w:hAnsi="arial" w:cs="arial"/>
          <w:b w:val="0"/>
          <w:i w:val="0"/>
          <w:strike w:val="0"/>
          <w:noProof w:val="0"/>
          <w:color w:val="000000"/>
          <w:position w:val="0"/>
          <w:sz w:val="18"/>
          <w:u w:val="none"/>
          <w:vertAlign w:val="baseline"/>
        </w:rPr>
        <w:t xml:space="preserve"> . . . ."</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re Loryssa 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6C6K-3YX3-RRKM-R490-00000-00&amp;context=1519360" TargetMode="External" /><Relationship Id="rId11" Type="http://schemas.openxmlformats.org/officeDocument/2006/relationships/hyperlink" Target="https://advance.lexis.com/api/document?collection=cases&amp;id=urn:contentItem:549G-8M11-F04C-5007-00000-00&amp;context=1519360" TargetMode="External" /><Relationship Id="rId12" Type="http://schemas.openxmlformats.org/officeDocument/2006/relationships/hyperlink" Target="https://advance.lexis.com/api/document?collection=cases&amp;id=urn:contentItem:4MNS-DVW0-0039-444H-00000-00&amp;context=1519360" TargetMode="External" /><Relationship Id="rId13" Type="http://schemas.openxmlformats.org/officeDocument/2006/relationships/hyperlink" Target="https://advance.lexis.com/api/document?collection=cases&amp;id=urn:contentItem:3RX4-12Y0-003D-822N-00000-00&amp;context=1519360"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TW-8G31-DXHD-G46K-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6C6K-3YX3-RRKM-R490-00000-00&amp;context=1519360" TargetMode="External" /><Relationship Id="rId2" Type="http://schemas.openxmlformats.org/officeDocument/2006/relationships/hyperlink" Target="https://advance.lexis.com/api/document?collection=statutes-legislation&amp;id=urn:contentItem:68FY-4923-GXF6-850D-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re Loryssa S., 2023 Conn. Super. LEXIS 366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vt:lpwstr>
  </property>
  <property fmtid="{D5CDD505-2E9C-101B-9397-08002B2CF9AE}" pid="3" name="LADocCount">
    <vt:lpwstr>1</vt:lpwstr>
  </property>
  <property fmtid="{D5CDD505-2E9C-101B-9397-08002B2CF9AE}" pid="4" name="LADocumentID:28">
    <vt:lpwstr>Doc::urn:hlct:5|contextualFeaturePermID::1519360</vt:lpwstr>
  </property>
  <property fmtid="{D5CDD505-2E9C-101B-9397-08002B2CF9AE}" pid="5" name="UserPermID">
    <vt:lpwstr>urn:user:PA186186280</vt:lpwstr>
  </property>
</Properties>
</file>