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Meyers v. McDowell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North Carolina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2023, Decided; June 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1:22CV1030</w:t>
      </w:r>
    </w:p>
    <w:p>
      <w:pPr>
        <w:keepNext w:val="0"/>
        <w:spacing w:after="0" w:line="240" w:lineRule="atLeast"/>
        <w:ind w:right="0"/>
        <w:jc w:val="both"/>
      </w:pPr>
      <w:bookmarkStart w:id="0" w:name="Bookmark_7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239525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11843831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MEYERS, Plaintiff, v. JOYCE MCDOWELL,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allegations, frivolous, imminent danger, serious physical injury, delusional</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David Meyers, Plaintiff, Pro se, Laurinburg, NC.</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Joi Elizabeth Peake,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Joi Elizabeth Peake</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ORDER AND RECOMMENDATION OF UNITED STATES MAGISTRATE JUDGE</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Plaintiff, a prisoner housed in the State of North Carolina, submitted a civil rights action pursuant to </w:t>
      </w:r>
      <w:hyperlink r:id="rId9"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The form of the Complaint and other materials submitted by Plaintiff are such that a serious flaw makes it impossible to further process the Complaint. The problem is:</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1. Plaintiff seeks to proceed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but pursuant to the Prison Litigation Reform Act, Plaintiff may no longer proceed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in this Court unless he is under imminent danger of serious physical injury. The Act provides that:</w:t>
      </w:r>
    </w:p>
    <w:p>
      <w:pPr>
        <w:keepNext w:val="0"/>
        <w:spacing w:after="0" w:line="260" w:lineRule="atLeast"/>
        <w:ind w:left="40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In no event shall a prisoner bring a civil action or appeal a judgment in a civil action or proceeding under this section if the prisoner has, on 3 or more prior occasions, while incarcerated or detained in any facility, brought an action or appeal in a court of the United States that was dismissed on the grounds that it is frivolous, malicious, or fails to state a claim upon which relief may be granted, unless the prisoner is under imminent danger of serious physical injury.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28 U.S.C. § 1915(g)</w:t>
        </w:r>
      </w:hyperlink>
      <w:r>
        <w:rPr>
          <w:rFonts w:ascii="arial" w:eastAsia="arial" w:hAnsi="arial" w:cs="arial"/>
          <w:b w:val="0"/>
          <w:i w:val="0"/>
          <w:strike w:val="0"/>
          <w:noProof w:val="0"/>
          <w:color w:val="000000"/>
          <w:position w:val="0"/>
          <w:sz w:val="20"/>
          <w:u w:val="none"/>
          <w:vertAlign w:val="baseline"/>
        </w:rPr>
        <w:t>. As noted by United States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Court of Appeals for the Fourth Circuit, Plaintiff has had three or more prior cases dismissed for being frivolous, malicious, or failing to state a claim upon which relief can be granted. </w:t>
      </w:r>
      <w:hyperlink r:id="rId11" w:history="1">
        <w:r>
          <w:rPr>
            <w:rFonts w:ascii="arial" w:eastAsia="arial" w:hAnsi="arial" w:cs="arial"/>
            <w:b w:val="0"/>
            <w:i/>
            <w:strike w:val="0"/>
            <w:noProof w:val="0"/>
            <w:color w:val="0077CC"/>
            <w:position w:val="0"/>
            <w:sz w:val="20"/>
            <w:u w:val="single"/>
            <w:vertAlign w:val="baseline"/>
          </w:rPr>
          <w:t>Meyers v. Commissioner of Social Security Administration</w:t>
        </w:r>
      </w:hyperlink>
      <w:hyperlink r:id="rId11" w:history="1">
        <w:r>
          <w:rPr>
            <w:rFonts w:ascii="arial" w:eastAsia="arial" w:hAnsi="arial" w:cs="arial"/>
            <w:b w:val="0"/>
            <w:i/>
            <w:strike w:val="0"/>
            <w:noProof w:val="0"/>
            <w:color w:val="0077CC"/>
            <w:position w:val="0"/>
            <w:sz w:val="20"/>
            <w:u w:val="single"/>
            <w:vertAlign w:val="baseline"/>
          </w:rPr>
          <w:t>, 801 F. App'x 90, 91 (4th Cir. 2020)</w:t>
        </w:r>
      </w:hyperlink>
      <w:r>
        <w:rPr>
          <w:rFonts w:ascii="arial" w:eastAsia="arial" w:hAnsi="arial" w:cs="arial"/>
          <w:b w:val="0"/>
          <w:i w:val="0"/>
          <w:strike w:val="0"/>
          <w:noProof w:val="0"/>
          <w:color w:val="000000"/>
          <w:position w:val="0"/>
          <w:sz w:val="20"/>
          <w:u w:val="none"/>
          <w:vertAlign w:val="baseline"/>
        </w:rPr>
        <w:t>. Therefore, he must pay the $402.00 filing fee unless he alleges facts demonstrating that he is under imminent danger of serious physical injury. Plaintiff uses the term imminent danger several times, but this case began as a complaint about the handling of mail. Plaintiff then began adding unrelated allegations. Most are about past events or vague threats, not any imminent danger. In the end, Plaintiff does not allege sufficient facts to overcome the three strikes bar.</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Consequently, the Complaint should be dismissed, but without prejudice to Plaintiff filing a new complaint, on the proper § 1983 forms and accompanied by the $402.00 filing fee. If Plaintiff seeks to do so, he may seek the proper forms for filing a pro se complaint from the Clerk.</w:t>
      </w:r>
    </w:p>
    <w:p>
      <w:pPr>
        <w:keepNext w:val="0"/>
        <w:spacing w:before="24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To any extent that the Complaint could be read to allege imminent danger due to ongoing events, it still fails. Plaintiff is "a prisoner seek[ing] redress from a governmental entity or officer or employee of a governmental entity," which necessitates a "review"</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by this Court under </w:t>
      </w:r>
      <w:hyperlink r:id="rId12" w:history="1">
        <w:r>
          <w:rPr>
            <w:rFonts w:ascii="arial" w:eastAsia="arial" w:hAnsi="arial" w:cs="arial"/>
            <w:b w:val="0"/>
            <w:i/>
            <w:strike w:val="0"/>
            <w:noProof w:val="0"/>
            <w:color w:val="0077CC"/>
            <w:position w:val="0"/>
            <w:sz w:val="20"/>
            <w:u w:val="single"/>
            <w:vertAlign w:val="baseline"/>
          </w:rPr>
          <w:t>28 U.S.C. § 1915A(a)</w:t>
        </w:r>
      </w:hyperlink>
      <w:r>
        <w:rPr>
          <w:rFonts w:ascii="arial" w:eastAsia="arial" w:hAnsi="arial" w:cs="arial"/>
          <w:b w:val="0"/>
          <w:i w:val="0"/>
          <w:strike w:val="0"/>
          <w:noProof w:val="0"/>
          <w:color w:val="000000"/>
          <w:position w:val="0"/>
          <w:sz w:val="20"/>
          <w:u w:val="none"/>
          <w:vertAlign w:val="baseline"/>
        </w:rPr>
        <w:t xml:space="preserve">. "On review, the court shall . . . dismiss the complaint, or any portion of the complaint, if [it] - (1) is frivolous, malicious, or fails to state a claim upon which relief may be granted; or (2) seeks monetary relief from a defendant who is immune from such relief." </w:t>
      </w:r>
      <w:hyperlink r:id="rId12" w:history="1">
        <w:r>
          <w:rPr>
            <w:rFonts w:ascii="arial" w:eastAsia="arial" w:hAnsi="arial" w:cs="arial"/>
            <w:b w:val="0"/>
            <w:i/>
            <w:strike w:val="0"/>
            <w:noProof w:val="0"/>
            <w:color w:val="0077CC"/>
            <w:position w:val="0"/>
            <w:sz w:val="20"/>
            <w:u w:val="single"/>
            <w:vertAlign w:val="baseline"/>
          </w:rPr>
          <w:t>28 U.S.C. § 1915A(b)</w:t>
        </w:r>
      </w:hyperlink>
      <w:r>
        <w:rPr>
          <w:rFonts w:ascii="arial" w:eastAsia="arial" w:hAnsi="arial" w:cs="arial"/>
          <w:b w:val="0"/>
          <w:i w:val="0"/>
          <w:strike w:val="0"/>
          <w:noProof w:val="0"/>
          <w:color w:val="000000"/>
          <w:position w:val="0"/>
          <w:sz w:val="20"/>
          <w:u w:val="none"/>
          <w:vertAlign w:val="baseline"/>
        </w:rPr>
        <w:t xml:space="preserve">. As to the first basis for dismissal, the United States Supreme Court has explained that "a complaint, containing as it does both factual allegations and legal conclusions, is frivolous where it lacks an arguable basis either in law or in fact." </w:t>
      </w:r>
      <w:hyperlink r:id="rId13" w:history="1">
        <w:r>
          <w:rPr>
            <w:rFonts w:ascii="arial" w:eastAsia="arial" w:hAnsi="arial" w:cs="arial"/>
            <w:b w:val="0"/>
            <w:i/>
            <w:strike w:val="0"/>
            <w:noProof w:val="0"/>
            <w:color w:val="0077CC"/>
            <w:position w:val="0"/>
            <w:sz w:val="20"/>
            <w:u w:val="single"/>
            <w:vertAlign w:val="baseline"/>
          </w:rPr>
          <w:t>Neitzke v. Williams</w:t>
        </w:r>
      </w:hyperlink>
      <w:hyperlink r:id="rId13" w:history="1">
        <w:r>
          <w:rPr>
            <w:rFonts w:ascii="arial" w:eastAsia="arial" w:hAnsi="arial" w:cs="arial"/>
            <w:b w:val="0"/>
            <w:i/>
            <w:strike w:val="0"/>
            <w:noProof w:val="0"/>
            <w:color w:val="0077CC"/>
            <w:position w:val="0"/>
            <w:sz w:val="20"/>
            <w:u w:val="single"/>
            <w:vertAlign w:val="baseline"/>
          </w:rPr>
          <w:t>, 490 U.S. 319, 325 (1989)</w:t>
        </w:r>
      </w:hyperlink>
      <w:r>
        <w:rPr>
          <w:rFonts w:ascii="arial" w:eastAsia="arial" w:hAnsi="arial" w:cs="arial"/>
          <w:b w:val="0"/>
          <w:i w:val="0"/>
          <w:strike w:val="0"/>
          <w:noProof w:val="0"/>
          <w:color w:val="000000"/>
          <w:position w:val="0"/>
          <w:sz w:val="20"/>
          <w:u w:val="none"/>
          <w:vertAlign w:val="baseline"/>
        </w:rPr>
        <w:t xml:space="preserve">. "The word 'frivolous' is inherently elastic and not susceptible to categorical definition. . . . The term's capaciousness directs lower courts to conduct a flexible analysis, in light of the totality of the circumstances, of all factors bearing upon the frivolity of a claim." </w:t>
      </w:r>
      <w:hyperlink r:id="rId14" w:history="1">
        <w:r>
          <w:rPr>
            <w:rFonts w:ascii="arial" w:eastAsia="arial" w:hAnsi="arial" w:cs="arial"/>
            <w:b w:val="0"/>
            <w:i/>
            <w:strike w:val="0"/>
            <w:noProof w:val="0"/>
            <w:color w:val="0077CC"/>
            <w:position w:val="0"/>
            <w:sz w:val="20"/>
            <w:u w:val="single"/>
            <w:vertAlign w:val="baseline"/>
          </w:rPr>
          <w:t>Nagy v. Federal Med. Ctr. Butner</w:t>
        </w:r>
      </w:hyperlink>
      <w:hyperlink r:id="rId14" w:history="1">
        <w:r>
          <w:rPr>
            <w:rFonts w:ascii="arial" w:eastAsia="arial" w:hAnsi="arial" w:cs="arial"/>
            <w:b w:val="0"/>
            <w:i/>
            <w:strike w:val="0"/>
            <w:noProof w:val="0"/>
            <w:color w:val="0077CC"/>
            <w:position w:val="0"/>
            <w:sz w:val="20"/>
            <w:u w:val="single"/>
            <w:vertAlign w:val="baseline"/>
          </w:rPr>
          <w:t>, 376 F.3d 252, 256-57 (4th Cir. 2004)</w:t>
        </w:r>
      </w:hyperlink>
      <w:r>
        <w:rPr>
          <w:rFonts w:ascii="arial" w:eastAsia="arial" w:hAnsi="arial" w:cs="arial"/>
          <w:b w:val="0"/>
          <w:i w:val="0"/>
          <w:strike w:val="0"/>
          <w:noProof w:val="0"/>
          <w:color w:val="000000"/>
          <w:position w:val="0"/>
          <w:sz w:val="20"/>
          <w:u w:val="none"/>
          <w:vertAlign w:val="baseline"/>
        </w:rPr>
        <w:t xml:space="preserve"> (some internal quotation marks omitted). However, the Supreme Court has identified factually frivolous complaints as ones involving "allegations that are fanciful, fantastic, and delusional. As those words suggest, a finding of factual frivolousness is appropriate when the facts alleged rise to the level of the irrational or the wholly incredible, whether or not there are judicially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noticeable facts available to contradict them." </w:t>
      </w:r>
      <w:hyperlink r:id="rId15" w:history="1">
        <w:r>
          <w:rPr>
            <w:rFonts w:ascii="arial" w:eastAsia="arial" w:hAnsi="arial" w:cs="arial"/>
            <w:b w:val="0"/>
            <w:i/>
            <w:strike w:val="0"/>
            <w:noProof w:val="0"/>
            <w:color w:val="0077CC"/>
            <w:position w:val="0"/>
            <w:sz w:val="20"/>
            <w:u w:val="single"/>
            <w:vertAlign w:val="baseline"/>
          </w:rPr>
          <w:t>Denton v. Hernandez</w:t>
        </w:r>
      </w:hyperlink>
      <w:hyperlink r:id="rId15" w:history="1">
        <w:r>
          <w:rPr>
            <w:rFonts w:ascii="arial" w:eastAsia="arial" w:hAnsi="arial" w:cs="arial"/>
            <w:b w:val="0"/>
            <w:i/>
            <w:strike w:val="0"/>
            <w:noProof w:val="0"/>
            <w:color w:val="0077CC"/>
            <w:position w:val="0"/>
            <w:sz w:val="20"/>
            <w:u w:val="single"/>
            <w:vertAlign w:val="baseline"/>
          </w:rPr>
          <w:t>, 504 U.S. 25, 32-33 (1992)</w:t>
        </w:r>
      </w:hyperlink>
      <w:r>
        <w:rPr>
          <w:rFonts w:ascii="arial" w:eastAsia="arial" w:hAnsi="arial" w:cs="arial"/>
          <w:b w:val="0"/>
          <w:i w:val="0"/>
          <w:strike w:val="0"/>
          <w:noProof w:val="0"/>
          <w:color w:val="000000"/>
          <w:position w:val="0"/>
          <w:sz w:val="20"/>
          <w:u w:val="none"/>
          <w:vertAlign w:val="baseline"/>
        </w:rPr>
        <w:t xml:space="preserve"> (internal citations and quotation marks omitted). In making such findings, this Court may "apply common sense." </w:t>
      </w:r>
      <w:hyperlink r:id="rId16" w:history="1">
        <w:r>
          <w:rPr>
            <w:rFonts w:ascii="arial" w:eastAsia="arial" w:hAnsi="arial" w:cs="arial"/>
            <w:b w:val="0"/>
            <w:i/>
            <w:strike w:val="0"/>
            <w:noProof w:val="0"/>
            <w:color w:val="0077CC"/>
            <w:position w:val="0"/>
            <w:sz w:val="20"/>
            <w:u w:val="single"/>
            <w:vertAlign w:val="baseline"/>
          </w:rPr>
          <w:t>Nasim v. Warden, Md. House of Corr.</w:t>
        </w:r>
      </w:hyperlink>
      <w:hyperlink r:id="rId16" w:history="1">
        <w:r>
          <w:rPr>
            <w:rFonts w:ascii="arial" w:eastAsia="arial" w:hAnsi="arial" w:cs="arial"/>
            <w:b w:val="0"/>
            <w:i/>
            <w:strike w:val="0"/>
            <w:noProof w:val="0"/>
            <w:color w:val="0077CC"/>
            <w:position w:val="0"/>
            <w:sz w:val="20"/>
            <w:u w:val="single"/>
            <w:vertAlign w:val="baseline"/>
          </w:rPr>
          <w:t>, 64 F.3d 951, 954 (4th Cir. 1995)</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Here, Plaintiff's allegations are some combination of fanciful, fantastic, and delusional. He raises allegations against an array of defendants who are employees of, or entities associated with, the North Carolina Department of Public Safety. Overall, his allegations are long, rambling, and conspiratorial, but his specific allegations are clearly delusional. For instance, he claims that prison employees "caused [him] head, brain, eyes, neck, injuries and broke all of [his] ribs, forced [him] to drink 4 whole canisters of O.C. pepper spray and stabbed [him] twice in his right hand with a pocket knife and kicked [him] over 200 times in his head, face, eyes, neck and ribs" while he was "paralyzed, blind and deaf" and handcuffed (Amended Complaint [Doc. #3] at 6), and that on another occasion they poured scalding liquids on his stomach, legs, and face before leaving him to die from suffocation and poisoning (Application to Proceed IFP [Doc. #2] at 4). He further claims that prison guards repeatedly "committed over 400</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sexual abuses on [him] and committ[ed] over 400 sexual harassments." (Amended Complaint at 3.) He also alleges that prison guards are paying inmates to sexually harass, abuse, and murder him, and running an extensive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to bring large amounts of a wide assortment of drugs into the prison, specifically that "the entire Indian Tribes prison guards and Negroes and White Prison Employees are in a chain conspiracy to force all of the prisoners to be addicted to these illegal narcotics to execute a money laundering scheme to enforce our relatives to send large sums of money regularly" (Complaint [Doc. #1] at 5; Application to Proceed IFP at 4), that they beat him while he was handcuffed with batons, hammers, and handcuffs (Application to Proceed IFP at 4), and that they sprayed his medications with pepper spray to poison him (Declaration [Doc. #4] at 4). Plaintiff also filed Objections [Doc. #5], but there was no pending Recommendation in this case to which objections could be made. To the extent Plaintiff again attempts to allege imminent danger of serious physical injury in those Objections, the allegations are likewise delusional, alleging that employees are raping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him and stabbing him daily, and are executing a "murder for hire assassination operation" to have him murdered.</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 xml:space="preserve">All of these claims are clearly the product of paranoid fantasies and delusions. Plaintiff has filed dozens of cases in federal court over the years. He has been determined to be delusional in other cases after multi-day hearings and evaluations by medical professionals. </w:t>
      </w:r>
      <w:r>
        <w:rPr>
          <w:rFonts w:ascii="arial" w:eastAsia="arial" w:hAnsi="arial" w:cs="arial"/>
          <w:b w:val="0"/>
          <w:i w:val="0"/>
          <w:strike w:val="0"/>
          <w:noProof w:val="0"/>
          <w:color w:val="000000"/>
          <w:position w:val="0"/>
          <w:sz w:val="20"/>
          <w:u w:val="single"/>
          <w:vertAlign w:val="baseline"/>
        </w:rPr>
        <w:t xml:space="preserve">See, e.g., </w:t>
      </w:r>
      <w:r>
        <w:rPr>
          <w:rFonts w:ascii="arial" w:eastAsia="arial" w:hAnsi="arial" w:cs="arial"/>
          <w:b w:val="0"/>
          <w:i w:val="0"/>
          <w:strike w:val="0"/>
          <w:noProof w:val="0"/>
          <w:color w:val="000000"/>
          <w:position w:val="0"/>
          <w:sz w:val="20"/>
          <w:u w:val="single"/>
          <w:vertAlign w:val="baseline"/>
        </w:rPr>
        <w:t>Meyers v. Hall</w:t>
      </w:r>
      <w:r>
        <w:rPr>
          <w:rFonts w:ascii="arial" w:eastAsia="arial" w:hAnsi="arial" w:cs="arial"/>
          <w:b w:val="0"/>
          <w:i w:val="0"/>
          <w:strike w:val="0"/>
          <w:noProof w:val="0"/>
          <w:color w:val="000000"/>
          <w:position w:val="0"/>
          <w:sz w:val="20"/>
          <w:u w:val="none"/>
          <w:vertAlign w:val="baseline"/>
        </w:rPr>
        <w:t xml:space="preserve">, Civil Action Nos. 7:19cv250, -406, -496, -558, and - 605, 2020 WL 2316092, at *15 (Feb. 21, 2020), </w:t>
      </w:r>
      <w:r>
        <w:rPr>
          <w:rFonts w:ascii="arial" w:eastAsia="arial" w:hAnsi="arial" w:cs="arial"/>
          <w:b w:val="0"/>
          <w:i w:val="0"/>
          <w:strike w:val="0"/>
          <w:noProof w:val="0"/>
          <w:color w:val="000000"/>
          <w:position w:val="0"/>
          <w:sz w:val="20"/>
          <w:u w:val="single"/>
          <w:vertAlign w:val="baseline"/>
        </w:rPr>
        <w:t>report and rec. adopted</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2020 WL 1482561 (W.D. Va. Mar. 27, 2020)</w:t>
        </w:r>
      </w:hyperlink>
      <w:r>
        <w:rPr>
          <w:rFonts w:ascii="arial" w:eastAsia="arial" w:hAnsi="arial" w:cs="arial"/>
          <w:b w:val="0"/>
          <w:i w:val="0"/>
          <w:strike w:val="0"/>
          <w:noProof w:val="0"/>
          <w:color w:val="000000"/>
          <w:position w:val="0"/>
          <w:sz w:val="20"/>
          <w:u w:val="none"/>
          <w:vertAlign w:val="baseline"/>
        </w:rPr>
        <w:t xml:space="preserve"> (unpublished); </w:t>
      </w:r>
      <w:hyperlink r:id="rId18" w:history="1">
        <w:r>
          <w:rPr>
            <w:rFonts w:ascii="arial" w:eastAsia="arial" w:hAnsi="arial" w:cs="arial"/>
            <w:b w:val="0"/>
            <w:i/>
            <w:strike w:val="0"/>
            <w:noProof w:val="0"/>
            <w:color w:val="0077CC"/>
            <w:position w:val="0"/>
            <w:sz w:val="20"/>
            <w:u w:val="single"/>
            <w:vertAlign w:val="baseline"/>
          </w:rPr>
          <w:t>Meyers v. Commissioner</w:t>
        </w:r>
      </w:hyperlink>
      <w:hyperlink r:id="rId18" w:history="1">
        <w:r>
          <w:rPr>
            <w:rFonts w:ascii="arial" w:eastAsia="arial" w:hAnsi="arial" w:cs="arial"/>
            <w:b w:val="0"/>
            <w:i/>
            <w:strike w:val="0"/>
            <w:noProof w:val="0"/>
            <w:color w:val="0077CC"/>
            <w:position w:val="0"/>
            <w:sz w:val="20"/>
            <w:u w:val="single"/>
            <w:vertAlign w:val="baseline"/>
          </w:rPr>
          <w:t>, Civil Case No. ELH-18-129, 2018 WL 4333748, at *1 (Sept. 11, 2018)</w:t>
        </w:r>
      </w:hyperlink>
      <w:r>
        <w:rPr>
          <w:rFonts w:ascii="arial" w:eastAsia="arial" w:hAnsi="arial" w:cs="arial"/>
          <w:b w:val="0"/>
          <w:i w:val="0"/>
          <w:strike w:val="0"/>
          <w:noProof w:val="0"/>
          <w:color w:val="000000"/>
          <w:position w:val="0"/>
          <w:sz w:val="20"/>
          <w:u w:val="none"/>
          <w:vertAlign w:val="baseline"/>
        </w:rPr>
        <w:t xml:space="preserve"> (noting that professional evaluations in 2012 and 2013 found a "long history of paranoid delusions" and "a genuine history of psychosis."), </w:t>
      </w:r>
      <w:r>
        <w:rPr>
          <w:rFonts w:ascii="arial" w:eastAsia="arial" w:hAnsi="arial" w:cs="arial"/>
          <w:b w:val="0"/>
          <w:i w:val="0"/>
          <w:strike w:val="0"/>
          <w:noProof w:val="0"/>
          <w:color w:val="000000"/>
          <w:position w:val="0"/>
          <w:sz w:val="20"/>
          <w:u w:val="single"/>
          <w:vertAlign w:val="baseline"/>
        </w:rPr>
        <w:t>report and rec. adopted</w:t>
      </w:r>
      <w:r>
        <w:rPr>
          <w:rFonts w:ascii="arial" w:eastAsia="arial" w:hAnsi="arial" w:cs="arial"/>
          <w:b w:val="0"/>
          <w:i w:val="0"/>
          <w:strike w:val="0"/>
          <w:noProof w:val="0"/>
          <w:color w:val="000000"/>
          <w:position w:val="0"/>
          <w:sz w:val="20"/>
          <w:u w:val="none"/>
          <w:vertAlign w:val="baseline"/>
        </w:rPr>
        <w:t xml:space="preserve">, 2018 WL 50263768 (D. Md. Oct 17, 2018) (unpublished); </w:t>
      </w:r>
      <w:r>
        <w:rPr>
          <w:rFonts w:ascii="arial" w:eastAsia="arial" w:hAnsi="arial" w:cs="arial"/>
          <w:b w:val="0"/>
          <w:i w:val="0"/>
          <w:strike w:val="0"/>
          <w:noProof w:val="0"/>
          <w:color w:val="000000"/>
          <w:position w:val="0"/>
          <w:sz w:val="20"/>
          <w:u w:val="single"/>
          <w:vertAlign w:val="baseline"/>
        </w:rPr>
        <w:t xml:space="preserve">see also </w:t>
      </w:r>
      <w:r>
        <w:rPr>
          <w:rFonts w:ascii="arial" w:eastAsia="arial" w:hAnsi="arial" w:cs="arial"/>
          <w:b w:val="0"/>
          <w:i w:val="0"/>
          <w:strike w:val="0"/>
          <w:noProof w:val="0"/>
          <w:color w:val="000000"/>
          <w:position w:val="0"/>
          <w:sz w:val="20"/>
          <w:u w:val="single"/>
          <w:vertAlign w:val="baseline"/>
        </w:rPr>
        <w:t xml:space="preserve">Meyers v. Secretary of Health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single"/>
          <w:vertAlign w:val="baseline"/>
        </w:rPr>
        <w:t xml:space="preserve"> Services</w:t>
      </w:r>
      <w:r>
        <w:rPr>
          <w:rFonts w:ascii="arial" w:eastAsia="arial" w:hAnsi="arial" w:cs="arial"/>
          <w:b w:val="0"/>
          <w:i w:val="0"/>
          <w:strike w:val="0"/>
          <w:noProof w:val="0"/>
          <w:color w:val="000000"/>
          <w:position w:val="0"/>
          <w:sz w:val="20"/>
          <w:u w:val="none"/>
          <w:vertAlign w:val="baseline"/>
        </w:rPr>
        <w:t>, Case No. 1:22CV968, Recommendation (M.D.N.C. June 5, 2023) (detailing similar and additional recent allegations by Plaintiff). In the end, Plaintiff's claims are delusional and, therefore, fail as frivolous. They should be dismissed for that reason to the extent that the Complaint could be read as alleging imminent danger of serious physical injury.</w:t>
      </w:r>
    </w:p>
    <w:p>
      <w:pPr>
        <w:keepNext w:val="0"/>
        <w:spacing w:before="200" w:after="0" w:line="260" w:lineRule="atLeast"/>
        <w:ind w:left="0" w:right="0" w:firstLine="0"/>
        <w:jc w:val="both"/>
      </w:pPr>
      <w:bookmarkStart w:id="14" w:name="Bookmark_para_8"/>
      <w:bookmarkEnd w:id="14"/>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status is granted for the sole purpose of entering this Order and Recommendation.</w:t>
      </w:r>
    </w:p>
    <w:p>
      <w:pPr>
        <w:keepNext w:val="0"/>
        <w:spacing w:before="200" w:after="0" w:line="260" w:lineRule="atLeast"/>
        <w:ind w:left="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 xml:space="preserve">IT IS THEREFORE ORDERED that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status is granted for the sole purpose of entering this Order and Recommendation.</w:t>
      </w:r>
    </w:p>
    <w:p>
      <w:pPr>
        <w:keepNext w:val="0"/>
        <w:spacing w:before="240" w:after="0" w:line="260" w:lineRule="atLeast"/>
        <w:ind w:left="0" w:right="0" w:firstLine="0"/>
        <w:jc w:val="both"/>
      </w:pPr>
      <w:bookmarkStart w:id="16" w:name="Bookmark_para_10"/>
      <w:bookmarkEnd w:id="16"/>
      <w:r>
        <w:rPr>
          <w:rFonts w:ascii="arial" w:eastAsia="arial" w:hAnsi="arial" w:cs="arial"/>
          <w:b w:val="0"/>
          <w:i w:val="0"/>
          <w:strike w:val="0"/>
          <w:noProof w:val="0"/>
          <w:color w:val="000000"/>
          <w:position w:val="0"/>
          <w:sz w:val="20"/>
          <w:u w:val="none"/>
          <w:vertAlign w:val="baseline"/>
        </w:rPr>
        <w:t xml:space="preserve">IT IS RECOMMENDED that this action dismissed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i/>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without prejudice to Plaintiff filing a new complaint, on the proper § 1983 forms and the $402.00 filing fee, which corrects the defects cited above, and to the extent that it alleges imminent danger of serious physical injury, that it be dismissed as frivolous under </w:t>
      </w:r>
      <w:hyperlink r:id="rId12"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 w:name="Bookmark_para_11"/>
      <w:bookmarkEnd w:id="17"/>
      <w:r>
        <w:rPr>
          <w:rFonts w:ascii="arial" w:eastAsia="arial" w:hAnsi="arial" w:cs="arial"/>
          <w:b w:val="0"/>
          <w:i w:val="0"/>
          <w:strike w:val="0"/>
          <w:noProof w:val="0"/>
          <w:color w:val="000000"/>
          <w:position w:val="0"/>
          <w:sz w:val="20"/>
          <w:u w:val="none"/>
          <w:vertAlign w:val="baseline"/>
        </w:rPr>
        <w:t>This, the 7th day of June, 2023.</w:t>
      </w:r>
    </w:p>
    <w:p>
      <w:pPr>
        <w:keepNext w:val="0"/>
        <w:spacing w:before="200" w:after="0" w:line="260" w:lineRule="atLeast"/>
        <w:ind w:left="0" w:right="0" w:firstLine="0"/>
        <w:jc w:val="both"/>
      </w:pPr>
      <w:bookmarkStart w:id="18" w:name="Bookmark_para_12"/>
      <w:bookmarkEnd w:id="18"/>
      <w:r>
        <w:rPr>
          <w:rFonts w:ascii="arial" w:eastAsia="arial" w:hAnsi="arial" w:cs="arial"/>
          <w:b w:val="0"/>
          <w:i w:val="0"/>
          <w:strike w:val="0"/>
          <w:noProof w:val="0"/>
          <w:color w:val="000000"/>
          <w:position w:val="0"/>
          <w:sz w:val="20"/>
          <w:u w:val="none"/>
          <w:vertAlign w:val="baseline"/>
        </w:rPr>
        <w:t>/s/ Joi Elizabeth Peake</w:t>
      </w:r>
    </w:p>
    <w:p>
      <w:pPr>
        <w:keepNext w:val="0"/>
        <w:spacing w:before="200" w:after="0" w:line="260" w:lineRule="atLeast"/>
        <w:ind w:left="0" w:right="0" w:firstLine="0"/>
        <w:jc w:val="both"/>
      </w:pPr>
      <w:bookmarkStart w:id="19" w:name="Bookmark_para_13"/>
      <w:bookmarkEnd w:id="19"/>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Meyers v. McDowell, 2023 U.S. Dist. LEXIS 239525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G9-5HW2-D6RV-H0RK-00000-00&amp;context=1519360" TargetMode="External" /><Relationship Id="rId11" Type="http://schemas.openxmlformats.org/officeDocument/2006/relationships/hyperlink" Target="https://advance.lexis.com/api/document?collection=cases&amp;id=urn:contentItem:5Y34-3BM1-F2TK-242X-00000-00&amp;context=1519360" TargetMode="External" /><Relationship Id="rId12" Type="http://schemas.openxmlformats.org/officeDocument/2006/relationships/hyperlink" Target="https://advance.lexis.com/api/document?collection=statutes-legislation&amp;id=urn:contentItem:8SG9-5HW2-D6RV-H0RM-00000-00&amp;context=1519360" TargetMode="External" /><Relationship Id="rId13" Type="http://schemas.openxmlformats.org/officeDocument/2006/relationships/hyperlink" Target="https://advance.lexis.com/api/document?collection=cases&amp;id=urn:contentItem:3S4X-BDG0-003B-42B7-00000-00&amp;context=1519360" TargetMode="External" /><Relationship Id="rId14" Type="http://schemas.openxmlformats.org/officeDocument/2006/relationships/hyperlink" Target="https://advance.lexis.com/api/document?collection=cases&amp;id=urn:contentItem:4CX7-9T30-0038-X1KR-00000-00&amp;context=1519360" TargetMode="External" /><Relationship Id="rId15" Type="http://schemas.openxmlformats.org/officeDocument/2006/relationships/hyperlink" Target="https://advance.lexis.com/api/document?collection=cases&amp;id=urn:contentItem:3S4W-XDX0-003B-R3RC-00000-00&amp;context=1519360" TargetMode="External" /><Relationship Id="rId16" Type="http://schemas.openxmlformats.org/officeDocument/2006/relationships/hyperlink" Target="https://advance.lexis.com/api/document?collection=cases&amp;id=urn:contentItem:3S4X-BWH0-001T-D3VF-00000-00&amp;context=1519360" TargetMode="External" /><Relationship Id="rId17" Type="http://schemas.openxmlformats.org/officeDocument/2006/relationships/hyperlink" Target="https://advance.lexis.com/api/document?collection=cases&amp;id=urn:contentItem:5YHT-4VC1-DYMS-63W8-00000-00&amp;context=1519360" TargetMode="External" /><Relationship Id="rId18" Type="http://schemas.openxmlformats.org/officeDocument/2006/relationships/hyperlink" Target="https://advance.lexis.com/api/document?collection=cases&amp;id=urn:contentItem:5T7M-5XC1-F7G6-64RY-00000-00&amp;context=1519360"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CG1-BG73-S7DC-H07F-00000-00&amp;context=1519360" TargetMode="External" /><Relationship Id="rId9" Type="http://schemas.openxmlformats.org/officeDocument/2006/relationships/hyperlink" Target="https://advance.lexis.com/api/document?collection=statutes-legislation&amp;id=urn:contentItem:8SHT-0712-D6RV-H52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Meyers v. McDowell, 2023 U.S. Dist. LEXIS 239525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79</vt:lpwstr>
  </property>
  <property fmtid="{D5CDD505-2E9C-101B-9397-08002B2CF9AE}" pid="3" name="LADocCount">
    <vt:lpwstr>1</vt:lpwstr>
  </property>
  <property fmtid="{D5CDD505-2E9C-101B-9397-08002B2CF9AE}" pid="4" name="LADocumentID:79">
    <vt:lpwstr>Doc::urn:hlct:5|contextualFeaturePermID::1519360</vt:lpwstr>
  </property>
  <property fmtid="{D5CDD505-2E9C-101B-9397-08002B2CF9AE}" pid="5" name="UserPermID">
    <vt:lpwstr>urn:user:PA186186280</vt:lpwstr>
  </property>
</Properties>
</file>