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Jennings v. LeMaster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22-5780</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7482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5672748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DERRICK JENNINGS, Petitioner-Appellant, v. DAVID LEMASTER, Warden, Respondent-Appellee.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EASTERN DISTRICT OF KENTUCKY.</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Jennings v. Lemaster, 2022 U.S. Dist. LEXIS 128603, 2022 WL 2836147 (E.D. Ky., July 20,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phone, disciplinary, confidential informant, contraband, possessed, staff member, good-time, witnesses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DERRICK JENNINGS, Petitioner - Appellant, Pro se, Ashland,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DAVID LEMASTER, Warden, Respondent - Appellee: Charles P. Wisdom, Jr., Assistant U.S. Attorney, Tiffany Konwiczka Fleming, Office of the U.S. Attorney, Eastern District of Kentucky, Lexington, KY.</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GUY, MOORE, and KETHLEDGE,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Derrick Jennings, a pro se federal prisoner, appeals the district court's judgment denying his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habeas corpus petition. This case has been referred to a panel of the court that, upon examination, unanimously agrees that oral argument is not needed.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34(a)</w:t>
      </w:r>
      <w:r>
        <w:rPr>
          <w:rFonts w:ascii="arial" w:eastAsia="arial" w:hAnsi="arial" w:cs="arial"/>
          <w:b w:val="0"/>
          <w:i w:val="0"/>
          <w:strike w:val="0"/>
          <w:noProof w:val="0"/>
          <w:color w:val="000000"/>
          <w:position w:val="0"/>
          <w:sz w:val="20"/>
          <w:u w:val="none"/>
          <w:vertAlign w:val="baseline"/>
        </w:rPr>
        <w:t>. For the reasons that follow, we affirm the district court's judgment.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Jennings is serving a total sentence of 120 months of imprisonment after he was convicted of several fentanyl-related drug offenses and violating his supervised release on prior cocaine-base convictions. In October 2020, during his confinement at the FCI Berlin satellite camp in New Hampshire, a confidential informant reported to Special Investigative Services (SIS) that Jennings had a cell phone that he was using to coordinate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camp.</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informant stated that Jennings would coordinate when the contraband would be dropped off at the camp, and that a second incarcerated person would retrieve the items and bring them inside the camp. Several weeks later, staff members searched the camp dormitory and found an Apple iPhone in a hollowed-out section of wall across from Jennings's assigned bunk. Additionally, a search of another incarcerated person's locker turned up a handwritten list of apparent contraband. After the search, a second confidential informant reported to SIS that Jennings was using a cell phone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Several other inmates confirmed this information. Jennings allegedly admitted to his case manager that he had a cell phone but said that the cell phone the officers discovered did not belong to him. Instead, Jennings claimed that his phone was buried outside of the camp.</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Jennings was charged with possession of a hazardous tool and conduct that disrupts or interferes with the security of the institution, in violation of Bureau of Prisons (BOP) disciplinary regulations. Jennings denied that the cell phone was his and argued that no evidence connected him to it because it was found in a common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area of the dormitory. He also suggested that he had been falsely accused of possessing the cell phone because he worked in the food service warehouse and refused to bring food back to the housing unit. Additionally, Jennings contested the investigation's reliance on the hearsay statements of the confidential informants.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two citations proceeded to a hearing before a disciplinary hearing officer (DHO) that took place in March 2021. Jennings initially requested to be represented by his case manager, but then he waived representation because the case manager was the staff member who found the cell phone. The DHO sustained the charge that Jennings possessed a hazardous tool but found that the evidence was insufficient to conclude that he interfered with institutional security. In support of the finding that Jennings possessed a hazardous tool, the DHO cited SIS's incident report, which recited the information provided by the two confidential informants, the list of contraband that was discovered, and the cell phone's chain of custody log. The DHO also cited the interview of the second confidential informant, in which he stated that he had seen Jennings using an Apple iPhone in the housing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unit. The DHO sanctioned Jennings with the loss of 41 days of good-time credit and the revocation of his email privileges for one year. The DHO stated that she was imposing this sanction because Jennings's possession of a cell phone presented a threat to the health, safety, and welfare of the inmates and staff. The DHO further stated that the sanction was necessary to hold Jennings responsible for his conduct, to demonstrate the seriousness of the violation, and to deter Jennings from this behavior in the future. The BOP denied Jennings's institutional appeals.</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In April 2022, Jennings filed a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habeas petition in the Eastern District of Kentucky, the judicial district of his confinement at the time, claiming that the DHO's reliance on the statements of the confidential informants to sustain the disciplinary charge violated his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 witnesses against him. Further, Jennings claimed that there was insufficient evidence to support the violation because the cell phone was discovered in a common area and was not directly tied to him. Jennings sought expungement of the infraction and restoration of his good-time credits and email privileges. The district court denied the petition,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finding that Jennings's disciplinary proceedings comported with due process and that "some evidence," including the incident report, contraband list, and statements by staff members and confidential informants, supported the DHO's decision.</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On appeal, Jennings argues that no evidence supports the DHO's decision. He contends that the time lag between the first confidential informant's report that he possessed a cell phone and its discovery in the wall was too great to prove that he constructively possessed it. Moreover, Jennings argues that there was no direct evidence to connect him to the cell phone, pointing out that as many as 96 other prisoners had access to the area where the cell phone was discovered. He also contests the DHO's reliance on the hearsay statements of staff members and confidential informants to sustain the infraction, and asserts that he was denied the right to staff representation during the hearing. Finally, Jennings claims that none of his personal contacts were discovered in the cell phone and that this information was exculpatory. Overall, Jennings argues that his right to due process was violated during the disciplinary proceedings.</w:t>
      </w:r>
    </w:p>
    <w:p>
      <w:pPr>
        <w:keepNext w:val="0"/>
        <w:spacing w:before="240" w:after="0" w:line="260" w:lineRule="atLeast"/>
        <w:ind w:left="0" w:right="0" w:firstLine="0"/>
        <w:jc w:val="both"/>
      </w:pPr>
      <w:bookmarkStart w:id="16" w:name="Bookmark_para_9"/>
      <w:bookmarkEnd w:id="16"/>
      <w:bookmarkStart w:id="17" w:name="Bookmark_I67Y176D2N1RPR0020000400"/>
      <w:bookmarkEnd w:id="17"/>
      <w:r>
        <w:rPr>
          <w:rFonts w:ascii="arial" w:eastAsia="arial" w:hAnsi="arial" w:cs="arial"/>
          <w:b w:val="0"/>
          <w:i w:val="0"/>
          <w:strike w:val="0"/>
          <w:noProof w:val="0"/>
          <w:color w:val="000000"/>
          <w:position w:val="0"/>
          <w:sz w:val="20"/>
          <w:u w:val="none"/>
          <w:vertAlign w:val="baseline"/>
        </w:rPr>
        <w:t>We review de novo a district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denial of a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w:t>
      </w:r>
      <w:bookmarkStart w:id="18" w:name="Bookmark_I67Y176D2N1RPR0040000400"/>
      <w:bookmarkEnd w:id="18"/>
      <w:bookmarkStart w:id="19" w:name="Bookmark_I67Y176D2N1RPR0010000400"/>
      <w:bookmarkEnd w:id="19"/>
      <w:hyperlink r:id="rId12" w:history="1">
        <w:r>
          <w:rPr>
            <w:rFonts w:ascii="arial" w:eastAsia="arial" w:hAnsi="arial" w:cs="arial"/>
            <w:b w:val="0"/>
            <w:i/>
            <w:strike w:val="0"/>
            <w:noProof w:val="0"/>
            <w:color w:val="0077CC"/>
            <w:position w:val="0"/>
            <w:sz w:val="20"/>
            <w:u w:val="single"/>
            <w:vertAlign w:val="baseline"/>
          </w:rPr>
          <w:t>Wooten v. Cauley</w:t>
        </w:r>
      </w:hyperlink>
      <w:hyperlink r:id="rId12" w:history="1">
        <w:r>
          <w:rPr>
            <w:rFonts w:ascii="arial" w:eastAsia="arial" w:hAnsi="arial" w:cs="arial"/>
            <w:b w:val="0"/>
            <w:i/>
            <w:strike w:val="0"/>
            <w:noProof w:val="0"/>
            <w:color w:val="0077CC"/>
            <w:position w:val="0"/>
            <w:sz w:val="20"/>
            <w:u w:val="single"/>
            <w:vertAlign w:val="baseline"/>
          </w:rPr>
          <w:t>, 677 F.3d 303, 306 (6th Cir. 2012)</w:t>
        </w:r>
      </w:hyperlink>
      <w:r>
        <w:rPr>
          <w:rFonts w:ascii="arial" w:eastAsia="arial" w:hAnsi="arial" w:cs="arial"/>
          <w:b w:val="0"/>
          <w:i w:val="0"/>
          <w:strike w:val="0"/>
          <w:noProof w:val="0"/>
          <w:color w:val="000000"/>
          <w:position w:val="0"/>
          <w:sz w:val="20"/>
          <w:u w:val="none"/>
          <w:vertAlign w:val="baseline"/>
        </w:rPr>
        <w:t xml:space="preserve">. A prisoner may challenge the execution of his sentence, including the computation of good-time credits, under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w:t>
      </w:r>
      <w:bookmarkStart w:id="20" w:name="Bookmark_I67Y176D2N1RPR0040000400_2"/>
      <w:bookmarkEnd w:id="20"/>
      <w:bookmarkStart w:id="21" w:name="Bookmark_I67Y176D2D6NWF0010000400"/>
      <w:bookmarkEnd w:id="21"/>
      <w:bookmarkStart w:id="22" w:name="Bookmark_I67Y176D2N1RPR0030000400"/>
      <w:bookmarkEnd w:id="22"/>
      <w:hyperlink r:id="rId13" w:history="1">
        <w:r>
          <w:rPr>
            <w:rFonts w:ascii="arial" w:eastAsia="arial" w:hAnsi="arial" w:cs="arial"/>
            <w:b w:val="0"/>
            <w:i/>
            <w:strike w:val="0"/>
            <w:noProof w:val="0"/>
            <w:color w:val="0077CC"/>
            <w:position w:val="0"/>
            <w:sz w:val="20"/>
            <w:u w:val="single"/>
            <w:vertAlign w:val="baseline"/>
          </w:rPr>
          <w:t>Preiser v. Rodriguez</w:t>
        </w:r>
      </w:hyperlink>
      <w:hyperlink r:id="rId13" w:history="1">
        <w:r>
          <w:rPr>
            <w:rFonts w:ascii="arial" w:eastAsia="arial" w:hAnsi="arial" w:cs="arial"/>
            <w:b w:val="0"/>
            <w:i/>
            <w:strike w:val="0"/>
            <w:noProof w:val="0"/>
            <w:color w:val="0077CC"/>
            <w:position w:val="0"/>
            <w:sz w:val="20"/>
            <w:u w:val="single"/>
            <w:vertAlign w:val="baseline"/>
          </w:rPr>
          <w:t>, 411 U.S. 475, 487-88, 93 S. Ct. 1827, 36 L. Ed. 2d 439 (1973)</w:t>
        </w:r>
      </w:hyperlink>
      <w:r>
        <w:rPr>
          <w:rFonts w:ascii="arial" w:eastAsia="arial" w:hAnsi="arial" w:cs="arial"/>
          <w:b w:val="0"/>
          <w:i w:val="0"/>
          <w:strike w:val="0"/>
          <w:noProof w:val="0"/>
          <w:color w:val="000000"/>
          <w:position w:val="0"/>
          <w:sz w:val="20"/>
          <w:u w:val="none"/>
          <w:vertAlign w:val="baseline"/>
        </w:rPr>
        <w:t xml:space="preserve">. </w:t>
      </w:r>
      <w:bookmarkStart w:id="23" w:name="Bookmark_I67Y176D2D6NWF0010000400_2"/>
      <w:bookmarkEnd w:id="23"/>
      <w:r>
        <w:rPr>
          <w:rFonts w:ascii="arial" w:eastAsia="arial" w:hAnsi="arial" w:cs="arial"/>
          <w:b w:val="0"/>
          <w:i w:val="0"/>
          <w:strike w:val="0"/>
          <w:noProof w:val="0"/>
          <w:color w:val="000000"/>
          <w:position w:val="0"/>
          <w:sz w:val="20"/>
          <w:u w:val="none"/>
          <w:vertAlign w:val="baseline"/>
        </w:rPr>
        <w:t xml:space="preserve">The loss of good-time credits involves a protected liberty interest and must comport with due process. </w:t>
      </w:r>
      <w:bookmarkStart w:id="24" w:name="Bookmark_I67Y176D2D6NWF0030000400"/>
      <w:bookmarkEnd w:id="24"/>
      <w:bookmarkStart w:id="25" w:name="Bookmark_I67Y176D2N1RPR0050000400"/>
      <w:bookmarkEnd w:id="25"/>
      <w:hyperlink r:id="rId14" w:history="1">
        <w:r>
          <w:rPr>
            <w:rFonts w:ascii="arial" w:eastAsia="arial" w:hAnsi="arial" w:cs="arial"/>
            <w:b w:val="0"/>
            <w:i/>
            <w:strike w:val="0"/>
            <w:noProof w:val="0"/>
            <w:color w:val="0077CC"/>
            <w:position w:val="0"/>
            <w:sz w:val="20"/>
            <w:u w:val="single"/>
            <w:vertAlign w:val="baseline"/>
          </w:rPr>
          <w:t>Superintendent, Mass. Corr. Inst. v. Hill</w:t>
        </w:r>
      </w:hyperlink>
      <w:hyperlink r:id="rId14" w:history="1">
        <w:r>
          <w:rPr>
            <w:rFonts w:ascii="arial" w:eastAsia="arial" w:hAnsi="arial" w:cs="arial"/>
            <w:b w:val="0"/>
            <w:i/>
            <w:strike w:val="0"/>
            <w:noProof w:val="0"/>
            <w:color w:val="0077CC"/>
            <w:position w:val="0"/>
            <w:sz w:val="20"/>
            <w:u w:val="single"/>
            <w:vertAlign w:val="baseline"/>
          </w:rPr>
          <w:t>, 472 U.S. 445, 454, 105 S. Ct. 2768, 86 L. Ed. 2d 356 (1985)</w:t>
        </w:r>
      </w:hyperlink>
      <w:r>
        <w:rPr>
          <w:rFonts w:ascii="arial" w:eastAsia="arial" w:hAnsi="arial" w:cs="arial"/>
          <w:b w:val="0"/>
          <w:i w:val="0"/>
          <w:strike w:val="0"/>
          <w:noProof w:val="0"/>
          <w:color w:val="000000"/>
          <w:position w:val="0"/>
          <w:sz w:val="20"/>
          <w:u w:val="none"/>
          <w:vertAlign w:val="baseline"/>
        </w:rPr>
        <w:t xml:space="preserve">. </w:t>
      </w:r>
      <w:bookmarkStart w:id="26" w:name="Bookmark_I67Y176D2D6NWF0030000400_2"/>
      <w:bookmarkEnd w:id="26"/>
      <w:bookmarkStart w:id="27" w:name="Bookmark_I67Y176D2D6NWF0050000400"/>
      <w:bookmarkEnd w:id="27"/>
      <w:r>
        <w:rPr>
          <w:rFonts w:ascii="arial" w:eastAsia="arial" w:hAnsi="arial" w:cs="arial"/>
          <w:b w:val="0"/>
          <w:i w:val="0"/>
          <w:strike w:val="0"/>
          <w:noProof w:val="0"/>
          <w:color w:val="000000"/>
          <w:position w:val="0"/>
          <w:sz w:val="20"/>
          <w:u w:val="none"/>
          <w:vertAlign w:val="baseline"/>
        </w:rPr>
        <w:t xml:space="preserve">When a prisoner hearing rights: 1) written notice of the hearing at least twenty-four hours in advance, 2) an opportunity, when consistent with institutional safety and correctional goals, to call witnesses and present documentary evidence in his defense, and 3) a written statement by the factfinder of the evidence relied on and the reason for the disciplinary action. </w:t>
      </w:r>
      <w:bookmarkStart w:id="28" w:name="Bookmark_I67Y176F2HM6VY0020000400"/>
      <w:bookmarkEnd w:id="28"/>
      <w:bookmarkStart w:id="29" w:name="Bookmark_I67Y176D2D6NWF0020000400"/>
      <w:bookmarkEnd w:id="29"/>
      <w:hyperlink r:id="rId15" w:history="1">
        <w:r>
          <w:rPr>
            <w:rFonts w:ascii="arial" w:eastAsia="arial" w:hAnsi="arial" w:cs="arial"/>
            <w:b w:val="0"/>
            <w:i/>
            <w:strike w:val="0"/>
            <w:noProof w:val="0"/>
            <w:color w:val="0077CC"/>
            <w:position w:val="0"/>
            <w:sz w:val="20"/>
            <w:u w:val="single"/>
            <w:vertAlign w:val="baseline"/>
          </w:rPr>
          <w:t>Wolff v. McDonnell</w:t>
        </w:r>
      </w:hyperlink>
      <w:hyperlink r:id="rId15" w:history="1">
        <w:r>
          <w:rPr>
            <w:rFonts w:ascii="arial" w:eastAsia="arial" w:hAnsi="arial" w:cs="arial"/>
            <w:b w:val="0"/>
            <w:i/>
            <w:strike w:val="0"/>
            <w:noProof w:val="0"/>
            <w:color w:val="0077CC"/>
            <w:position w:val="0"/>
            <w:sz w:val="20"/>
            <w:u w:val="single"/>
            <w:vertAlign w:val="baseline"/>
          </w:rPr>
          <w:t>, 418 U.S. 539, 563-67, 94 S. Ct. 2963, 41 L. Ed. 2d 935 (1974)</w:t>
        </w:r>
      </w:hyperlink>
      <w:r>
        <w:rPr>
          <w:rFonts w:ascii="arial" w:eastAsia="arial" w:hAnsi="arial" w:cs="arial"/>
          <w:b w:val="0"/>
          <w:i w:val="0"/>
          <w:strike w:val="0"/>
          <w:noProof w:val="0"/>
          <w:color w:val="000000"/>
          <w:position w:val="0"/>
          <w:sz w:val="20"/>
          <w:u w:val="none"/>
          <w:vertAlign w:val="baseline"/>
        </w:rPr>
        <w:t xml:space="preserve">. </w:t>
      </w:r>
      <w:bookmarkStart w:id="30" w:name="Bookmark_I67Y176F2HM6VY0020000400_2"/>
      <w:bookmarkEnd w:id="30"/>
      <w:bookmarkStart w:id="31" w:name="Bookmark_I67Y176D2D6NWF0050000400_2"/>
      <w:bookmarkEnd w:id="31"/>
      <w:bookmarkStart w:id="32" w:name="Bookmark_I67Y176F2HM6VY0040000400"/>
      <w:bookmarkEnd w:id="32"/>
      <w:r>
        <w:rPr>
          <w:rFonts w:ascii="arial" w:eastAsia="arial" w:hAnsi="arial" w:cs="arial"/>
          <w:b w:val="0"/>
          <w:i w:val="0"/>
          <w:strike w:val="0"/>
          <w:noProof w:val="0"/>
          <w:color w:val="000000"/>
          <w:position w:val="0"/>
          <w:sz w:val="20"/>
          <w:u w:val="none"/>
          <w:vertAlign w:val="baseline"/>
        </w:rPr>
        <w:t xml:space="preserve">Additionally, a finding of guilt that results in a loss of good-time credits must be "supported by some evidence in the record." </w:t>
      </w:r>
      <w:bookmarkStart w:id="33" w:name="Bookmark_I67Y176D2D6NWF0040000400"/>
      <w:bookmarkEnd w:id="33"/>
      <w:hyperlink r:id="rId14" w:history="1">
        <w:r>
          <w:rPr>
            <w:rFonts w:ascii="arial" w:eastAsia="arial" w:hAnsi="arial" w:cs="arial"/>
            <w:b w:val="0"/>
            <w:i/>
            <w:strike w:val="0"/>
            <w:noProof w:val="0"/>
            <w:color w:val="0077CC"/>
            <w:position w:val="0"/>
            <w:sz w:val="20"/>
            <w:u w:val="single"/>
            <w:vertAlign w:val="baseline"/>
          </w:rPr>
          <w:t>Hill</w:t>
        </w:r>
      </w:hyperlink>
      <w:hyperlink r:id="rId14" w:history="1">
        <w:r>
          <w:rPr>
            <w:rFonts w:ascii="arial" w:eastAsia="arial" w:hAnsi="arial" w:cs="arial"/>
            <w:b w:val="0"/>
            <w:i/>
            <w:strike w:val="0"/>
            <w:noProof w:val="0"/>
            <w:color w:val="0077CC"/>
            <w:position w:val="0"/>
            <w:sz w:val="20"/>
            <w:u w:val="single"/>
            <w:vertAlign w:val="baseline"/>
          </w:rPr>
          <w:t>, 472 U.S. at 454</w:t>
        </w:r>
      </w:hyperlink>
      <w:r>
        <w:rPr>
          <w:rFonts w:ascii="arial" w:eastAsia="arial" w:hAnsi="arial" w:cs="arial"/>
          <w:b w:val="0"/>
          <w:i w:val="0"/>
          <w:strike w:val="0"/>
          <w:noProof w:val="0"/>
          <w:color w:val="000000"/>
          <w:position w:val="0"/>
          <w:sz w:val="20"/>
          <w:u w:val="none"/>
          <w:vertAlign w:val="baseline"/>
        </w:rPr>
        <w:t xml:space="preserve">. </w:t>
      </w:r>
      <w:bookmarkStart w:id="34" w:name="Bookmark_I67Y176F2HM6VY0040000400_2"/>
      <w:bookmarkEnd w:id="34"/>
      <w:r>
        <w:rPr>
          <w:rFonts w:ascii="arial" w:eastAsia="arial" w:hAnsi="arial" w:cs="arial"/>
          <w:b w:val="0"/>
          <w:i w:val="0"/>
          <w:strike w:val="0"/>
          <w:noProof w:val="0"/>
          <w:color w:val="000000"/>
          <w:position w:val="0"/>
          <w:sz w:val="20"/>
          <w:u w:val="none"/>
          <w:vertAlign w:val="baseline"/>
        </w:rPr>
        <w:t xml:space="preserve">"[T]he relevant question is whether there is any evidence in the record that could support the conclusion reached by the disciplinary board." </w:t>
      </w:r>
      <w:bookmarkStart w:id="35" w:name="Bookmark_I67Y176F2HM6VY0010000400"/>
      <w:bookmarkEnd w:id="3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455-56</w:t>
        </w:r>
      </w:hyperlink>
      <w:r>
        <w:rPr>
          <w:rFonts w:ascii="arial" w:eastAsia="arial" w:hAnsi="arial" w:cs="arial"/>
          <w:b w:val="0"/>
          <w:i w:val="0"/>
          <w:strike w:val="0"/>
          <w:noProof w:val="0"/>
          <w:color w:val="000000"/>
          <w:position w:val="0"/>
          <w:sz w:val="20"/>
          <w:u w:val="none"/>
          <w:vertAlign w:val="baseline"/>
        </w:rPr>
        <w:t xml:space="preserve">. </w:t>
      </w:r>
      <w:bookmarkStart w:id="36" w:name="Bookmark_I67Y176F2HM6VY0040000400_3"/>
      <w:bookmarkEnd w:id="36"/>
      <w:bookmarkStart w:id="37" w:name="Bookmark_I2H12P6BGD900001K4500001"/>
      <w:bookmarkEnd w:id="37"/>
      <w:bookmarkStart w:id="38" w:name="Bookmark_I67Y176F2D6NWJ0010000400"/>
      <w:bookmarkEnd w:id="38"/>
      <w:r>
        <w:rPr>
          <w:rFonts w:ascii="arial" w:eastAsia="arial" w:hAnsi="arial" w:cs="arial"/>
          <w:b w:val="0"/>
          <w:i w:val="0"/>
          <w:strike w:val="0"/>
          <w:noProof w:val="0"/>
          <w:color w:val="000000"/>
          <w:position w:val="0"/>
          <w:sz w:val="20"/>
          <w:u w:val="none"/>
          <w:vertAlign w:val="baseline"/>
        </w:rPr>
        <w:t xml:space="preserve">When reviewing an administrative decision for some evidence, a federal court does not require an "examination of the entire record, independent assessment of the credibility of witnesses, or weighing of the evidence." </w:t>
      </w:r>
      <w:bookmarkStart w:id="39" w:name="Bookmark_I67Y176F2HM6VY0030000400"/>
      <w:bookmarkEnd w:id="39"/>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455</w:t>
        </w:r>
      </w:hyperlink>
      <w:r>
        <w:rPr>
          <w:rFonts w:ascii="arial" w:eastAsia="arial" w:hAnsi="arial" w:cs="arial"/>
          <w:b w:val="0"/>
          <w:i w:val="0"/>
          <w:strike w:val="0"/>
          <w:noProof w:val="0"/>
          <w:color w:val="000000"/>
          <w:position w:val="0"/>
          <w:sz w:val="20"/>
          <w:u w:val="none"/>
          <w:vertAlign w:val="baseline"/>
        </w:rPr>
        <w:t xml:space="preserve">. </w:t>
      </w:r>
      <w:bookmarkStart w:id="40" w:name="Bookmark_I67Y176F2D6NWJ0010000400_2"/>
      <w:bookmarkEnd w:id="40"/>
      <w:r>
        <w:rPr>
          <w:rFonts w:ascii="arial" w:eastAsia="arial" w:hAnsi="arial" w:cs="arial"/>
          <w:b w:val="0"/>
          <w:i w:val="0"/>
          <w:strike w:val="0"/>
          <w:noProof w:val="0"/>
          <w:color w:val="000000"/>
          <w:position w:val="0"/>
          <w:sz w:val="20"/>
          <w:u w:val="none"/>
          <w:vertAlign w:val="baseline"/>
        </w:rPr>
        <w:t>The court must only make certain that some evidence exists and that the decision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administrative body is not arbitrary. </w:t>
      </w:r>
      <w:bookmarkStart w:id="41" w:name="Bookmark_I67Y176F2HM6VY0050000400"/>
      <w:bookmarkEnd w:id="41"/>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457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Applying these standards, we conclude that Jennings's right to due process was not violated in the disciplinary proceedings and that the DHO's decision satisfies the "some evidence" standard.</w:t>
      </w:r>
    </w:p>
    <w:p>
      <w:pPr>
        <w:keepNext w:val="0"/>
        <w:spacing w:before="240" w:after="0" w:line="260" w:lineRule="atLeast"/>
        <w:ind w:left="0" w:right="0" w:firstLine="0"/>
        <w:jc w:val="both"/>
      </w:pPr>
      <w:bookmarkStart w:id="42" w:name="Bookmark_para_10"/>
      <w:bookmarkEnd w:id="42"/>
      <w:bookmarkStart w:id="43" w:name="Bookmark_I67Y176F2D6NWJ0030000400"/>
      <w:bookmarkEnd w:id="43"/>
      <w:r>
        <w:rPr>
          <w:rFonts w:ascii="arial" w:eastAsia="arial" w:hAnsi="arial" w:cs="arial"/>
          <w:b w:val="0"/>
          <w:i w:val="0"/>
          <w:strike w:val="0"/>
          <w:noProof w:val="0"/>
          <w:color w:val="000000"/>
          <w:position w:val="0"/>
          <w:sz w:val="20"/>
          <w:u w:val="none"/>
          <w:vertAlign w:val="baseline"/>
        </w:rPr>
        <w:t xml:space="preserve">First, Jennings received all the due-process protections he was entitled to—he received sufficient advance written notice of the hearing and the charges against him, he submitted his own written statement denying the misconduct and waived the opportunity to present any witnesses, and the DHO issued a written statement that discussed the reasons and evidence supporting her decision and the sanction she imposed. Jennings did not have a </w:t>
      </w:r>
      <w:hyperlink r:id="rId11"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 witnesses against him during the disciplinary hearing. </w:t>
      </w:r>
      <w:r>
        <w:rPr>
          <w:rFonts w:ascii="arial" w:eastAsia="arial" w:hAnsi="arial" w:cs="arial"/>
          <w:b w:val="0"/>
          <w:i/>
          <w:strike w:val="0"/>
          <w:noProof w:val="0"/>
          <w:color w:val="000000"/>
          <w:position w:val="0"/>
          <w:sz w:val="20"/>
          <w:u w:val="none"/>
          <w:vertAlign w:val="baseline"/>
        </w:rPr>
        <w:t xml:space="preserve">See </w:t>
      </w:r>
      <w:bookmarkStart w:id="44" w:name="Bookmark_I67Y176F2D6NWJ0020000400"/>
      <w:bookmarkEnd w:id="44"/>
      <w:hyperlink r:id="rId15" w:history="1">
        <w:r>
          <w:rPr>
            <w:rFonts w:ascii="arial" w:eastAsia="arial" w:hAnsi="arial" w:cs="arial"/>
            <w:b w:val="0"/>
            <w:i/>
            <w:strike w:val="0"/>
            <w:noProof w:val="0"/>
            <w:color w:val="0077CC"/>
            <w:position w:val="0"/>
            <w:sz w:val="20"/>
            <w:u w:val="single"/>
            <w:vertAlign w:val="baseline"/>
          </w:rPr>
          <w:t>Wolff</w:t>
        </w:r>
      </w:hyperlink>
      <w:hyperlink r:id="rId15" w:history="1">
        <w:r>
          <w:rPr>
            <w:rFonts w:ascii="arial" w:eastAsia="arial" w:hAnsi="arial" w:cs="arial"/>
            <w:b w:val="0"/>
            <w:i/>
            <w:strike w:val="0"/>
            <w:noProof w:val="0"/>
            <w:color w:val="0077CC"/>
            <w:position w:val="0"/>
            <w:sz w:val="20"/>
            <w:u w:val="single"/>
            <w:vertAlign w:val="baseline"/>
          </w:rPr>
          <w:t>, 418 U.S. at 567-68</w:t>
        </w:r>
      </w:hyperlink>
      <w:r>
        <w:rPr>
          <w:rFonts w:ascii="arial" w:eastAsia="arial" w:hAnsi="arial" w:cs="arial"/>
          <w:b w:val="0"/>
          <w:i w:val="0"/>
          <w:strike w:val="0"/>
          <w:noProof w:val="0"/>
          <w:color w:val="000000"/>
          <w:position w:val="0"/>
          <w:sz w:val="20"/>
          <w:u w:val="none"/>
          <w:vertAlign w:val="baseline"/>
        </w:rPr>
        <w:t>. Further, Jennings waived his right under the applicable federal regulations to have a staff member represent him at the hearing and did not contest this fact in his habeas petition.</w:t>
      </w:r>
    </w:p>
    <w:p>
      <w:pPr>
        <w:keepNext w:val="0"/>
        <w:spacing w:before="200" w:after="0" w:line="260" w:lineRule="atLeast"/>
        <w:ind w:left="0" w:right="0" w:firstLine="0"/>
        <w:jc w:val="both"/>
      </w:pPr>
      <w:bookmarkStart w:id="45" w:name="Bookmark_para_11"/>
      <w:bookmarkEnd w:id="45"/>
      <w:bookmarkStart w:id="46" w:name="Bookmark_I67Y176F2D6NWJ0050000400"/>
      <w:bookmarkEnd w:id="46"/>
      <w:bookmarkStart w:id="47" w:name="Bookmark_I67Y176F28T5110020000400"/>
      <w:bookmarkEnd w:id="47"/>
      <w:r>
        <w:rPr>
          <w:rFonts w:ascii="arial" w:eastAsia="arial" w:hAnsi="arial" w:cs="arial"/>
          <w:b w:val="0"/>
          <w:i w:val="0"/>
          <w:strike w:val="0"/>
          <w:noProof w:val="0"/>
          <w:color w:val="000000"/>
          <w:position w:val="0"/>
          <w:sz w:val="20"/>
          <w:u w:val="none"/>
          <w:vertAlign w:val="baseline"/>
        </w:rPr>
        <w:t xml:space="preserve">Second, the DHO's decision was supported by "some evidence," such as the SIS incident report, which detailed the events leading up to the discovery of the cell phone near Jennings's bunk. </w:t>
      </w:r>
      <w:r>
        <w:rPr>
          <w:rFonts w:ascii="arial" w:eastAsia="arial" w:hAnsi="arial" w:cs="arial"/>
          <w:b w:val="0"/>
          <w:i/>
          <w:strike w:val="0"/>
          <w:noProof w:val="0"/>
          <w:color w:val="000000"/>
          <w:position w:val="0"/>
          <w:sz w:val="20"/>
          <w:u w:val="none"/>
          <w:vertAlign w:val="baseline"/>
        </w:rPr>
        <w:t xml:space="preserve">See </w:t>
      </w:r>
      <w:bookmarkStart w:id="48" w:name="Bookmark_I67Y176F2D6NWJ0040000400"/>
      <w:bookmarkEnd w:id="48"/>
      <w:hyperlink r:id="rId16" w:history="1">
        <w:r>
          <w:rPr>
            <w:rFonts w:ascii="arial" w:eastAsia="arial" w:hAnsi="arial" w:cs="arial"/>
            <w:b w:val="0"/>
            <w:i/>
            <w:strike w:val="0"/>
            <w:noProof w:val="0"/>
            <w:color w:val="0077CC"/>
            <w:position w:val="0"/>
            <w:sz w:val="20"/>
            <w:u w:val="single"/>
            <w:vertAlign w:val="baseline"/>
          </w:rPr>
          <w:t>Humphreys v. Hemingway</w:t>
        </w:r>
      </w:hyperlink>
      <w:hyperlink r:id="rId16" w:history="1">
        <w:r>
          <w:rPr>
            <w:rFonts w:ascii="arial" w:eastAsia="arial" w:hAnsi="arial" w:cs="arial"/>
            <w:b w:val="0"/>
            <w:i/>
            <w:strike w:val="0"/>
            <w:noProof w:val="0"/>
            <w:color w:val="0077CC"/>
            <w:position w:val="0"/>
            <w:sz w:val="20"/>
            <w:u w:val="single"/>
            <w:vertAlign w:val="baseline"/>
          </w:rPr>
          <w:t>, 77 F. App'x 788, 789 (6th Cir. 2003)</w:t>
        </w:r>
      </w:hyperlink>
      <w:r>
        <w:rPr>
          <w:rFonts w:ascii="arial" w:eastAsia="arial" w:hAnsi="arial" w:cs="arial"/>
          <w:b w:val="0"/>
          <w:i w:val="0"/>
          <w:strike w:val="0"/>
          <w:noProof w:val="0"/>
          <w:color w:val="000000"/>
          <w:position w:val="0"/>
          <w:sz w:val="20"/>
          <w:u w:val="none"/>
          <w:vertAlign w:val="baseline"/>
        </w:rPr>
        <w:t>. Further, the confidential informants, who a disciplinary committee had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determined were credible because they both had provided reliable information several times in the past, </w:t>
      </w:r>
      <w:r>
        <w:rPr>
          <w:rFonts w:ascii="arial" w:eastAsia="arial" w:hAnsi="arial" w:cs="arial"/>
          <w:b w:val="0"/>
          <w:i/>
          <w:strike w:val="0"/>
          <w:noProof w:val="0"/>
          <w:color w:val="000000"/>
          <w:position w:val="0"/>
          <w:sz w:val="20"/>
          <w:u w:val="none"/>
          <w:vertAlign w:val="baseline"/>
        </w:rPr>
        <w:t xml:space="preserve">see </w:t>
      </w:r>
      <w:bookmarkStart w:id="49" w:name="Bookmark_I67Y176F28T5110010000400"/>
      <w:bookmarkEnd w:id="49"/>
      <w:hyperlink r:id="rId17" w:history="1">
        <w:r>
          <w:rPr>
            <w:rFonts w:ascii="arial" w:eastAsia="arial" w:hAnsi="arial" w:cs="arial"/>
            <w:b w:val="0"/>
            <w:i/>
            <w:strike w:val="0"/>
            <w:noProof w:val="0"/>
            <w:color w:val="0077CC"/>
            <w:position w:val="0"/>
            <w:sz w:val="20"/>
            <w:u w:val="single"/>
            <w:vertAlign w:val="baseline"/>
          </w:rPr>
          <w:t>Hensley v. Wilson</w:t>
        </w:r>
      </w:hyperlink>
      <w:hyperlink r:id="rId17" w:history="1">
        <w:r>
          <w:rPr>
            <w:rFonts w:ascii="arial" w:eastAsia="arial" w:hAnsi="arial" w:cs="arial"/>
            <w:b w:val="0"/>
            <w:i/>
            <w:strike w:val="0"/>
            <w:noProof w:val="0"/>
            <w:color w:val="0077CC"/>
            <w:position w:val="0"/>
            <w:sz w:val="20"/>
            <w:u w:val="single"/>
            <w:vertAlign w:val="baseline"/>
          </w:rPr>
          <w:t>, 850 F.2d 269, 283 (6th Cir. 1988)</w:t>
        </w:r>
      </w:hyperlink>
      <w:r>
        <w:rPr>
          <w:rFonts w:ascii="arial" w:eastAsia="arial" w:hAnsi="arial" w:cs="arial"/>
          <w:b w:val="0"/>
          <w:i w:val="0"/>
          <w:strike w:val="0"/>
          <w:noProof w:val="0"/>
          <w:color w:val="000000"/>
          <w:position w:val="0"/>
          <w:sz w:val="20"/>
          <w:u w:val="none"/>
          <w:vertAlign w:val="baseline"/>
        </w:rPr>
        <w:t xml:space="preserve">, stated that Jennings was using a cell phone to coordinate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and the phone described by the second informant was similar to the one found in the search of the dormitory. There was also the contraband list, which corroborated the information that Jennings and another incarcerated person were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prison camp. Finally, Jennings admitted to his case manager that he possessed a cell phone, even if it was not the one that was discovered during the investigation.</w:t>
      </w:r>
    </w:p>
    <w:p>
      <w:pPr>
        <w:keepNext w:val="0"/>
        <w:spacing w:before="200" w:after="0" w:line="260" w:lineRule="atLeast"/>
        <w:ind w:left="0" w:right="0" w:firstLine="0"/>
        <w:jc w:val="both"/>
      </w:pPr>
      <w:bookmarkStart w:id="50" w:name="Bookmark_para_12"/>
      <w:bookmarkEnd w:id="50"/>
      <w:r>
        <w:rPr>
          <w:rFonts w:ascii="arial" w:eastAsia="arial" w:hAnsi="arial" w:cs="arial"/>
          <w:b w:val="0"/>
          <w:i w:val="0"/>
          <w:strike w:val="0"/>
          <w:noProof w:val="0"/>
          <w:color w:val="000000"/>
          <w:position w:val="0"/>
          <w:sz w:val="20"/>
          <w:u w:val="none"/>
          <w:vertAlign w:val="baseline"/>
        </w:rPr>
        <w:t xml:space="preserve">For these reasons,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Jennings v. LeMaster, 2023 U.S. App. LEXIS 7482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V2-00000-00&amp;context=1519360" TargetMode="External" /><Relationship Id="rId11" Type="http://schemas.openxmlformats.org/officeDocument/2006/relationships/hyperlink" Target="https://advance.lexis.com/api/document?collection=statutes-legislation&amp;id=urn:contentItem:8T9R-T4F2-D6RV-H37N-00000-00&amp;context=1519360" TargetMode="External" /><Relationship Id="rId12" Type="http://schemas.openxmlformats.org/officeDocument/2006/relationships/hyperlink" Target="https://advance.lexis.com/api/document?collection=cases&amp;id=urn:contentItem:55CY-K821-F04K-P019-00000-00&amp;context=1519360" TargetMode="External" /><Relationship Id="rId13" Type="http://schemas.openxmlformats.org/officeDocument/2006/relationships/hyperlink" Target="https://advance.lexis.com/api/document?collection=cases&amp;id=urn:contentItem:3S4X-CVJ0-003B-S2WY-00000-00&amp;context=1519360" TargetMode="External" /><Relationship Id="rId14" Type="http://schemas.openxmlformats.org/officeDocument/2006/relationships/hyperlink" Target="https://advance.lexis.com/api/document?collection=cases&amp;id=urn:contentItem:3S4X-B3F0-0039-N4JP-00000-00&amp;context=1519360" TargetMode="External" /><Relationship Id="rId15" Type="http://schemas.openxmlformats.org/officeDocument/2006/relationships/hyperlink" Target="https://advance.lexis.com/api/document?collection=cases&amp;id=urn:contentItem:3S4X-CBK0-003B-S1Y2-00000-00&amp;context=1519360" TargetMode="External" /><Relationship Id="rId16" Type="http://schemas.openxmlformats.org/officeDocument/2006/relationships/hyperlink" Target="https://advance.lexis.com/api/document?collection=cases&amp;id=urn:contentItem:49JP-GD60-0038-X28N-00000-00&amp;context=1519360" TargetMode="External" /><Relationship Id="rId17" Type="http://schemas.openxmlformats.org/officeDocument/2006/relationships/hyperlink" Target="https://advance.lexis.com/api/document?collection=cases&amp;id=urn:contentItem:3S4X-0GY0-001B-K1WC-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WR-TNN1-JSXV-G3WX-00000-00&amp;context=1519360" TargetMode="External" /><Relationship Id="rId9" Type="http://schemas.openxmlformats.org/officeDocument/2006/relationships/hyperlink" Target="https://advance.lexis.com/api/document?collection=cases&amp;id=urn:contentItem:6600-7M91-FBFS-S2K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Jennings v. LeMaster, 2023 U.S. App. LEXIS 7482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urn:user:PA186186280</vt:lpwstr>
  </property>
</Properties>
</file>