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Pataro v. Castellón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2023, Decided; May 9,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22-20866-CIV-WILLIAMS/REID</w:t>
      </w:r>
    </w:p>
    <w:p>
      <w:pPr>
        <w:keepNext w:val="0"/>
        <w:spacing w:after="0" w:line="240" w:lineRule="atLeast"/>
        <w:ind w:right="0"/>
        <w:jc w:val="both"/>
      </w:pPr>
      <w:bookmarkStart w:id="0" w:name="Bookmark_8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81090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4025877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ELLEN PATARO, Plaintiff, v. HÉCTOR CASTELLÓN,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Pataro v. Castelln, 2023 U.S. Dist. LEXIS 105640, 2023 WL 4014793 (S.D. Fla., Mar. 24,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continuity, allegations,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motion to dismiss, collection, gold, predicate act, frivolous, sanctions, damages, ripe, motion for sanctions, fraud claim, proximately, open-ended, report and recommendation, racketeering activity, money laundering, state court, ex-husband, causation, conceal, two year, misrepresentation, proceeds, ongoing, schemes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Ellen Pataro, Plaintiff: Marcus Johnson Green, Kobre &amp; Kim LLP, Miami, FL; Andrew C Lourie, LEAD ATTORNEY, Kobre &amp; Kim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Fernandez &amp; Associates LLC, Pablo Fernandez, Sabrina Fernandez, Sabrina Fernandez, Sabrina Fernandez, Material Witness: Luis Mena, Mena Law Firm, Coral Gables,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Hector O. Castellon, Hector D. Castellon, Jacqueline Castellon, Defendants: Simon Ferro, LEAD ATTORNEY, Lewis Tein, Coconut Grove,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LISETTE M. REID,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LISETTE M. REID</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ON DEFNDANTS' MOTION FOR SANCTIONS</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cause is before the Court on Defendants, Hector O. Castellon, Hector D. Castellon, and Jacqueline Castellon's (the "Castellons" or "Defendants") Motion for Sanctions (the "Motion"). [ECF No. 18]. The Honorable Kathleen M. Williams referred the Motion to the me for a Report and Recommendation. [ECF No. 24]. For the reasons addressed below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the Motion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This case revolves around Plaintiff's allegations that the Castellons are at the center of a vast money laundering conspiracy through which they have actively "launder[ed] the proceeds from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billions of dollars in Venezuelan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gold, using numerous onshore and offshore companies ... to acquire or control real estate development projects or other enterprises." [ECF No. 8 at 1]. At the center of these allegations are Plaintiff's ex-husband, non-party Mario Pataro, and his purported attempts to conceal financial assets during a divorce settlement agreement in 2009.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Years after the settlement agreement, Plaintiff learned that during the divorce proceedings Mr. Pataro had not disclosed a business he owned.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Consequently, Plaintiff moved to set aside the settlement agreement.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Subsequently, the Florida state court "found that [Mr.] Pataro had lied under oath, submitted false evidence, and enlisted the help and support of third parties to commit widespread perjury designed to conceal his assets."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state court would go on to hold Mr. Pataro in contempt of court, and in September and October 2017, issued writs of bodily attachment for his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From there, Plaintiff's attempts to collect from her ex-husband and her allegations against the Castellons converge. Plaintiff asserts that in September 2017, to evade arrest, Mr. Pataro fled the jurisdiction with the Castellons' assistance.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Following Mr. Pataro's flight from the jurisdiction, the state court set aside the settlement agreement and entered a money judgment in Plaintiff's favor for $49,524,834 plus post-judgment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Apart from assisting Mr. Pataro flee the jurisdiction, Plaintiff contends that the Castellons employed their far-reaching money laundering, money transmitting, gold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wire fraud apparatus to assist Mr. Pataro in misrepresenting and concealing his assets from her.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19-24]. To achieve this end, Plaintiff alleges the Castellons employed a laundering system of numerous non-party companies to make payments on behalf of Mr. Pataro to various individuals and corporations, purchase luxury cars, and purchase two luxury condominiums in Miami.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Pertinent to the Motion for Sanctions, Defendants explain that in June 2020 Plaintiff "filed a motion for proceedings supplementary in the state court proceedings, where she asked the state court to implead six Castellon-related companies[.]" [ECF No. 18 at 1]. The allegations made in Plaintiff's state court motion mirror those made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Over the next year Plaintiff and Defendants engaged in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discovery, after which the Castellons "served Plaintiff and her counsel with a motion for sanctions pursuant to </w:t>
      </w:r>
      <w:hyperlink r:id="rId10" w:history="1">
        <w:r>
          <w:rPr>
            <w:rFonts w:ascii="arial" w:eastAsia="arial" w:hAnsi="arial" w:cs="arial"/>
            <w:b w:val="0"/>
            <w:i/>
            <w:strike w:val="0"/>
            <w:noProof w:val="0"/>
            <w:color w:val="0077CC"/>
            <w:position w:val="0"/>
            <w:sz w:val="20"/>
            <w:u w:val="single"/>
            <w:vertAlign w:val="baseline"/>
          </w:rPr>
          <w:t>Section 57.105 Florida Statutes</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As Defendants explain "[o]ne the eve of the 21-day safe harbor period, Plaintiff dismissed her ... state law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A few months later, Plaintiff filed the instant lawsuit asserting claims for RICO violations and fraud. [ECF No. 1].</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Shortly after Plaintiff initiated the instant suit, she filed the five-count First Amended Complaint ("FAC").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8]. In Counts I through III of the FAC, Plaintiff asserts claims for violations of the </w:t>
      </w:r>
      <w:hyperlink r:id="rId11" w:history="1">
        <w:r>
          <w:rPr>
            <w:rFonts w:ascii="arial" w:eastAsia="arial" w:hAnsi="arial" w:cs="arial"/>
            <w:b w:val="0"/>
            <w:i/>
            <w:strike w:val="0"/>
            <w:noProof w:val="0"/>
            <w:color w:val="0077CC"/>
            <w:position w:val="0"/>
            <w:sz w:val="20"/>
            <w:u w:val="single"/>
            <w:vertAlign w:val="baseline"/>
          </w:rPr>
          <w:t>Racketeer Influenced and Corrupt Organizations Act, 18 U.S.C. § 1962</w:t>
        </w:r>
      </w:hyperlink>
      <w:r>
        <w:rPr>
          <w:rFonts w:ascii="arial" w:eastAsia="arial" w:hAnsi="arial" w:cs="arial"/>
          <w:b w:val="0"/>
          <w:i w:val="0"/>
          <w:strike w:val="0"/>
          <w:noProof w:val="0"/>
          <w:color w:val="000000"/>
          <w:position w:val="0"/>
          <w:sz w:val="20"/>
          <w:u w:val="none"/>
          <w:vertAlign w:val="baseline"/>
        </w:rPr>
        <w:t xml:space="preserve"> ("RICO"), specifically for violations of </w:t>
      </w:r>
      <w:hyperlink r:id="rId11"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xml:space="preserve"> (Count I), </w:t>
      </w:r>
      <w:hyperlink r:id="rId11" w:history="1">
        <w:r>
          <w:rPr>
            <w:rFonts w:ascii="arial" w:eastAsia="arial" w:hAnsi="arial" w:cs="arial"/>
            <w:b w:val="0"/>
            <w:i/>
            <w:strike w:val="0"/>
            <w:noProof w:val="0"/>
            <w:color w:val="0077CC"/>
            <w:position w:val="0"/>
            <w:sz w:val="20"/>
            <w:u w:val="single"/>
            <w:vertAlign w:val="baseline"/>
          </w:rPr>
          <w:t>18 U.S.C. § 1962(b)</w:t>
        </w:r>
      </w:hyperlink>
      <w:r>
        <w:rPr>
          <w:rFonts w:ascii="arial" w:eastAsia="arial" w:hAnsi="arial" w:cs="arial"/>
          <w:b w:val="0"/>
          <w:i w:val="0"/>
          <w:strike w:val="0"/>
          <w:noProof w:val="0"/>
          <w:color w:val="000000"/>
          <w:position w:val="0"/>
          <w:sz w:val="20"/>
          <w:u w:val="none"/>
          <w:vertAlign w:val="baseline"/>
        </w:rPr>
        <w:t xml:space="preserve"> (Count II), and </w:t>
      </w:r>
      <w:hyperlink r:id="rId11" w:history="1">
        <w:r>
          <w:rPr>
            <w:rFonts w:ascii="arial" w:eastAsia="arial" w:hAnsi="arial" w:cs="arial"/>
            <w:b w:val="0"/>
            <w:i/>
            <w:strike w:val="0"/>
            <w:noProof w:val="0"/>
            <w:color w:val="0077CC"/>
            <w:position w:val="0"/>
            <w:sz w:val="20"/>
            <w:u w:val="single"/>
            <w:vertAlign w:val="baseline"/>
          </w:rPr>
          <w:t>18 U.S.C. § 1962(d)</w:t>
        </w:r>
      </w:hyperlink>
      <w:r>
        <w:rPr>
          <w:rFonts w:ascii="arial" w:eastAsia="arial" w:hAnsi="arial" w:cs="arial"/>
          <w:b w:val="0"/>
          <w:i w:val="0"/>
          <w:strike w:val="0"/>
          <w:noProof w:val="0"/>
          <w:color w:val="000000"/>
          <w:position w:val="0"/>
          <w:sz w:val="20"/>
          <w:u w:val="none"/>
          <w:vertAlign w:val="baseline"/>
        </w:rPr>
        <w:t xml:space="preserve"> (Count III).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24-30]. In Counts IV and V, Plaintiff brings claims for fraud and conspiracy to defraud, respectively.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30-32]. Two weeks after Plaintiff filed the FAC, Defendants filed their Motion to Dismiss the FAC.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 In the Motion to Dismiss, Defendants argued that: (1) the FAC should be dismissed as a shotgun pleading; (2) the RICO claims should be dismissed for failure to state a claim because Plaintiff lacks standing, Plaintiff fails to meet the heightened pleading requirements, the alleged predicate RICO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violations did not proximately cause Plaintiff's alleged injury, and Plaintiff fails to establish a pattern of racketeering activity; and (3) Plaintiff's fraud claims fails as a matter of law.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the Motion to Dismiss was still pending, Defendants filed the instant Motion, requesting the Court to sanction Plaintiff and her attorneys pursuant to </w:t>
      </w:r>
      <w:hyperlink r:id="rId12" w:history="1">
        <w:r>
          <w:rPr>
            <w:rFonts w:ascii="arial" w:eastAsia="arial" w:hAnsi="arial" w:cs="arial"/>
            <w:b w:val="0"/>
            <w:i/>
            <w:strike w:val="0"/>
            <w:noProof w:val="0"/>
            <w:color w:val="0077CC"/>
            <w:position w:val="0"/>
            <w:sz w:val="20"/>
            <w:u w:val="single"/>
            <w:vertAlign w:val="baseline"/>
          </w:rPr>
          <w:t>Rule 11 of the Federal Rules of Civil Procedure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LEGAL STANDARD</w:t>
      </w:r>
    </w:p>
    <w:p>
      <w:pPr>
        <w:keepNext w:val="0"/>
        <w:spacing w:before="24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w:t>
      </w:r>
      <w:hyperlink r:id="rId12"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sanctions are proper (1) when a party files a pleading that has no reasonable factual basis; (2) when the party files a pleading that is based on a legal theory that has no reasonable chance of success and that cannot be advanced as a reasonable argument to change existing law; or (3) when the party files a pleading in bad faith for an improper purpose." </w:t>
      </w:r>
      <w:hyperlink r:id="rId13" w:history="1">
        <w:r>
          <w:rPr>
            <w:rFonts w:ascii="arial" w:eastAsia="arial" w:hAnsi="arial" w:cs="arial"/>
            <w:b w:val="0"/>
            <w:i/>
            <w:strike w:val="0"/>
            <w:noProof w:val="0"/>
            <w:color w:val="0077CC"/>
            <w:position w:val="0"/>
            <w:sz w:val="20"/>
            <w:u w:val="single"/>
            <w:vertAlign w:val="baseline"/>
          </w:rPr>
          <w:t>Worldwide Primates, Inc. v. McGreal</w:t>
        </w:r>
      </w:hyperlink>
      <w:hyperlink r:id="rId13" w:history="1">
        <w:r>
          <w:rPr>
            <w:rFonts w:ascii="arial" w:eastAsia="arial" w:hAnsi="arial" w:cs="arial"/>
            <w:b w:val="0"/>
            <w:i/>
            <w:strike w:val="0"/>
            <w:noProof w:val="0"/>
            <w:color w:val="0077CC"/>
            <w:position w:val="0"/>
            <w:sz w:val="20"/>
            <w:u w:val="single"/>
            <w:vertAlign w:val="baseline"/>
          </w:rPr>
          <w:t>, 87 F.3d 1252, 1254 (11th Cir. 1996)</w:t>
        </w:r>
      </w:hyperlink>
      <w:r>
        <w:rPr>
          <w:rFonts w:ascii="arial" w:eastAsia="arial" w:hAnsi="arial" w:cs="arial"/>
          <w:b w:val="0"/>
          <w:i w:val="0"/>
          <w:strike w:val="0"/>
          <w:noProof w:val="0"/>
          <w:color w:val="000000"/>
          <w:position w:val="0"/>
          <w:sz w:val="20"/>
          <w:u w:val="none"/>
          <w:vertAlign w:val="baseline"/>
        </w:rPr>
        <w:t xml:space="preserve"> (citation omitted). </w:t>
      </w:r>
      <w:hyperlink r:id="rId12"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governs any filing made with the court, and applies to attorneys, law firms, and parties. </w:t>
      </w:r>
      <w:hyperlink r:id="rId12" w:history="1">
        <w:r>
          <w:rPr>
            <w:rFonts w:ascii="arial" w:eastAsia="arial" w:hAnsi="arial" w:cs="arial"/>
            <w:b w:val="0"/>
            <w:i/>
            <w:strike w:val="0"/>
            <w:noProof w:val="0"/>
            <w:color w:val="0077CC"/>
            <w:position w:val="0"/>
            <w:sz w:val="20"/>
            <w:u w:val="single"/>
            <w:vertAlign w:val="baseline"/>
          </w:rPr>
          <w:t>Fed. R. Civ. P. 11(b)</w:t>
        </w:r>
      </w:hyperlink>
      <w:r>
        <w:rPr>
          <w:rFonts w:ascii="arial" w:eastAsia="arial" w:hAnsi="arial" w:cs="arial"/>
          <w:b w:val="0"/>
          <w:i w:val="0"/>
          <w:strike w:val="0"/>
          <w:noProof w:val="0"/>
          <w:color w:val="000000"/>
          <w:position w:val="0"/>
          <w:sz w:val="20"/>
          <w:u w:val="none"/>
          <w:vertAlign w:val="baseline"/>
        </w:rPr>
        <w:t xml:space="preserve">. The purpose of </w:t>
      </w:r>
      <w:hyperlink r:id="rId12"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is to deter "attorneys and litigants from clogging federal courts with frivolous filings. It also rewards litigants who admit their mistakes within a 21-day safer harbor period—and penalizes those who refuse." </w:t>
      </w:r>
      <w:hyperlink r:id="rId14" w:history="1">
        <w:r>
          <w:rPr>
            <w:rFonts w:ascii="arial" w:eastAsia="arial" w:hAnsi="arial" w:cs="arial"/>
            <w:b w:val="0"/>
            <w:i/>
            <w:strike w:val="0"/>
            <w:noProof w:val="0"/>
            <w:color w:val="0077CC"/>
            <w:position w:val="0"/>
            <w:sz w:val="20"/>
            <w:u w:val="single"/>
            <w:vertAlign w:val="baseline"/>
          </w:rPr>
          <w:t>Huggins v. Lueder, Larkin &amp; Hunter, LLC</w:t>
        </w:r>
      </w:hyperlink>
      <w:hyperlink r:id="rId14" w:history="1">
        <w:r>
          <w:rPr>
            <w:rFonts w:ascii="arial" w:eastAsia="arial" w:hAnsi="arial" w:cs="arial"/>
            <w:b w:val="0"/>
            <w:i/>
            <w:strike w:val="0"/>
            <w:noProof w:val="0"/>
            <w:color w:val="0077CC"/>
            <w:position w:val="0"/>
            <w:sz w:val="20"/>
            <w:u w:val="single"/>
            <w:vertAlign w:val="baseline"/>
          </w:rPr>
          <w:t>, 39 F.4th 1342, 1344 (11th Cir.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The Eleventh Circuit has set forth a two-prong inquiry courts must apply to assessing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whether </w:t>
      </w:r>
      <w:hyperlink r:id="rId12"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sanctions are appropriate: (1) whether the party's claims are objectively frivolous, in view of the facts or law; and (2) whether the person who signed the pleadings should have been aware that they were frivolous. </w:t>
      </w:r>
      <w:hyperlink r:id="rId15" w:history="1">
        <w:r>
          <w:rPr>
            <w:rFonts w:ascii="arial" w:eastAsia="arial" w:hAnsi="arial" w:cs="arial"/>
            <w:b w:val="0"/>
            <w:i/>
            <w:strike w:val="0"/>
            <w:noProof w:val="0"/>
            <w:color w:val="0077CC"/>
            <w:position w:val="0"/>
            <w:sz w:val="20"/>
            <w:u w:val="single"/>
            <w:vertAlign w:val="baseline"/>
          </w:rPr>
          <w:t>Peer v. Lewis</w:t>
        </w:r>
      </w:hyperlink>
      <w:hyperlink r:id="rId15" w:history="1">
        <w:r>
          <w:rPr>
            <w:rFonts w:ascii="arial" w:eastAsia="arial" w:hAnsi="arial" w:cs="arial"/>
            <w:b w:val="0"/>
            <w:i/>
            <w:strike w:val="0"/>
            <w:noProof w:val="0"/>
            <w:color w:val="0077CC"/>
            <w:position w:val="0"/>
            <w:sz w:val="20"/>
            <w:u w:val="single"/>
            <w:vertAlign w:val="baseline"/>
          </w:rPr>
          <w:t>, 606 F.3d 1306, 1311 (11th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As an initial matter, it must be noted that much of the basis for Defendants' Motion for Sanctions are the same arguments made in its Motion to Dismiss the FAC.</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In the Motion for Sanctions, Defendants' argue that sanctions are appropriate because: (1) Plaintiff has failed to allege the predicate acts proximately caused her alleged injury as required when asserting RICO claims; (2) Plaintiff cannot establish that she detrimentally relied upon a misrepresentation made by the Castellons and that such detrimental reliance proximately caused her injuries; (3) Plaintiff's RICO claims are not ripe; and (4) because Plaintiff alleges a RICO conspiracy with a single goal and victim, her allegations are insufficient to establish the requisite pattern of racketeering activity. [ECF No. 18 at 7].</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Notably, since the briefing on the Motion for Sanctions, Judge Williams has granted Defendants' Motion to Dismiss the First Amended Complaint. In the Order, Judge Williams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dismissed the FAC as a shotgun pleading.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37]. Although Judge Williams did not base her decision to dismiss the FAC on the merits of Plaintiff's claims, she did briefly address the apparent strength of those claims after taking a "preliminary peek at the merits."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n.1]. In doing so, Judge Williams noted that Plaintiff's civil RICO claims and fraud claims "likely" would have been insufficient to survive a motion to dismiss.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basis of this conclusion was that the RICO claims likely would fail because Plaintiff did not adequately plead them against each Defendant with the requisite level of specificity, and similarly, did not support her fraud claims with the precision and specificity as required under Rule 9(b)'s heightened pleading standard.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 xml:space="preserve">Yet, Judge Williams did not dismiss the FAC with prejudice or note that allowing Plaintiff to amend would be futile. Rather, she permitted Plaintiff to file a Second Amended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w:t>
      </w:r>
      <w:bookmarkStart w:id="20" w:name="Bookmark_I6960BD02D6NCY0020000400"/>
      <w:bookmarkEnd w:id="20"/>
      <w:r>
        <w:rPr>
          <w:rFonts w:ascii="arial" w:eastAsia="arial" w:hAnsi="arial" w:cs="arial"/>
          <w:b w:val="0"/>
          <w:i w:val="0"/>
          <w:strike w:val="0"/>
          <w:noProof w:val="0"/>
          <w:color w:val="000000"/>
          <w:position w:val="0"/>
          <w:sz w:val="20"/>
          <w:u w:val="none"/>
          <w:vertAlign w:val="baseline"/>
        </w:rPr>
        <w:t>This is important to the Court's analysis of the instant Motion because it strongly suggests that Plaintiff's claims are not so legally or factually deficient such that they should be considered frivolous. Simply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because a party's claims are not sufficiently pled to survive a motion to dismiss, does not render those claims sanctionable under </w:t>
      </w:r>
      <w:hyperlink r:id="rId12"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1" w:name="Bookmark_I6960BD02D6NCY0010000400"/>
      <w:bookmarkEnd w:id="21"/>
      <w:hyperlink r:id="rId16" w:history="1">
        <w:r>
          <w:rPr>
            <w:rFonts w:ascii="arial" w:eastAsia="arial" w:hAnsi="arial" w:cs="arial"/>
            <w:b w:val="0"/>
            <w:i/>
            <w:strike w:val="0"/>
            <w:noProof w:val="0"/>
            <w:color w:val="0077CC"/>
            <w:position w:val="0"/>
            <w:sz w:val="20"/>
            <w:u w:val="single"/>
            <w:vertAlign w:val="baseline"/>
          </w:rPr>
          <w:t>Worldspan Marine, Inc. v. Comerica Bank</w:t>
        </w:r>
      </w:hyperlink>
      <w:hyperlink r:id="rId16" w:history="1">
        <w:r>
          <w:rPr>
            <w:rFonts w:ascii="arial" w:eastAsia="arial" w:hAnsi="arial" w:cs="arial"/>
            <w:b w:val="0"/>
            <w:i/>
            <w:strike w:val="0"/>
            <w:noProof w:val="0"/>
            <w:color w:val="0077CC"/>
            <w:position w:val="0"/>
            <w:sz w:val="20"/>
            <w:u w:val="single"/>
            <w:vertAlign w:val="baseline"/>
          </w:rPr>
          <w:t>, No. 18-21924-CIV, 2022 U.S. Dist. LEXIS 189184, 2022 WL 16701245, at *5 (S.D. Fla. Oct. 15,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22" w:name="Bookmark_I686P54928T4360040000400"/>
      <w:bookmarkEnd w:id="22"/>
      <w:hyperlink r:id="rId17" w:history="1">
        <w:r>
          <w:rPr>
            <w:rFonts w:ascii="arial" w:eastAsia="arial" w:hAnsi="arial" w:cs="arial"/>
            <w:b w:val="0"/>
            <w:i/>
            <w:strike w:val="0"/>
            <w:noProof w:val="0"/>
            <w:color w:val="0077CC"/>
            <w:position w:val="0"/>
            <w:sz w:val="20"/>
            <w:u w:val="single"/>
            <w:vertAlign w:val="baseline"/>
          </w:rPr>
          <w:t>No. 18-21924-CIV, 2022 U.S. Dist. LEXIS 200767, 2022 WL 16701618 (S.D. Fla. Nov. 3, 2022)</w:t>
        </w:r>
      </w:hyperlink>
      <w:r>
        <w:rPr>
          <w:rFonts w:ascii="arial" w:eastAsia="arial" w:hAnsi="arial" w:cs="arial"/>
          <w:b w:val="0"/>
          <w:i w:val="0"/>
          <w:strike w:val="0"/>
          <w:noProof w:val="0"/>
          <w:color w:val="000000"/>
          <w:position w:val="0"/>
          <w:sz w:val="20"/>
          <w:u w:val="none"/>
          <w:vertAlign w:val="baseline"/>
        </w:rPr>
        <w:t xml:space="preserve"> (noting that "failing to satisfy the pleading requirements of Rule 8 does not render a party's claims frivolous and deserving of sanctions").</w:t>
      </w:r>
    </w:p>
    <w:p>
      <w:pPr>
        <w:keepNext w:val="0"/>
        <w:spacing w:before="24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 xml:space="preserve">As will be explained further below, it appears that at this stage, that while Defendants' arguments may have been successful in the Motion to Dismiss context, they are not enough to establish the propriety of imposing </w:t>
      </w:r>
      <w:hyperlink r:id="rId12"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sanctions.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Defendants' Arguments Concerning Plaintiff's RICO Claims</w:t>
      </w:r>
    </w:p>
    <w:p>
      <w:pPr>
        <w:keepNext w:val="0"/>
        <w:spacing w:before="24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 xml:space="preserve">To establish a </w:t>
      </w:r>
      <w:r>
        <w:rPr>
          <w:rFonts w:ascii="arial" w:eastAsia="arial" w:hAnsi="arial" w:cs="arial"/>
          <w:b w:val="0"/>
          <w:i/>
          <w:strike w:val="0"/>
          <w:noProof w:val="0"/>
          <w:color w:val="000000"/>
          <w:position w:val="0"/>
          <w:sz w:val="20"/>
          <w:u w:val="none"/>
          <w:vertAlign w:val="baseline"/>
        </w:rPr>
        <w:t>prima faice</w:t>
      </w:r>
      <w:r>
        <w:rPr>
          <w:rFonts w:ascii="arial" w:eastAsia="arial" w:hAnsi="arial" w:cs="arial"/>
          <w:b w:val="0"/>
          <w:i w:val="0"/>
          <w:strike w:val="0"/>
          <w:noProof w:val="0"/>
          <w:color w:val="000000"/>
          <w:position w:val="0"/>
          <w:sz w:val="20"/>
          <w:u w:val="none"/>
          <w:vertAlign w:val="baseline"/>
        </w:rPr>
        <w:t xml:space="preserve"> case for a civil RICO claim, a plaintiff must plead "(1) that the defendant (2) through the commission of two or more acts (3) constituting a 'pattern' (4) of 'racketeering activity' (5) directly or indirectly invests in, or maintains an interest in, or participates in (6) an 'enterprise' (7) the activities of which affect interstate or foreign commerce." </w:t>
      </w:r>
      <w:hyperlink r:id="rId18" w:history="1">
        <w:r>
          <w:rPr>
            <w:rFonts w:ascii="arial" w:eastAsia="arial" w:hAnsi="arial" w:cs="arial"/>
            <w:b w:val="0"/>
            <w:i/>
            <w:strike w:val="0"/>
            <w:noProof w:val="0"/>
            <w:color w:val="0077CC"/>
            <w:position w:val="0"/>
            <w:sz w:val="20"/>
            <w:u w:val="single"/>
            <w:vertAlign w:val="baseline"/>
          </w:rPr>
          <w:t>McCulloch v. PNC Bank Inc.</w:t>
        </w:r>
      </w:hyperlink>
      <w:hyperlink r:id="rId18" w:history="1">
        <w:r>
          <w:rPr>
            <w:rFonts w:ascii="arial" w:eastAsia="arial" w:hAnsi="arial" w:cs="arial"/>
            <w:b w:val="0"/>
            <w:i/>
            <w:strike w:val="0"/>
            <w:noProof w:val="0"/>
            <w:color w:val="0077CC"/>
            <w:position w:val="0"/>
            <w:sz w:val="20"/>
            <w:u w:val="single"/>
            <w:vertAlign w:val="baseline"/>
          </w:rPr>
          <w:t>, 298 F.3d 1217, 1225 (11th Cir. 2002)</w:t>
        </w:r>
      </w:hyperlink>
      <w:r>
        <w:rPr>
          <w:rFonts w:ascii="arial" w:eastAsia="arial" w:hAnsi="arial" w:cs="arial"/>
          <w:b w:val="0"/>
          <w:i w:val="0"/>
          <w:strike w:val="0"/>
          <w:noProof w:val="0"/>
          <w:color w:val="000000"/>
          <w:position w:val="0"/>
          <w:sz w:val="20"/>
          <w:u w:val="none"/>
          <w:vertAlign w:val="baseline"/>
        </w:rPr>
        <w:t xml:space="preserve"> (citing </w:t>
      </w:r>
      <w:hyperlink r:id="rId11" w:history="1">
        <w:r>
          <w:rPr>
            <w:rFonts w:ascii="arial" w:eastAsia="arial" w:hAnsi="arial" w:cs="arial"/>
            <w:b w:val="0"/>
            <w:i/>
            <w:strike w:val="0"/>
            <w:noProof w:val="0"/>
            <w:color w:val="0077CC"/>
            <w:position w:val="0"/>
            <w:sz w:val="20"/>
            <w:u w:val="single"/>
            <w:vertAlign w:val="baseline"/>
          </w:rPr>
          <w:t>18 U.S.C. §§ 1962(a)-(c)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Proximate Causation and Reliance</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 xml:space="preserve">Defendants contend that the alleged predicate acts Plaintiff relies on, which can be categorized as either those relating to "gold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or those related to "payments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made to Mr. Pataro or to third parties on his behalf," fail to establish proximate causation or reliance. [ECF No. 18 at 8]. Defendants argue that even taking Plaintiff's gold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allegations as true, these transactions cannot be shown to have proximately caused Plaintiff's injury because she would never have been able to collect on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gold or its proceeds since "Plaintiff cannot claim a right to collect her judgment from the proceeds of alleged illicit activity, like gold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money laundering, any more than she could if she had alleged something like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for example."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 xml:space="preserve">Plaintiff counters that Defendants misconstrue her argument regarding causation. Plaintiff explains that she "does not allege that, but for the gold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she would have been able to lawfully execute against the Defendants assets to satisfy her judgment against her ex-husband.... [rather she] alleges that, but for the money laundering operations and predicate acts devised to conceal the origin of the gold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proceeds ... she would have been able to lawfully execute against her ex-husband's assets." [ECF No. 25 at 6]. This distinction is subtle, but crucial in understanding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Plaintiff's causation argument. Plaintiff is not arguing she suffered harm because Defendants' activities prevented her from collecting on the actual proceeds or assets they were allegedly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 laundering (which would be the fruits of illegal activity). From what the Court can tell, Plaintiff is alleging she would have been able to collect on her ex-husband's assets if it were not for Defendants' using their pre-existing money laundering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to conceal those assets.</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 xml:space="preserve">Whether this argument would be strong enough to survive a motion to dismiss is questionable. But the argument does not appear so objectively insufficient on its face that it rises to the level of frivolity. While Plaintiff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have run afoul of the pleading requirements as to proximate causation, Plaintiff's characterization of her proximate causation argument is not so out of the norm to indicate Plaintiff's counsel has failed to conduct a reasonable inquiry into the propriety of the claim.</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Moving onto Defendants' reliance argument, Defendants assert that Plaintiff cannot establish detrimental reliance because Plaintiff does not allege that the Castellons had any direct contact with her, yet alone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made any representations to her. [ECF No. 18 at 9]. Rather, Plaintiff alleges "she learned of the payments made by the Castellons from third-party records, like bank statements.... [a]nd when she later asked the Castellons about the payments, they readily admitted to making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Thus, Defendants aver that no misrepresentation was ever made.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response, Plaintiff argues that Defendants erroneously keep insisting that RICO claims require "firs-party" reliance to be actionable. [ECF No. 25 at 7]. In support of this contention Plaintiff relies primarily on </w:t>
      </w:r>
      <w:hyperlink r:id="rId19" w:history="1">
        <w:r>
          <w:rPr>
            <w:rFonts w:ascii="arial" w:eastAsia="arial" w:hAnsi="arial" w:cs="arial"/>
            <w:b w:val="0"/>
            <w:i/>
            <w:strike w:val="0"/>
            <w:noProof w:val="0"/>
            <w:color w:val="0077CC"/>
            <w:position w:val="0"/>
            <w:sz w:val="20"/>
            <w:u w:val="single"/>
            <w:vertAlign w:val="baseline"/>
          </w:rPr>
          <w:t>Ray v. Spirit Airlines, Inc.</w:t>
        </w:r>
      </w:hyperlink>
      <w:hyperlink r:id="rId19" w:history="1">
        <w:r>
          <w:rPr>
            <w:rFonts w:ascii="arial" w:eastAsia="arial" w:hAnsi="arial" w:cs="arial"/>
            <w:b w:val="0"/>
            <w:i/>
            <w:strike w:val="0"/>
            <w:noProof w:val="0"/>
            <w:color w:val="0077CC"/>
            <w:position w:val="0"/>
            <w:sz w:val="20"/>
            <w:u w:val="single"/>
            <w:vertAlign w:val="baseline"/>
          </w:rPr>
          <w:t>, 836 F.3d 1340 (11th Cir. 2016)</w:t>
        </w:r>
      </w:hyperlink>
      <w:r>
        <w:rPr>
          <w:rFonts w:ascii="arial" w:eastAsia="arial" w:hAnsi="arial" w:cs="arial"/>
          <w:b w:val="0"/>
          <w:i w:val="0"/>
          <w:strike w:val="0"/>
          <w:noProof w:val="0"/>
          <w:color w:val="000000"/>
          <w:position w:val="0"/>
          <w:sz w:val="20"/>
          <w:u w:val="none"/>
          <w:vertAlign w:val="baseline"/>
        </w:rPr>
        <w:t xml:space="preserve">. In </w:t>
      </w:r>
      <w:hyperlink r:id="rId19" w:history="1">
        <w:r>
          <w:rPr>
            <w:rFonts w:ascii="arial" w:eastAsia="arial" w:hAnsi="arial" w:cs="arial"/>
            <w:b w:val="0"/>
            <w:i/>
            <w:strike w:val="0"/>
            <w:noProof w:val="0"/>
            <w:color w:val="0077CC"/>
            <w:position w:val="0"/>
            <w:sz w:val="20"/>
            <w:u w:val="single"/>
            <w:vertAlign w:val="baseline"/>
          </w:rPr>
          <w:t>Ray</w:t>
        </w:r>
      </w:hyperlink>
      <w:r>
        <w:rPr>
          <w:rFonts w:ascii="arial" w:eastAsia="arial" w:hAnsi="arial" w:cs="arial"/>
          <w:b w:val="0"/>
          <w:i w:val="0"/>
          <w:strike w:val="0"/>
          <w:noProof w:val="0"/>
          <w:color w:val="000000"/>
          <w:position w:val="0"/>
          <w:sz w:val="20"/>
          <w:u w:val="none"/>
          <w:vertAlign w:val="baseline"/>
        </w:rPr>
        <w:t xml:space="preserve">, the Eleventh Circuit explained that "RICO does not contain a requirement that the plaintiff personally relied on the defendant's fraudulent misrepresentation." </w:t>
      </w:r>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1350</w:t>
        </w:r>
      </w:hyperlink>
      <w:r>
        <w:rPr>
          <w:rFonts w:ascii="arial" w:eastAsia="arial" w:hAnsi="arial" w:cs="arial"/>
          <w:b w:val="0"/>
          <w:i w:val="0"/>
          <w:strike w:val="0"/>
          <w:noProof w:val="0"/>
          <w:color w:val="000000"/>
          <w:position w:val="0"/>
          <w:sz w:val="20"/>
          <w:u w:val="none"/>
          <w:vertAlign w:val="baseline"/>
        </w:rPr>
        <w:t xml:space="preserve"> (citing </w:t>
      </w:r>
      <w:hyperlink r:id="rId20" w:history="1">
        <w:r>
          <w:rPr>
            <w:rFonts w:ascii="arial" w:eastAsia="arial" w:hAnsi="arial" w:cs="arial"/>
            <w:b w:val="0"/>
            <w:i/>
            <w:strike w:val="0"/>
            <w:noProof w:val="0"/>
            <w:color w:val="0077CC"/>
            <w:position w:val="0"/>
            <w:sz w:val="20"/>
            <w:u w:val="single"/>
            <w:vertAlign w:val="baseline"/>
          </w:rPr>
          <w:t>Bridge v. Phoenix Bond &amp; Indem. Co.</w:t>
        </w:r>
      </w:hyperlink>
      <w:hyperlink r:id="rId20" w:history="1">
        <w:r>
          <w:rPr>
            <w:rFonts w:ascii="arial" w:eastAsia="arial" w:hAnsi="arial" w:cs="arial"/>
            <w:b w:val="0"/>
            <w:i/>
            <w:strike w:val="0"/>
            <w:noProof w:val="0"/>
            <w:color w:val="0077CC"/>
            <w:position w:val="0"/>
            <w:sz w:val="20"/>
            <w:u w:val="single"/>
            <w:vertAlign w:val="baseline"/>
          </w:rPr>
          <w:t>, 553 U.S. 639, 648-49, 128 S. Ct. 2131, 170 L. Ed. 2d 1012 (2008)</w:t>
        </w:r>
      </w:hyperlink>
      <w:r>
        <w:rPr>
          <w:rFonts w:ascii="arial" w:eastAsia="arial" w:hAnsi="arial" w:cs="arial"/>
          <w:b w:val="0"/>
          <w:i w:val="0"/>
          <w:strike w:val="0"/>
          <w:noProof w:val="0"/>
          <w:color w:val="000000"/>
          <w:position w:val="0"/>
          <w:sz w:val="20"/>
          <w:u w:val="none"/>
          <w:vertAlign w:val="baseline"/>
        </w:rPr>
        <w:t xml:space="preserve">). The </w:t>
      </w:r>
      <w:hyperlink r:id="rId19" w:history="1">
        <w:r>
          <w:rPr>
            <w:rFonts w:ascii="arial" w:eastAsia="arial" w:hAnsi="arial" w:cs="arial"/>
            <w:b w:val="0"/>
            <w:i/>
            <w:strike w:val="0"/>
            <w:noProof w:val="0"/>
            <w:color w:val="0077CC"/>
            <w:position w:val="0"/>
            <w:sz w:val="20"/>
            <w:u w:val="single"/>
            <w:vertAlign w:val="baseline"/>
          </w:rPr>
          <w:t>Ray</w:t>
        </w:r>
      </w:hyperlink>
      <w:r>
        <w:rPr>
          <w:rFonts w:ascii="arial" w:eastAsia="arial" w:hAnsi="arial" w:cs="arial"/>
          <w:b w:val="0"/>
          <w:i w:val="0"/>
          <w:strike w:val="0"/>
          <w:noProof w:val="0"/>
          <w:color w:val="000000"/>
          <w:position w:val="0"/>
          <w:sz w:val="20"/>
          <w:u w:val="none"/>
          <w:vertAlign w:val="baseline"/>
        </w:rPr>
        <w:t xml:space="preserve"> court further explained that while first-party reliance may not be necessary to establish reliance on the fraud, a plaintiff must establish that </w:t>
      </w:r>
      <w:r>
        <w:rPr>
          <w:rFonts w:ascii="arial" w:eastAsia="arial" w:hAnsi="arial" w:cs="arial"/>
          <w:b w:val="0"/>
          <w:i/>
          <w:strike w:val="0"/>
          <w:noProof w:val="0"/>
          <w:color w:val="000000"/>
          <w:position w:val="0"/>
          <w:sz w:val="20"/>
          <w:u w:val="none"/>
          <w:vertAlign w:val="baseline"/>
        </w:rPr>
        <w:t>someone</w:t>
      </w:r>
      <w:r>
        <w:rPr>
          <w:rFonts w:ascii="arial" w:eastAsia="arial" w:hAnsi="arial" w:cs="arial"/>
          <w:b w:val="0"/>
          <w:i w:val="0"/>
          <w:strike w:val="0"/>
          <w:noProof w:val="0"/>
          <w:color w:val="000000"/>
          <w:position w:val="0"/>
          <w:sz w:val="20"/>
          <w:u w:val="none"/>
          <w:vertAlign w:val="baseline"/>
        </w:rPr>
        <w:t xml:space="preserve"> had relied on the fraud.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without establishing "reliance on the fraud by someone ... [a plaintiff cannot] show that they were injured by reason of the alleged racketeering activity."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Admittedly, what is unclear to the Court is who exactly Plaintiff is asserting relied on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fraud. At best the Court can glean that perhaps the numerous third-party banks, shipping companies, gold brokers, realtors, or University of Miami may have relied on the supposed fraudulent misrepresentations.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8 at ¶ 172]. This lack of specificity, however, speaks to the sort of deficiencies that Judge Williams granted Plaintiff leave to amend. Again, while the inartful drafting of the FAC may not have covered all the bases for purposes of a motion to dismiss, it does not rise to the level of frivolity or a lack of good faith inquiry by Plaintiff's counsel justifying </w:t>
      </w:r>
      <w:hyperlink r:id="rId12"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sanctions.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Whether Plaintiff's RICO Claims are Ripe</w:t>
      </w:r>
    </w:p>
    <w:p>
      <w:pPr>
        <w:keepNext w:val="0"/>
        <w:spacing w:before="240" w:after="0" w:line="260" w:lineRule="atLeast"/>
        <w:ind w:left="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 xml:space="preserve">Defendants argue that Plaintiff's choice to pursue the claims against them is sanctionable because her claims against them are not ripe. As Defendants note "Plaintiff's alleged injury is that she has thus far been unable to collect on the judgment [against her ex-husband]." [ECF No. 18 at 10]. Plaintiff's injury is known as "lost debt" damages which are a "damages in the form of an owed, but as-yet-uncollected, amount." </w:t>
      </w:r>
      <w:hyperlink r:id="rId21" w:history="1">
        <w:r>
          <w:rPr>
            <w:rFonts w:ascii="arial" w:eastAsia="arial" w:hAnsi="arial" w:cs="arial"/>
            <w:b w:val="0"/>
            <w:i/>
            <w:strike w:val="0"/>
            <w:noProof w:val="0"/>
            <w:color w:val="0077CC"/>
            <w:position w:val="0"/>
            <w:sz w:val="20"/>
            <w:u w:val="single"/>
            <w:vertAlign w:val="baseline"/>
          </w:rPr>
          <w:t>HCB Fin. Corp. v. McPherson</w:t>
        </w:r>
      </w:hyperlink>
      <w:hyperlink r:id="rId21" w:history="1">
        <w:r>
          <w:rPr>
            <w:rFonts w:ascii="arial" w:eastAsia="arial" w:hAnsi="arial" w:cs="arial"/>
            <w:b w:val="0"/>
            <w:i/>
            <w:strike w:val="0"/>
            <w:noProof w:val="0"/>
            <w:color w:val="0077CC"/>
            <w:position w:val="0"/>
            <w:sz w:val="20"/>
            <w:u w:val="single"/>
            <w:vertAlign w:val="baseline"/>
          </w:rPr>
          <w:t>, 8 F.4th 335, 339 (5th Cir. 2021)</w:t>
        </w:r>
      </w:hyperlink>
      <w:r>
        <w:rPr>
          <w:rFonts w:ascii="arial" w:eastAsia="arial" w:hAnsi="arial" w:cs="arial"/>
          <w:b w:val="0"/>
          <w:i w:val="0"/>
          <w:strike w:val="0"/>
          <w:noProof w:val="0"/>
          <w:color w:val="000000"/>
          <w:position w:val="0"/>
          <w:sz w:val="20"/>
          <w:u w:val="none"/>
          <w:vertAlign w:val="baseline"/>
        </w:rPr>
        <w:t xml:space="preserve"> (quoting </w:t>
      </w:r>
      <w:hyperlink r:id="rId22" w:history="1">
        <w:r>
          <w:rPr>
            <w:rFonts w:ascii="arial" w:eastAsia="arial" w:hAnsi="arial" w:cs="arial"/>
            <w:b w:val="0"/>
            <w:i/>
            <w:strike w:val="0"/>
            <w:noProof w:val="0"/>
            <w:color w:val="0077CC"/>
            <w:position w:val="0"/>
            <w:sz w:val="20"/>
            <w:u w:val="single"/>
            <w:vertAlign w:val="baseline"/>
          </w:rPr>
          <w:t>D'Addario v. D'Addario</w:t>
        </w:r>
      </w:hyperlink>
      <w:hyperlink r:id="rId22" w:history="1">
        <w:r>
          <w:rPr>
            <w:rFonts w:ascii="arial" w:eastAsia="arial" w:hAnsi="arial" w:cs="arial"/>
            <w:b w:val="0"/>
            <w:i/>
            <w:strike w:val="0"/>
            <w:noProof w:val="0"/>
            <w:color w:val="0077CC"/>
            <w:position w:val="0"/>
            <w:sz w:val="20"/>
            <w:u w:val="single"/>
            <w:vertAlign w:val="baseline"/>
          </w:rPr>
          <w:t>, 901 F.3d 80, 93 (2d Cir. 2018)</w:t>
        </w:r>
      </w:hyperlink>
      <w:r>
        <w:rPr>
          <w:rFonts w:ascii="arial" w:eastAsia="arial" w:hAnsi="arial" w:cs="arial"/>
          <w:b w:val="0"/>
          <w:i w:val="0"/>
          <w:strike w:val="0"/>
          <w:noProof w:val="0"/>
          <w:color w:val="000000"/>
          <w:position w:val="0"/>
          <w:sz w:val="20"/>
          <w:u w:val="none"/>
          <w:vertAlign w:val="baseline"/>
        </w:rPr>
        <w:t>). For purposes of a RICO violation, lost debt can only serve as the alleged injury if "it is established that collection 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claim or judgment has been successfully frustrated." </w:t>
      </w:r>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340</w:t>
        </w:r>
      </w:hyperlink>
      <w:r>
        <w:rPr>
          <w:rFonts w:ascii="arial" w:eastAsia="arial" w:hAnsi="arial" w:cs="arial"/>
          <w:b w:val="0"/>
          <w:i w:val="0"/>
          <w:strike w:val="0"/>
          <w:noProof w:val="0"/>
          <w:color w:val="000000"/>
          <w:position w:val="0"/>
          <w:sz w:val="20"/>
          <w:u w:val="none"/>
          <w:vertAlign w:val="baseline"/>
        </w:rPr>
        <w:t xml:space="preserve"> (quoting </w:t>
      </w:r>
      <w:hyperlink r:id="rId23" w:history="1">
        <w:r>
          <w:rPr>
            <w:rFonts w:ascii="arial" w:eastAsia="arial" w:hAnsi="arial" w:cs="arial"/>
            <w:b w:val="0"/>
            <w:i/>
            <w:strike w:val="0"/>
            <w:noProof w:val="0"/>
            <w:color w:val="0077CC"/>
            <w:position w:val="0"/>
            <w:sz w:val="20"/>
            <w:u w:val="single"/>
            <w:vertAlign w:val="baseline"/>
          </w:rPr>
          <w:t>Stochastic Decisions, Inc. v. DiDomenico</w:t>
        </w:r>
      </w:hyperlink>
      <w:hyperlink r:id="rId23" w:history="1">
        <w:r>
          <w:rPr>
            <w:rFonts w:ascii="arial" w:eastAsia="arial" w:hAnsi="arial" w:cs="arial"/>
            <w:b w:val="0"/>
            <w:i/>
            <w:strike w:val="0"/>
            <w:noProof w:val="0"/>
            <w:color w:val="0077CC"/>
            <w:position w:val="0"/>
            <w:sz w:val="20"/>
            <w:u w:val="single"/>
            <w:vertAlign w:val="baseline"/>
          </w:rPr>
          <w:t>, 995 F.2d 1158, 1166 (2d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In Defendants' view, Plaintiff's claims are not ripe yet, because by Plaintiff's "own admission, [she] has various ongoing collection efforts in various jurisdictions." [ECF No. 18 at 11]. Thus, Defendants posit that since Plaintiff's collection efforts may yet prove successful "the accrual of Plaintiff's damages is speculative and their amount and nature are unprovable."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Arguing against Defendants' contentions, Plaintiff avers that her "damages are not uncertain; [that] they may be as much as $50 million but they are at least equal to the amount that will be determined at trial that Defendants wrongfully prevented Plaintiff from collecting, trebled." [ECF No. 25 at 10]. Further, Plaintiff contends that "[t]o the extent [her damages] may be uncertain, as Defendants argue, it is only because Defendants' scheme remains open-ended."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22"/>
      <w:bookmarkEnd w:id="32"/>
      <w:r>
        <w:rPr>
          <w:rFonts w:ascii="arial" w:eastAsia="arial" w:hAnsi="arial" w:cs="arial"/>
          <w:b w:val="0"/>
          <w:i w:val="0"/>
          <w:strike w:val="0"/>
          <w:noProof w:val="0"/>
          <w:color w:val="000000"/>
          <w:position w:val="0"/>
          <w:sz w:val="20"/>
          <w:u w:val="none"/>
          <w:vertAlign w:val="baseline"/>
        </w:rPr>
        <w:t xml:space="preserve">Defendants' ripeness arguments are unpersuasive. Although there does not appear to be any Eleventh Circuit case law directly addressing the issue of ripeness of lost debt RICO claims, the Eleventh Circuit has provided some guidance. In </w:t>
      </w:r>
      <w:r>
        <w:rPr>
          <w:rFonts w:ascii="arial" w:eastAsia="arial" w:hAnsi="arial" w:cs="arial"/>
          <w:b w:val="0"/>
          <w:i/>
          <w:strike w:val="0"/>
          <w:noProof w:val="0"/>
          <w:color w:val="000000"/>
          <w:position w:val="0"/>
          <w:sz w:val="20"/>
          <w:u w:val="none"/>
          <w:vertAlign w:val="baseline"/>
        </w:rPr>
        <w:t>Liquidation Comm'n of Banco Intercontinental,</w:t>
      </w:r>
      <w:r>
        <w:rPr>
          <w:rFonts w:ascii="arial" w:eastAsia="arial" w:hAnsi="arial" w:cs="arial"/>
          <w:b/>
          <w:i/>
          <w:strike w:val="0"/>
          <w:noProof w:val="0"/>
          <w:color w:val="000000"/>
          <w:position w:val="0"/>
          <w:sz w:val="20"/>
          <w:u w:val="none"/>
          <w:vertAlign w:val="baseline"/>
        </w:rPr>
        <w:t> [*14] </w:t>
      </w:r>
      <w:r>
        <w:rPr>
          <w:rFonts w:ascii="arial" w:eastAsia="arial" w:hAnsi="arial" w:cs="arial"/>
          <w:b w:val="0"/>
          <w:i/>
          <w:strike w:val="0"/>
          <w:noProof w:val="0"/>
          <w:color w:val="000000"/>
          <w:position w:val="0"/>
          <w:sz w:val="20"/>
          <w:u w:val="none"/>
          <w:vertAlign w:val="baseline"/>
        </w:rPr>
        <w:t xml:space="preserve"> S.A. v. Renta</w:t>
      </w:r>
      <w:r>
        <w:rPr>
          <w:rFonts w:ascii="arial" w:eastAsia="arial" w:hAnsi="arial" w:cs="arial"/>
          <w:b w:val="0"/>
          <w:i w:val="0"/>
          <w:strike w:val="0"/>
          <w:noProof w:val="0"/>
          <w:color w:val="000000"/>
          <w:position w:val="0"/>
          <w:sz w:val="20"/>
          <w:u w:val="none"/>
          <w:vertAlign w:val="baseline"/>
        </w:rPr>
        <w:t xml:space="preserve">, the Eleventh Circuit addressed an argument that before the plaintiff "can sue [the defendant] under RICO, it must pursue any contractual remedies" it had based on promissory notes. </w:t>
      </w:r>
      <w:hyperlink r:id="rId24" w:history="1">
        <w:r>
          <w:rPr>
            <w:rFonts w:ascii="arial" w:eastAsia="arial" w:hAnsi="arial" w:cs="arial"/>
            <w:b w:val="0"/>
            <w:i/>
            <w:strike w:val="0"/>
            <w:noProof w:val="0"/>
            <w:color w:val="0077CC"/>
            <w:position w:val="0"/>
            <w:sz w:val="20"/>
            <w:u w:val="single"/>
            <w:vertAlign w:val="baseline"/>
          </w:rPr>
          <w:t>530 F.3d 1339, 1350 (11th Cir. 2008)</w:t>
        </w:r>
      </w:hyperlink>
      <w:r>
        <w:rPr>
          <w:rFonts w:ascii="arial" w:eastAsia="arial" w:hAnsi="arial" w:cs="arial"/>
          <w:b w:val="0"/>
          <w:i w:val="0"/>
          <w:strike w:val="0"/>
          <w:noProof w:val="0"/>
          <w:color w:val="000000"/>
          <w:position w:val="0"/>
          <w:sz w:val="20"/>
          <w:u w:val="none"/>
          <w:vertAlign w:val="baseline"/>
        </w:rPr>
        <w:t xml:space="preserve">. The court noted that the defendant was really arguing that the plaintiff's "claims are unripe—that is, its damages are too uncertain for a claim to have accrued—because it might get some of its money back elsewhere."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rejecting this argument, the court explained that "whether a plaintiff must pursue other remedies before a RICO claim depends on whether those other contingencies are sufficiently likely to mitigate the plaintiff's loss that damages in the RICO case cannot be ascertained, or may not have occurred at all." </w:t>
      </w:r>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1351</w:t>
        </w:r>
      </w:hyperlink>
      <w:r>
        <w:rPr>
          <w:rFonts w:ascii="arial" w:eastAsia="arial" w:hAnsi="arial" w:cs="arial"/>
          <w:b w:val="0"/>
          <w:i w:val="0"/>
          <w:strike w:val="0"/>
          <w:noProof w:val="0"/>
          <w:color w:val="000000"/>
          <w:position w:val="0"/>
          <w:sz w:val="20"/>
          <w:u w:val="none"/>
          <w:vertAlign w:val="baseline"/>
        </w:rPr>
        <w:t xml:space="preserve">. The court noted this was in line with the approach taken by other circuits who have held "that a claim may accrue even when the amount of loss may be reduced by other lawsuits.... [and] that the possibility of recovery on other claims affects the amount of RICO damages, not the accrual of the RICO claim." </w:t>
      </w:r>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1350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23"/>
      <w:bookmarkEnd w:id="33"/>
      <w:r>
        <w:rPr>
          <w:rFonts w:ascii="arial" w:eastAsia="arial" w:hAnsi="arial" w:cs="arial"/>
          <w:b w:val="0"/>
          <w:i w:val="0"/>
          <w:strike w:val="0"/>
          <w:noProof w:val="0"/>
          <w:color w:val="000000"/>
          <w:position w:val="0"/>
          <w:sz w:val="20"/>
          <w:u w:val="none"/>
          <w:vertAlign w:val="baseline"/>
        </w:rPr>
        <w:t>Applying this to the instant case, Plaintiff has a good faith argument that its ongoing collection efforts may affect the amount of its RICO claims, but not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accrual thereof. As such, Defendants' ripeness arguments do not support a basis for </w:t>
      </w:r>
      <w:hyperlink r:id="rId12"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sanctions.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Pattern of Racketeering Activity</w:t>
      </w:r>
    </w:p>
    <w:p>
      <w:pPr>
        <w:keepNext w:val="0"/>
        <w:spacing w:before="200" w:after="0" w:line="260" w:lineRule="atLeast"/>
        <w:ind w:left="0" w:right="0" w:firstLine="0"/>
        <w:jc w:val="both"/>
      </w:pPr>
      <w:bookmarkStart w:id="34" w:name="Bookmark_para_24"/>
      <w:bookmarkEnd w:id="34"/>
      <w:bookmarkStart w:id="35" w:name="Bookmark_I6960BD02D6NCY0040000400"/>
      <w:bookmarkEnd w:id="35"/>
      <w:r>
        <w:rPr>
          <w:rFonts w:ascii="arial" w:eastAsia="arial" w:hAnsi="arial" w:cs="arial"/>
          <w:b w:val="0"/>
          <w:i w:val="0"/>
          <w:strike w:val="0"/>
          <w:noProof w:val="0"/>
          <w:color w:val="000000"/>
          <w:position w:val="0"/>
          <w:sz w:val="20"/>
          <w:u w:val="none"/>
          <w:vertAlign w:val="baseline"/>
        </w:rPr>
        <w:t xml:space="preserve">To adequately alleged a pattern of racketeering activity, a plaintiff must show three things: "(1) the defendants committed two or more predicate acts within a ten-year time span; (2) the predicate acts were related to one another; and (3) the predicate acts demonstrated criminal conduct of a </w:t>
      </w:r>
      <w:r>
        <w:rPr>
          <w:rFonts w:ascii="arial" w:eastAsia="arial" w:hAnsi="arial" w:cs="arial"/>
          <w:b w:val="0"/>
          <w:i/>
          <w:strike w:val="0"/>
          <w:noProof w:val="0"/>
          <w:color w:val="000000"/>
          <w:position w:val="0"/>
          <w:sz w:val="20"/>
          <w:u w:val="none"/>
          <w:vertAlign w:val="baseline"/>
        </w:rPr>
        <w:t>continuing</w:t>
      </w:r>
      <w:r>
        <w:rPr>
          <w:rFonts w:ascii="arial" w:eastAsia="arial" w:hAnsi="arial" w:cs="arial"/>
          <w:b w:val="0"/>
          <w:i w:val="0"/>
          <w:strike w:val="0"/>
          <w:noProof w:val="0"/>
          <w:color w:val="000000"/>
          <w:position w:val="0"/>
          <w:sz w:val="20"/>
          <w:u w:val="none"/>
          <w:vertAlign w:val="baseline"/>
        </w:rPr>
        <w:t xml:space="preserve"> nature." </w:t>
      </w:r>
      <w:hyperlink r:id="rId25" w:history="1">
        <w:r>
          <w:rPr>
            <w:rFonts w:ascii="arial" w:eastAsia="arial" w:hAnsi="arial" w:cs="arial"/>
            <w:b w:val="0"/>
            <w:i/>
            <w:strike w:val="0"/>
            <w:noProof w:val="0"/>
            <w:color w:val="0077CC"/>
            <w:position w:val="0"/>
            <w:sz w:val="20"/>
            <w:u w:val="single"/>
            <w:vertAlign w:val="baseline"/>
          </w:rPr>
          <w:t>Jackson v. BellSouth Telecomms.</w:t>
        </w:r>
      </w:hyperlink>
      <w:hyperlink r:id="rId25" w:history="1">
        <w:r>
          <w:rPr>
            <w:rFonts w:ascii="arial" w:eastAsia="arial" w:hAnsi="arial" w:cs="arial"/>
            <w:b w:val="0"/>
            <w:i/>
            <w:strike w:val="0"/>
            <w:noProof w:val="0"/>
            <w:color w:val="0077CC"/>
            <w:position w:val="0"/>
            <w:sz w:val="20"/>
            <w:u w:val="single"/>
            <w:vertAlign w:val="baseline"/>
          </w:rPr>
          <w:t>, 372 F.3d 1250, 1264 (11th Cir. 2004)</w:t>
        </w:r>
      </w:hyperlink>
      <w:r>
        <w:rPr>
          <w:rFonts w:ascii="arial" w:eastAsia="arial" w:hAnsi="arial" w:cs="arial"/>
          <w:b w:val="0"/>
          <w:i w:val="0"/>
          <w:strike w:val="0"/>
          <w:noProof w:val="0"/>
          <w:color w:val="000000"/>
          <w:position w:val="0"/>
          <w:sz w:val="20"/>
          <w:u w:val="none"/>
          <w:vertAlign w:val="baseline"/>
        </w:rPr>
        <w:t xml:space="preserve"> (emphasis in original). As to the continuity requirement, the Eleventh Circuit has explained that continuity "is both a closed- and open-ended concept, referring either to a closed period of repeated conduct or to past conduct that by its nature projects into the future with a threat of repetition[.]"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26" w:history="1">
        <w:r>
          <w:rPr>
            <w:rFonts w:ascii="arial" w:eastAsia="arial" w:hAnsi="arial" w:cs="arial"/>
            <w:b w:val="0"/>
            <w:i/>
            <w:strike w:val="0"/>
            <w:noProof w:val="0"/>
            <w:color w:val="0077CC"/>
            <w:position w:val="0"/>
            <w:sz w:val="20"/>
            <w:u w:val="single"/>
            <w:vertAlign w:val="baseline"/>
          </w:rPr>
          <w:t>H.J. Inc. v. Northwestern Bell Tel. Co.</w:t>
        </w:r>
      </w:hyperlink>
      <w:hyperlink r:id="rId26" w:history="1">
        <w:r>
          <w:rPr>
            <w:rFonts w:ascii="arial" w:eastAsia="arial" w:hAnsi="arial" w:cs="arial"/>
            <w:b w:val="0"/>
            <w:i/>
            <w:strike w:val="0"/>
            <w:noProof w:val="0"/>
            <w:color w:val="0077CC"/>
            <w:position w:val="0"/>
            <w:sz w:val="20"/>
            <w:u w:val="single"/>
            <w:vertAlign w:val="baseline"/>
          </w:rPr>
          <w:t>, 492 U.S. 229, 241-42, 109 S. Ct. 2893, 106 L. Ed. 2d 195 (1989)</w:t>
        </w:r>
      </w:hyperlink>
      <w:r>
        <w:rPr>
          <w:rFonts w:ascii="arial" w:eastAsia="arial" w:hAnsi="arial" w:cs="arial"/>
          <w:b w:val="0"/>
          <w:i w:val="0"/>
          <w:strike w:val="0"/>
          <w:noProof w:val="0"/>
          <w:color w:val="000000"/>
          <w:position w:val="0"/>
          <w:sz w:val="20"/>
          <w:u w:val="none"/>
          <w:vertAlign w:val="baseline"/>
        </w:rPr>
        <w:t xml:space="preserve">). Open-ended continuity exists where "the racketeering acts themselves include a specific threat of repetition extending indefinitely into the future ... [or] the predicate acts or offenses are part of an ongoing entity's regular way of doing business." </w:t>
      </w:r>
      <w:bookmarkStart w:id="36" w:name="Bookmark_I6960BD02D6NCY0030000400"/>
      <w:bookmarkEnd w:id="36"/>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1265</w:t>
        </w:r>
      </w:hyperlink>
      <w:r>
        <w:rPr>
          <w:rFonts w:ascii="arial" w:eastAsia="arial" w:hAnsi="arial" w:cs="arial"/>
          <w:b w:val="0"/>
          <w:i w:val="0"/>
          <w:strike w:val="0"/>
          <w:noProof w:val="0"/>
          <w:color w:val="000000"/>
          <w:position w:val="0"/>
          <w:sz w:val="20"/>
          <w:u w:val="none"/>
          <w:vertAlign w:val="baseline"/>
        </w:rPr>
        <w:t xml:space="preserve"> (citing </w:t>
      </w:r>
      <w:bookmarkStart w:id="37" w:name="Bookmark_I686P54S2SF7YY0030000400"/>
      <w:bookmarkEnd w:id="37"/>
      <w:hyperlink r:id="rId26" w:history="1">
        <w:r>
          <w:rPr>
            <w:rFonts w:ascii="arial" w:eastAsia="arial" w:hAnsi="arial" w:cs="arial"/>
            <w:b w:val="0"/>
            <w:i/>
            <w:strike w:val="0"/>
            <w:noProof w:val="0"/>
            <w:color w:val="0077CC"/>
            <w:position w:val="0"/>
            <w:sz w:val="20"/>
            <w:u w:val="single"/>
            <w:vertAlign w:val="baseline"/>
          </w:rPr>
          <w:t>H.J. Inc</w:t>
        </w:r>
      </w:hyperlink>
      <w:hyperlink r:id="rId26" w:history="1">
        <w:r>
          <w:rPr>
            <w:rFonts w:ascii="arial" w:eastAsia="arial" w:hAnsi="arial" w:cs="arial"/>
            <w:b w:val="0"/>
            <w:i/>
            <w:strike w:val="0"/>
            <w:noProof w:val="0"/>
            <w:color w:val="0077CC"/>
            <w:position w:val="0"/>
            <w:sz w:val="20"/>
            <w:u w:val="single"/>
            <w:vertAlign w:val="baseline"/>
          </w:rPr>
          <w:t>, 492 U.S. at 242</w:t>
        </w:r>
      </w:hyperlink>
      <w:r>
        <w:rPr>
          <w:rFonts w:ascii="arial" w:eastAsia="arial" w:hAnsi="arial" w:cs="arial"/>
          <w:b w:val="0"/>
          <w:i w:val="0"/>
          <w:strike w:val="0"/>
          <w:noProof w:val="0"/>
          <w:color w:val="000000"/>
          <w:position w:val="0"/>
          <w:sz w:val="20"/>
          <w:u w:val="none"/>
          <w:vertAlign w:val="baseline"/>
        </w:rPr>
        <w:t xml:space="preserve">). Closed-ended continuity, on the other hand, requires a plaintiff to allege "a series of related predicates extending over a substantial period of time."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8" w:name="Bookmark_para_25"/>
      <w:bookmarkEnd w:id="38"/>
      <w:r>
        <w:rPr>
          <w:rFonts w:ascii="arial" w:eastAsia="arial" w:hAnsi="arial" w:cs="arial"/>
          <w:b w:val="0"/>
          <w:i w:val="0"/>
          <w:strike w:val="0"/>
          <w:noProof w:val="0"/>
          <w:color w:val="000000"/>
          <w:position w:val="0"/>
          <w:sz w:val="20"/>
          <w:u w:val="none"/>
          <w:vertAlign w:val="baseline"/>
        </w:rPr>
        <w:t>Here, Defendants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contend that Plaintiff cannot establish open-ended continuity because Plaintiff's allegations involve only a single scheme designed to frustrate Plaintiff's collection efforts, which served a discrete goal, and targeted a single individual. [ECF No. 18 at 12]. Thus, Defendants reason that Plaintiff's allegations concerning open-ended continuity are frivolous because the Eleventh Circuit has held that "schemes which have a clear and terminable goal have a natural ending point. Such schemes therefore cannot support a finding of any specific threat of continuity that would constitute open ended continuity."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12-13] (quoting </w:t>
      </w:r>
      <w:hyperlink r:id="rId27" w:history="1">
        <w:r>
          <w:rPr>
            <w:rFonts w:ascii="arial" w:eastAsia="arial" w:hAnsi="arial" w:cs="arial"/>
            <w:b w:val="0"/>
            <w:i/>
            <w:strike w:val="0"/>
            <w:noProof w:val="0"/>
            <w:color w:val="0077CC"/>
            <w:position w:val="0"/>
            <w:sz w:val="20"/>
            <w:u w:val="single"/>
            <w:vertAlign w:val="baseline"/>
          </w:rPr>
          <w:t>Daedelus Capital, LLC v. Vinecombe</w:t>
        </w:r>
      </w:hyperlink>
      <w:hyperlink r:id="rId27" w:history="1">
        <w:r>
          <w:rPr>
            <w:rFonts w:ascii="arial" w:eastAsia="arial" w:hAnsi="arial" w:cs="arial"/>
            <w:b w:val="0"/>
            <w:i/>
            <w:strike w:val="0"/>
            <w:noProof w:val="0"/>
            <w:color w:val="0077CC"/>
            <w:position w:val="0"/>
            <w:sz w:val="20"/>
            <w:u w:val="single"/>
            <w:vertAlign w:val="baseline"/>
          </w:rPr>
          <w:t>, 625 F. App'x 973, 976 (11th Cir. 2015)</w:t>
        </w:r>
      </w:hyperlink>
      <w:r>
        <w:rPr>
          <w:rFonts w:ascii="arial" w:eastAsia="arial" w:hAnsi="arial" w:cs="arial"/>
          <w:b w:val="0"/>
          <w:i w:val="0"/>
          <w:strike w:val="0"/>
          <w:noProof w:val="0"/>
          <w:color w:val="000000"/>
          <w:position w:val="0"/>
          <w:sz w:val="20"/>
          <w:u w:val="none"/>
          <w:vertAlign w:val="baseline"/>
        </w:rPr>
        <w:t>. Plaintiff argues the FAC sufficiently alleges facts to support open-ended continuity because "there is no natural end point to the Defendants' scheme to frustrate lawful collection on Plaintiff's $50 million judgment." [ECF No. 25 at 10]. Plaintiff reasons that Defendants even exhibited this point in their ripeness argument by arguing "that Plaintiff's claim is not yet ripe because her ongoing collection efforts make her damages 'uncertain.'"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26"/>
      <w:bookmarkEnd w:id="39"/>
      <w:r>
        <w:rPr>
          <w:rFonts w:ascii="arial" w:eastAsia="arial" w:hAnsi="arial" w:cs="arial"/>
          <w:b w:val="0"/>
          <w:i w:val="0"/>
          <w:strike w:val="0"/>
          <w:noProof w:val="0"/>
          <w:color w:val="000000"/>
          <w:position w:val="0"/>
          <w:sz w:val="20"/>
          <w:u w:val="none"/>
          <w:vertAlign w:val="baseline"/>
        </w:rPr>
        <w:t>Plaintiff's argument regarding open-ended continuity appears to be a good faith inquiry with a sufficient factual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basis to support it. As Plaintiff explains, "there is no natural end point to the Defendants' scheme to frustrate lawful collection on Plaintiff's $50 million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is because, the allegations set forth in the FAC described a long established and ongoing money laundering and gold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run by the Castellons, which serve as their routine way of conducting business, which are intended to continue indefinitely. Taken together, these allegations are sufficient to establish a good faith argument as to open-ended continuity.</w:t>
      </w:r>
    </w:p>
    <w:p>
      <w:pPr>
        <w:keepNext w:val="0"/>
        <w:spacing w:before="240" w:after="0" w:line="260" w:lineRule="atLeast"/>
        <w:ind w:left="0" w:right="0" w:firstLine="0"/>
        <w:jc w:val="both"/>
      </w:pPr>
      <w:bookmarkStart w:id="40" w:name="Bookmark_para_27"/>
      <w:bookmarkEnd w:id="40"/>
      <w:r>
        <w:rPr>
          <w:rFonts w:ascii="arial" w:eastAsia="arial" w:hAnsi="arial" w:cs="arial"/>
          <w:b w:val="0"/>
          <w:i w:val="0"/>
          <w:strike w:val="0"/>
          <w:noProof w:val="0"/>
          <w:color w:val="000000"/>
          <w:position w:val="0"/>
          <w:sz w:val="20"/>
          <w:u w:val="none"/>
          <w:vertAlign w:val="baseline"/>
        </w:rPr>
        <w:t>As to closed-ended continuity, Plaintiff argues that the FAC establishes a series of predicate acts that took place at least between a year and two years, "involved at least three district victims (Plaintiff, Fernandez &amp; Associates, and Precious Metals Service SA)" and involved "hundreds of predicate acts including wire fraud customs documentation fraud, and unlicensed money transmitting, and spanned multiple countries and numerous front companies[.]"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As Plaintiff points out, the Eleventh Circuit has not found that a scheme that lasted less than two years is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insufficient to establish continuity. </w:t>
      </w:r>
      <w:bookmarkStart w:id="41" w:name="Bookmark_I686P54S28T46C0050000400"/>
      <w:bookmarkEnd w:id="41"/>
      <w:r>
        <w:rPr>
          <w:rFonts w:ascii="arial" w:eastAsia="arial" w:hAnsi="arial" w:cs="arial"/>
          <w:b w:val="0"/>
          <w:i/>
          <w:strike w:val="0"/>
          <w:noProof w:val="0"/>
          <w:color w:val="000000"/>
          <w:position w:val="0"/>
          <w:sz w:val="20"/>
          <w:u w:val="none"/>
          <w:vertAlign w:val="baseline"/>
        </w:rPr>
        <w:t xml:space="preserve">See, </w:t>
      </w:r>
      <w:hyperlink r:id="rId28" w:history="1">
        <w:r>
          <w:rPr>
            <w:rFonts w:ascii="arial" w:eastAsia="arial" w:hAnsi="arial" w:cs="arial"/>
            <w:b w:val="0"/>
            <w:i/>
            <w:strike w:val="0"/>
            <w:noProof w:val="0"/>
            <w:color w:val="0077CC"/>
            <w:position w:val="0"/>
            <w:sz w:val="20"/>
            <w:u w:val="single"/>
            <w:vertAlign w:val="baseline"/>
          </w:rPr>
          <w:t>Magnifico v. Villanueva</w:t>
        </w:r>
      </w:hyperlink>
      <w:hyperlink r:id="rId28" w:history="1">
        <w:r>
          <w:rPr>
            <w:rFonts w:ascii="arial" w:eastAsia="arial" w:hAnsi="arial" w:cs="arial"/>
            <w:b w:val="0"/>
            <w:i/>
            <w:strike w:val="0"/>
            <w:noProof w:val="0"/>
            <w:color w:val="0077CC"/>
            <w:position w:val="0"/>
            <w:sz w:val="20"/>
            <w:u w:val="single"/>
            <w:vertAlign w:val="baseline"/>
          </w:rPr>
          <w:t>, 783 F. Supp. 2d 1217, 1229 (S.D. Fla. 2011)</w:t>
        </w:r>
      </w:hyperlink>
      <w:r>
        <w:rPr>
          <w:rFonts w:ascii="arial" w:eastAsia="arial" w:hAnsi="arial" w:cs="arial"/>
          <w:b w:val="0"/>
          <w:i w:val="0"/>
          <w:strike w:val="0"/>
          <w:noProof w:val="0"/>
          <w:color w:val="000000"/>
          <w:position w:val="0"/>
          <w:sz w:val="20"/>
          <w:u w:val="none"/>
          <w:vertAlign w:val="baseline"/>
        </w:rPr>
        <w:t xml:space="preserve"> (noting that "there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are no cases in which the Eleventh Circuit has found definitively that a scheme lasting less than two years cannot meet the closed-ended continuity requirement"). The Eleventh Circuit has made clear however, that anything less than a year likely will not suffice to establish continuity. </w:t>
      </w:r>
      <w:r>
        <w:rPr>
          <w:rFonts w:ascii="arial" w:eastAsia="arial" w:hAnsi="arial" w:cs="arial"/>
          <w:b w:val="0"/>
          <w:i/>
          <w:strike w:val="0"/>
          <w:noProof w:val="0"/>
          <w:color w:val="000000"/>
          <w:position w:val="0"/>
          <w:sz w:val="20"/>
          <w:u w:val="none"/>
          <w:vertAlign w:val="baseline"/>
        </w:rPr>
        <w:t xml:space="preserve">See, e.g., </w:t>
      </w:r>
      <w:bookmarkStart w:id="42" w:name="Bookmark_I686P54S28T46C0040000400"/>
      <w:bookmarkEnd w:id="42"/>
      <w:hyperlink r:id="rId29" w:history="1">
        <w:r>
          <w:rPr>
            <w:rFonts w:ascii="arial" w:eastAsia="arial" w:hAnsi="arial" w:cs="arial"/>
            <w:b w:val="0"/>
            <w:i/>
            <w:strike w:val="0"/>
            <w:noProof w:val="0"/>
            <w:color w:val="0077CC"/>
            <w:position w:val="0"/>
            <w:sz w:val="20"/>
            <w:u w:val="single"/>
            <w:vertAlign w:val="baseline"/>
          </w:rPr>
          <w:t>Aldridge v. Lily-Tulip, Inc. Salary Ret. Plan Benefits Comm.</w:t>
        </w:r>
      </w:hyperlink>
      <w:hyperlink r:id="rId29" w:history="1">
        <w:r>
          <w:rPr>
            <w:rFonts w:ascii="arial" w:eastAsia="arial" w:hAnsi="arial" w:cs="arial"/>
            <w:b w:val="0"/>
            <w:i/>
            <w:strike w:val="0"/>
            <w:noProof w:val="0"/>
            <w:color w:val="0077CC"/>
            <w:position w:val="0"/>
            <w:sz w:val="20"/>
            <w:u w:val="single"/>
            <w:vertAlign w:val="baseline"/>
          </w:rPr>
          <w:t>, 953 F.2d 587, 593 (11th Cir. 1992)</w:t>
        </w:r>
      </w:hyperlink>
      <w:r>
        <w:rPr>
          <w:rFonts w:ascii="arial" w:eastAsia="arial" w:hAnsi="arial" w:cs="arial"/>
          <w:b w:val="0"/>
          <w:i w:val="0"/>
          <w:strike w:val="0"/>
          <w:noProof w:val="0"/>
          <w:color w:val="000000"/>
          <w:position w:val="0"/>
          <w:sz w:val="20"/>
          <w:u w:val="none"/>
          <w:vertAlign w:val="baseline"/>
        </w:rPr>
        <w:t xml:space="preserve"> (finding that a scheme lasting approximately six month was insufficient); </w:t>
      </w:r>
      <w:bookmarkStart w:id="43" w:name="Bookmark_I6960BD02D6NCY0050000400"/>
      <w:bookmarkEnd w:id="43"/>
      <w:hyperlink r:id="rId25" w:history="1">
        <w:r>
          <w:rPr>
            <w:rFonts w:ascii="arial" w:eastAsia="arial" w:hAnsi="arial" w:cs="arial"/>
            <w:b w:val="0"/>
            <w:i/>
            <w:strike w:val="0"/>
            <w:noProof w:val="0"/>
            <w:color w:val="0077CC"/>
            <w:position w:val="0"/>
            <w:sz w:val="20"/>
            <w:u w:val="single"/>
            <w:vertAlign w:val="baseline"/>
          </w:rPr>
          <w:t>Jackson</w:t>
        </w:r>
      </w:hyperlink>
      <w:hyperlink r:id="rId25" w:history="1">
        <w:r>
          <w:rPr>
            <w:rFonts w:ascii="arial" w:eastAsia="arial" w:hAnsi="arial" w:cs="arial"/>
            <w:b w:val="0"/>
            <w:i/>
            <w:strike w:val="0"/>
            <w:noProof w:val="0"/>
            <w:color w:val="0077CC"/>
            <w:position w:val="0"/>
            <w:sz w:val="20"/>
            <w:u w:val="single"/>
            <w:vertAlign w:val="baseline"/>
          </w:rPr>
          <w:t>, 372 F.3d at 1265</w:t>
        </w:r>
      </w:hyperlink>
      <w:r>
        <w:rPr>
          <w:rFonts w:ascii="arial" w:eastAsia="arial" w:hAnsi="arial" w:cs="arial"/>
          <w:b w:val="0"/>
          <w:i w:val="0"/>
          <w:strike w:val="0"/>
          <w:noProof w:val="0"/>
          <w:color w:val="000000"/>
          <w:position w:val="0"/>
          <w:sz w:val="20"/>
          <w:u w:val="none"/>
          <w:vertAlign w:val="baseline"/>
        </w:rPr>
        <w:t xml:space="preserve"> (explaining that the majority of case law on the issue has found nine months to be insufficient to establish continuity). Additionally, the overwhelming weight of authority, in other jurisdictions have found schemes ranging from six months to two years are inadequate. </w:t>
      </w:r>
      <w:r>
        <w:rPr>
          <w:rFonts w:ascii="arial" w:eastAsia="arial" w:hAnsi="arial" w:cs="arial"/>
          <w:b w:val="0"/>
          <w:i/>
          <w:strike w:val="0"/>
          <w:noProof w:val="0"/>
          <w:color w:val="000000"/>
          <w:position w:val="0"/>
          <w:sz w:val="20"/>
          <w:u w:val="none"/>
          <w:vertAlign w:val="baseline"/>
        </w:rPr>
        <w:t xml:space="preserve">See </w:t>
      </w:r>
      <w:hyperlink r:id="rId30" w:history="1">
        <w:r>
          <w:rPr>
            <w:rFonts w:ascii="arial" w:eastAsia="arial" w:hAnsi="arial" w:cs="arial"/>
            <w:b w:val="0"/>
            <w:i/>
            <w:strike w:val="0"/>
            <w:noProof w:val="0"/>
            <w:color w:val="0077CC"/>
            <w:position w:val="0"/>
            <w:sz w:val="20"/>
            <w:u w:val="single"/>
            <w:vertAlign w:val="baseline"/>
          </w:rPr>
          <w:t>Birmingham v. Doe</w:t>
        </w:r>
      </w:hyperlink>
      <w:hyperlink r:id="rId30" w:history="1">
        <w:r>
          <w:rPr>
            <w:rFonts w:ascii="arial" w:eastAsia="arial" w:hAnsi="arial" w:cs="arial"/>
            <w:b w:val="0"/>
            <w:i/>
            <w:strike w:val="0"/>
            <w:noProof w:val="0"/>
            <w:color w:val="0077CC"/>
            <w:position w:val="0"/>
            <w:sz w:val="20"/>
            <w:u w:val="single"/>
            <w:vertAlign w:val="baseline"/>
          </w:rPr>
          <w:t>, No. 21-CV-23472, 2022 U.S. Dist. LEXIS 219769, 2022 WL 18134962, at *21 (S.D. Fla. Dec. 6,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report and recommendation adopted sub nom. </w:t>
      </w:r>
      <w:hyperlink r:id="rId31" w:history="1">
        <w:r>
          <w:rPr>
            <w:rFonts w:ascii="arial" w:eastAsia="arial" w:hAnsi="arial" w:cs="arial"/>
            <w:b w:val="0"/>
            <w:i/>
            <w:strike w:val="0"/>
            <w:noProof w:val="0"/>
            <w:color w:val="0077CC"/>
            <w:position w:val="0"/>
            <w:sz w:val="20"/>
            <w:u w:val="single"/>
            <w:vertAlign w:val="baseline"/>
          </w:rPr>
          <w:t>Birmingham v. Rofx.Net</w:t>
        </w:r>
      </w:hyperlink>
      <w:hyperlink r:id="rId31" w:history="1">
        <w:r>
          <w:rPr>
            <w:rFonts w:ascii="arial" w:eastAsia="arial" w:hAnsi="arial" w:cs="arial"/>
            <w:b w:val="0"/>
            <w:i/>
            <w:strike w:val="0"/>
            <w:noProof w:val="0"/>
            <w:color w:val="0077CC"/>
            <w:position w:val="0"/>
            <w:sz w:val="20"/>
            <w:u w:val="single"/>
            <w:vertAlign w:val="baseline"/>
          </w:rPr>
          <w:t>, No. 21-23472-CIV, 2023 U.S. Dist. LEXIS 1544, 2023 WL 112308 (S.D. Fla. Jan. 5, 2023)</w:t>
        </w:r>
      </w:hyperlink>
      <w:r>
        <w:rPr>
          <w:rFonts w:ascii="arial" w:eastAsia="arial" w:hAnsi="arial" w:cs="arial"/>
          <w:b w:val="0"/>
          <w:i w:val="0"/>
          <w:strike w:val="0"/>
          <w:noProof w:val="0"/>
          <w:color w:val="000000"/>
          <w:position w:val="0"/>
          <w:sz w:val="20"/>
          <w:u w:val="none"/>
          <w:vertAlign w:val="baseline"/>
        </w:rPr>
        <w:t xml:space="preserve"> (collecting cases and noting that other circuits "have rejected schemes which have lasted between six months and two years").</w:t>
      </w:r>
    </w:p>
    <w:p>
      <w:pPr>
        <w:keepNext w:val="0"/>
        <w:spacing w:before="200" w:after="0" w:line="260" w:lineRule="atLeast"/>
        <w:ind w:left="0" w:right="0" w:firstLine="0"/>
        <w:jc w:val="both"/>
      </w:pPr>
      <w:bookmarkStart w:id="44" w:name="Bookmark_para_28"/>
      <w:bookmarkEnd w:id="44"/>
      <w:r>
        <w:rPr>
          <w:rFonts w:ascii="arial" w:eastAsia="arial" w:hAnsi="arial" w:cs="arial"/>
          <w:b w:val="0"/>
          <w:i w:val="0"/>
          <w:strike w:val="0"/>
          <w:noProof w:val="0"/>
          <w:color w:val="000000"/>
          <w:position w:val="0"/>
          <w:sz w:val="20"/>
          <w:u w:val="none"/>
          <w:vertAlign w:val="baseline"/>
        </w:rPr>
        <w:t>Here, while the majority of authority weighs against Plaintiff's allegations of a one-to-two-year period, since the Eleventh Circuit has not explicitly foreclosed such a period being sufficient for continuity, Plaintiff's argument in this regard is not frivolous. Additionally, Plaintiff's argument that the FAC establishes multiple schemes designed to harm numerous victims, is persuasive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insofar it relates to Defendants' request for sanctions. While the FAC's inartful drafting my fail to tie these ends together such that it would avoid dismissal on the merits, it does not appear so farfetched as to enter the realm of sanctionable conduct. Therefore, Defendants' arguments regarding Plaintiff's RICO claims should be rejected.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Defendant's Arguments Concerning Plaintiff's Fraud Claims Fail</w:t>
      </w:r>
    </w:p>
    <w:p>
      <w:pPr>
        <w:keepNext w:val="0"/>
        <w:spacing w:before="240" w:after="0" w:line="260" w:lineRule="atLeast"/>
        <w:ind w:left="0" w:right="0" w:firstLine="0"/>
        <w:jc w:val="both"/>
      </w:pPr>
      <w:bookmarkStart w:id="45" w:name="Bookmark_para_29"/>
      <w:bookmarkEnd w:id="45"/>
      <w:r>
        <w:rPr>
          <w:rFonts w:ascii="arial" w:eastAsia="arial" w:hAnsi="arial" w:cs="arial"/>
          <w:b w:val="0"/>
          <w:i w:val="0"/>
          <w:strike w:val="0"/>
          <w:noProof w:val="0"/>
          <w:color w:val="000000"/>
          <w:position w:val="0"/>
          <w:sz w:val="20"/>
          <w:u w:val="none"/>
          <w:vertAlign w:val="baseline"/>
        </w:rPr>
        <w:t xml:space="preserve">Defendant next argues that Plaintiff should be sanctioned under </w:t>
      </w:r>
      <w:hyperlink r:id="rId12"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Florida Statute § 57.105</w:t>
        </w:r>
      </w:hyperlink>
      <w:r>
        <w:rPr>
          <w:rFonts w:ascii="arial" w:eastAsia="arial" w:hAnsi="arial" w:cs="arial"/>
          <w:b w:val="0"/>
          <w:i w:val="0"/>
          <w:strike w:val="0"/>
          <w:noProof w:val="0"/>
          <w:color w:val="000000"/>
          <w:position w:val="0"/>
          <w:sz w:val="20"/>
          <w:u w:val="none"/>
          <w:vertAlign w:val="baseline"/>
        </w:rPr>
        <w:t xml:space="preserve"> because her fraud claims fail: (1) to demonstrate that the Castellons made any misrepresentations to her; and (2) to establish that she took an action based on any representation the Castellons made that left her in a worse position; and (3) because "to the extent [her] fraud claims are based on the Castellons' alleged concealment or non-disclosure of a material fact, the claims fail because the Castellons did not owe Plaintiff a duty to disclose anything to her." [ECF No. 18 at 14].</w:t>
      </w:r>
    </w:p>
    <w:p>
      <w:pPr>
        <w:keepNext w:val="0"/>
        <w:spacing w:before="200" w:after="0" w:line="260" w:lineRule="atLeast"/>
        <w:ind w:left="0" w:right="0" w:firstLine="0"/>
        <w:jc w:val="both"/>
      </w:pPr>
      <w:bookmarkStart w:id="46" w:name="Bookmark_para_30"/>
      <w:bookmarkEnd w:id="46"/>
      <w:r>
        <w:rPr>
          <w:rFonts w:ascii="arial" w:eastAsia="arial" w:hAnsi="arial" w:cs="arial"/>
          <w:b w:val="0"/>
          <w:i w:val="0"/>
          <w:strike w:val="0"/>
          <w:noProof w:val="0"/>
          <w:color w:val="000000"/>
          <w:position w:val="0"/>
          <w:sz w:val="20"/>
          <w:u w:val="none"/>
          <w:vertAlign w:val="baseline"/>
        </w:rPr>
        <w:t>Defendants' arguments here speak to the deficiency of Plaintiff's factual allegations in the FAC. As such, Defendants' arguments can be dismissed for the reasons this Court addressed above. The same facts underpinning Plaintiff's RICO</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claims support her fraud claims. As this Court has already addressed, and rejected, Defendants' arguments in that context, it need not do so again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47" w:name="Bookmark_para_31"/>
      <w:bookmarkEnd w:id="47"/>
      <w:r>
        <w:rPr>
          <w:rFonts w:ascii="arial" w:eastAsia="arial" w:hAnsi="arial" w:cs="arial"/>
          <w:b w:val="0"/>
          <w:i w:val="0"/>
          <w:strike w:val="0"/>
          <w:noProof w:val="0"/>
          <w:color w:val="000000"/>
          <w:position w:val="0"/>
          <w:sz w:val="20"/>
          <w:u w:val="none"/>
          <w:vertAlign w:val="baseline"/>
        </w:rPr>
        <w:t xml:space="preserve">For the foregoing reasons,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Defendants' Motion for Sanctions [ECF No. 18]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32"/>
      <w:bookmarkEnd w:id="48"/>
      <w:r>
        <w:rPr>
          <w:rFonts w:ascii="arial" w:eastAsia="arial" w:hAnsi="arial" w:cs="arial"/>
          <w:b w:val="0"/>
          <w:i w:val="0"/>
          <w:strike w:val="0"/>
          <w:noProof w:val="0"/>
          <w:color w:val="000000"/>
          <w:position w:val="0"/>
          <w:sz w:val="20"/>
          <w:u w:val="none"/>
          <w:vertAlign w:val="baseline"/>
        </w:rPr>
        <w:t xml:space="preserve">A party shall serve and file written objections, if any, to this Report and Recommendation with the District Judge within </w:t>
      </w:r>
      <w:r>
        <w:rPr>
          <w:rFonts w:ascii="arial" w:eastAsia="arial" w:hAnsi="arial" w:cs="arial"/>
          <w:b/>
          <w:i w:val="0"/>
          <w:strike w:val="0"/>
          <w:noProof w:val="0"/>
          <w:color w:val="000000"/>
          <w:position w:val="0"/>
          <w:sz w:val="20"/>
          <w:u w:val="none"/>
          <w:vertAlign w:val="baseline"/>
        </w:rPr>
        <w:t>FOURTEEN DAYS</w:t>
      </w:r>
      <w:r>
        <w:rPr>
          <w:rFonts w:ascii="arial" w:eastAsia="arial" w:hAnsi="arial" w:cs="arial"/>
          <w:b w:val="0"/>
          <w:i w:val="0"/>
          <w:strike w:val="0"/>
          <w:noProof w:val="0"/>
          <w:color w:val="000000"/>
          <w:position w:val="0"/>
          <w:sz w:val="20"/>
          <w:u w:val="none"/>
          <w:vertAlign w:val="baseline"/>
        </w:rPr>
        <w:t xml:space="preserve"> of being served with a copy of this Report and Recommendation. Failure to timely file objections will bar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determination by the District Judge of anything in this recommendation and shall constitute a waiver of a party's "right to challenge on appeal the district court's order based on unobjected-to factual and legal conclusions." </w:t>
      </w:r>
      <w:hyperlink r:id="rId32" w:history="1">
        <w:r>
          <w:rPr>
            <w:rFonts w:ascii="arial" w:eastAsia="arial" w:hAnsi="arial" w:cs="arial"/>
            <w:b w:val="0"/>
            <w:i/>
            <w:strike w:val="0"/>
            <w:noProof w:val="0"/>
            <w:color w:val="0077CC"/>
            <w:position w:val="0"/>
            <w:sz w:val="20"/>
            <w:u w:val="single"/>
            <w:vertAlign w:val="baseline"/>
          </w:rPr>
          <w:t>11th Cir. R. 3-1</w:t>
        </w:r>
      </w:hyperlink>
      <w:r>
        <w:rPr>
          <w:rFonts w:ascii="arial" w:eastAsia="arial" w:hAnsi="arial" w:cs="arial"/>
          <w:b w:val="0"/>
          <w:i w:val="0"/>
          <w:strike w:val="0"/>
          <w:noProof w:val="0"/>
          <w:color w:val="000000"/>
          <w:position w:val="0"/>
          <w:sz w:val="20"/>
          <w:u w:val="none"/>
          <w:vertAlign w:val="baseline"/>
        </w:rPr>
        <w:t xml:space="preserve"> (2016); </w:t>
      </w:r>
      <w:hyperlink r:id="rId33"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34" w:history="1">
        <w:r>
          <w:rPr>
            <w:rFonts w:ascii="arial" w:eastAsia="arial" w:hAnsi="arial" w:cs="arial"/>
            <w:b w:val="0"/>
            <w:i/>
            <w:strike w:val="0"/>
            <w:noProof w:val="0"/>
            <w:color w:val="0077CC"/>
            <w:position w:val="0"/>
            <w:sz w:val="20"/>
            <w:u w:val="single"/>
            <w:vertAlign w:val="baseline"/>
          </w:rPr>
          <w:t>Harrigan v. Metro-Dade Police Dep't Station #4</w:t>
        </w:r>
      </w:hyperlink>
      <w:hyperlink r:id="rId34" w:history="1">
        <w:r>
          <w:rPr>
            <w:rFonts w:ascii="arial" w:eastAsia="arial" w:hAnsi="arial" w:cs="arial"/>
            <w:b w:val="0"/>
            <w:i/>
            <w:strike w:val="0"/>
            <w:noProof w:val="0"/>
            <w:color w:val="0077CC"/>
            <w:position w:val="0"/>
            <w:sz w:val="20"/>
            <w:u w:val="single"/>
            <w:vertAlign w:val="baseline"/>
          </w:rPr>
          <w:t>, 977 F.3d 1185, 1191-92 (11th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33"/>
      <w:bookmarkEnd w:id="49"/>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this 8th day of May, 2023.</w:t>
      </w:r>
    </w:p>
    <w:p>
      <w:pPr>
        <w:keepNext w:val="0"/>
        <w:spacing w:before="200" w:after="0" w:line="260" w:lineRule="atLeast"/>
        <w:ind w:left="0" w:right="0" w:firstLine="0"/>
        <w:jc w:val="both"/>
      </w:pPr>
      <w:bookmarkStart w:id="50" w:name="Bookmark_para_34"/>
      <w:bookmarkEnd w:id="50"/>
      <w:r>
        <w:rPr>
          <w:rFonts w:ascii="arial" w:eastAsia="arial" w:hAnsi="arial" w:cs="arial"/>
          <w:b w:val="0"/>
          <w:i w:val="0"/>
          <w:strike w:val="0"/>
          <w:noProof w:val="0"/>
          <w:color w:val="000000"/>
          <w:position w:val="0"/>
          <w:sz w:val="20"/>
          <w:u w:val="none"/>
          <w:vertAlign w:val="baseline"/>
        </w:rPr>
        <w:t>/s/ Lisette M. Reid</w:t>
      </w:r>
    </w:p>
    <w:p>
      <w:pPr>
        <w:keepNext w:val="0"/>
        <w:spacing w:before="200" w:after="0" w:line="260" w:lineRule="atLeast"/>
        <w:ind w:left="0" w:right="0" w:firstLine="0"/>
        <w:jc w:val="both"/>
      </w:pPr>
      <w:bookmarkStart w:id="51" w:name="Bookmark_para_35"/>
      <w:bookmarkEnd w:id="51"/>
      <w:r>
        <w:rPr>
          <w:rFonts w:ascii="arial" w:eastAsia="arial" w:hAnsi="arial" w:cs="arial"/>
          <w:b w:val="0"/>
          <w:i w:val="0"/>
          <w:strike w:val="0"/>
          <w:noProof w:val="0"/>
          <w:color w:val="000000"/>
          <w:position w:val="0"/>
          <w:sz w:val="20"/>
          <w:u w:val="none"/>
          <w:vertAlign w:val="baseline"/>
        </w:rPr>
        <w:t>LISETTE M. REID</w:t>
      </w:r>
    </w:p>
    <w:p>
      <w:pPr>
        <w:keepNext w:val="0"/>
        <w:spacing w:before="200" w:after="0" w:line="260" w:lineRule="atLeast"/>
        <w:ind w:left="0" w:right="0" w:firstLine="0"/>
        <w:jc w:val="both"/>
      </w:pPr>
      <w:bookmarkStart w:id="52" w:name="Bookmark_para_36"/>
      <w:bookmarkEnd w:id="52"/>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Pataro v. Castellón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VW8-RSW2-8T6X-72HF-00000-00&amp;context=1519360" TargetMode="External" /><Relationship Id="rId11" Type="http://schemas.openxmlformats.org/officeDocument/2006/relationships/hyperlink" Target="https://advance.lexis.com/api/document?collection=statutes-legislation&amp;id=urn:contentItem:8SG9-5042-D6RV-H0PV-00000-00&amp;context=1519360" TargetMode="External" /><Relationship Id="rId12" Type="http://schemas.openxmlformats.org/officeDocument/2006/relationships/hyperlink" Target="https://advance.lexis.com/api/document?collection=statutes-legislation&amp;id=urn:contentItem:5GYC-1WP1-6N19-F0YT-00000-00&amp;context=1519360" TargetMode="External" /><Relationship Id="rId13" Type="http://schemas.openxmlformats.org/officeDocument/2006/relationships/hyperlink" Target="https://advance.lexis.com/api/document?collection=cases&amp;id=urn:contentItem:3S4X-1N30-006F-M432-00000-00&amp;context=1519360" TargetMode="External" /><Relationship Id="rId14" Type="http://schemas.openxmlformats.org/officeDocument/2006/relationships/hyperlink" Target="https://advance.lexis.com/api/document?collection=cases&amp;id=urn:contentItem:65X5-S9W1-F30T-B4KC-00000-00&amp;context=1519360" TargetMode="External" /><Relationship Id="rId15" Type="http://schemas.openxmlformats.org/officeDocument/2006/relationships/hyperlink" Target="https://advance.lexis.com/api/document?collection=cases&amp;id=urn:contentItem:7YHB-9Y91-2RHT-2026-00000-00&amp;context=1519360" TargetMode="External" /><Relationship Id="rId16" Type="http://schemas.openxmlformats.org/officeDocument/2006/relationships/hyperlink" Target="https://advance.lexis.com/api/document?collection=cases&amp;id=urn:contentItem:66N0-KW81-JGBH-B2N4-00000-00&amp;context=1519360" TargetMode="External" /><Relationship Id="rId17" Type="http://schemas.openxmlformats.org/officeDocument/2006/relationships/hyperlink" Target="https://advance.lexis.com/api/document?collection=cases&amp;id=urn:contentItem:66SM-9XW1-JJD0-G4K1-00000-00&amp;context=1519360" TargetMode="External" /><Relationship Id="rId18" Type="http://schemas.openxmlformats.org/officeDocument/2006/relationships/hyperlink" Target="https://advance.lexis.com/api/document?collection=cases&amp;id=urn:contentItem:469M-XY80-0038-X48W-00000-00&amp;context=1519360" TargetMode="External" /><Relationship Id="rId19" Type="http://schemas.openxmlformats.org/officeDocument/2006/relationships/hyperlink" Target="https://advance.lexis.com/api/document?collection=cases&amp;id=urn:contentItem:5KM1-HCS1-F04K-X1KJ-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SPS-PSH0-TXFX-12X7-00000-00&amp;context=1519360" TargetMode="External" /><Relationship Id="rId21" Type="http://schemas.openxmlformats.org/officeDocument/2006/relationships/hyperlink" Target="https://advance.lexis.com/api/document?collection=cases&amp;id=urn:contentItem:639C-D811-FG68-G2Y4-00000-00&amp;context=1519360" TargetMode="External" /><Relationship Id="rId22" Type="http://schemas.openxmlformats.org/officeDocument/2006/relationships/hyperlink" Target="https://advance.lexis.com/api/document?collection=cases&amp;id=urn:contentItem:5T1M-BSP1-FGRY-B383-00000-00&amp;context=1519360" TargetMode="External" /><Relationship Id="rId23" Type="http://schemas.openxmlformats.org/officeDocument/2006/relationships/hyperlink" Target="https://advance.lexis.com/api/document?collection=cases&amp;id=urn:contentItem:3S4X-FY30-003B-P52C-00000-00&amp;context=1519360" TargetMode="External" /><Relationship Id="rId24" Type="http://schemas.openxmlformats.org/officeDocument/2006/relationships/hyperlink" Target="https://advance.lexis.com/api/document?collection=cases&amp;id=urn:contentItem:4SSY-KMD0-TXFX-G2W2-00000-00&amp;context=1519360" TargetMode="External" /><Relationship Id="rId25" Type="http://schemas.openxmlformats.org/officeDocument/2006/relationships/hyperlink" Target="https://advance.lexis.com/api/document?collection=cases&amp;id=urn:contentItem:4CMB-D420-0038-X2SX-00000-00&amp;context=1519360" TargetMode="External" /><Relationship Id="rId26" Type="http://schemas.openxmlformats.org/officeDocument/2006/relationships/hyperlink" Target="https://advance.lexis.com/api/document?collection=cases&amp;id=urn:contentItem:3S4X-9VH0-003B-411T-00000-00&amp;context=1519360" TargetMode="External" /><Relationship Id="rId27" Type="http://schemas.openxmlformats.org/officeDocument/2006/relationships/hyperlink" Target="https://advance.lexis.com/api/document?collection=cases&amp;id=urn:contentItem:5GVD-5TV1-F04K-X00N-00000-00&amp;context=1519360" TargetMode="External" /><Relationship Id="rId28" Type="http://schemas.openxmlformats.org/officeDocument/2006/relationships/hyperlink" Target="https://advance.lexis.com/api/document?collection=cases&amp;id=urn:contentItem:52RB-H7K1-F04D-103N-00000-00&amp;context=1519360" TargetMode="External" /><Relationship Id="rId29" Type="http://schemas.openxmlformats.org/officeDocument/2006/relationships/hyperlink" Target="https://advance.lexis.com/api/document?collection=cases&amp;id=urn:contentItem:3S4X-5T20-008H-V24X-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671N-1831-F5T5-M0TM-00000-00&amp;context=1519360" TargetMode="External" /><Relationship Id="rId31" Type="http://schemas.openxmlformats.org/officeDocument/2006/relationships/hyperlink" Target="https://advance.lexis.com/api/document?collection=cases&amp;id=urn:contentItem:677X-S2S1-F016-S0B9-00000-00&amp;context=1519360" TargetMode="External" /><Relationship Id="rId32" Type="http://schemas.openxmlformats.org/officeDocument/2006/relationships/hyperlink" Target="https://advance.lexis.com/api/document?collection=statutes-legislation&amp;id=urn:contentItem:5GYY-HS51-FG36-11F0-00000-00&amp;context=1519360" TargetMode="External" /><Relationship Id="rId33" Type="http://schemas.openxmlformats.org/officeDocument/2006/relationships/hyperlink" Target="https://advance.lexis.com/api/document?collection=statutes-legislation&amp;id=urn:contentItem:8SG9-5HW2-D6RV-H0BK-00000-00&amp;context=1519360" TargetMode="External" /><Relationship Id="rId34" Type="http://schemas.openxmlformats.org/officeDocument/2006/relationships/hyperlink" Target="https://advance.lexis.com/api/document?collection=cases&amp;id=urn:contentItem:612B-BK11-JSXV-G2Y4-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6G-6BJ1-JTGH-B372-00000-00&amp;context=1519360" TargetMode="External" /><Relationship Id="rId9" Type="http://schemas.openxmlformats.org/officeDocument/2006/relationships/hyperlink" Target="https://advance.lexis.com/api/document?collection=cases&amp;id=urn:contentItem:68H3-5ST1-JJK6-S36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Pataro v. Castellón, 2023 U.S. Dist. LEXIS 81090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Doc::urn:hlct:5|contextualFeaturePermID::1519360</vt:lpwstr>
  </property>
  <property fmtid="{D5CDD505-2E9C-101B-9397-08002B2CF9AE}" pid="5" name="UserPermID">
    <vt:lpwstr>urn:user:PA186186280</vt:lpwstr>
  </property>
</Properties>
</file>