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Moreno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Ninth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2023</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Submitted, Phoenix, Arizona; April 20,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21-10182</w:t>
      </w:r>
    </w:p>
    <w:p>
      <w:pPr>
        <w:keepNext w:val="0"/>
        <w:spacing w:after="0" w:line="240" w:lineRule="atLeast"/>
        <w:ind w:right="0"/>
        <w:jc w:val="both"/>
      </w:pPr>
      <w:bookmarkStart w:id="1" w:name="Bookmark_79"/>
      <w:bookmarkEnd w:id="1"/>
    </w:p>
    <w:p>
      <w:pPr>
        <w:keepNext w:val="0"/>
        <w:spacing w:before="200" w:after="0" w:line="240" w:lineRule="atLeast"/>
        <w:ind w:left="0" w:right="0" w:firstLine="0"/>
        <w:jc w:val="left"/>
      </w:pPr>
      <w:bookmarkStart w:id="2" w:name="Reporter"/>
      <w:bookmarkEnd w:id="2"/>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9422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3018287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SOPHIA ARIANNA MORENO, Defendant-Appellant.</w:t>
      </w:r>
    </w:p>
    <w:p>
      <w:pPr>
        <w:keepNext w:val="0"/>
        <w:spacing w:before="240" w:after="0" w:line="260" w:lineRule="atLeast"/>
        <w:ind w:left="0" w:right="0" w:firstLine="0"/>
        <w:jc w:val="both"/>
      </w:pPr>
      <w:bookmarkStart w:id="3" w:name="Notice"/>
      <w:bookmarkEnd w:id="3"/>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District of Arizona. D.C. No. 4:19-cr-03393-JAS-LCK-1. James Alan Soto, District Judge, Presiding.</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United States v. Moreno, 2020 U.S. Dist. LEXIS 152008, 2020 WL 4922114 (D. Ariz., Aug. 21, 2020)</w:t>
        </w:r>
      </w:hyperlink>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1"/>
      <w:bookmarkEnd w:id="8"/>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reasonable suspicion, district court,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border, route, totality of the circumstances, driver, report and recommendation, border patrol agent, factual findings, inference drawn, commonly used, en banc, determinations, appearance, checkpoint, smugglers, contends, suppress, driving, factors, alert, alien, defer, scene, novo</w:t>
      </w:r>
    </w:p>
    <w:p>
      <w:pPr>
        <w:keepNext w:val="0"/>
        <w:spacing w:before="240" w:after="0" w:line="260" w:lineRule="atLeast"/>
        <w:ind w:left="0" w:right="0" w:firstLine="0"/>
        <w:jc w:val="left"/>
      </w:pPr>
      <w:bookmarkStart w:id="10" w:name="Counsel"/>
      <w:bookmarkEnd w:id="1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Christina Marie Cabanillas, Assistant U.S. Attorney, USTU- Office of the US Attorney, Tucson,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SOPHIA ARIANNA MORENO, Defendant - Appellant: Rubin Salter Jr., Esquire, Attorney, LAW OFFICE OF RUBIN SALTER, JR., Tucson, AZ.</w:t>
      </w:r>
    </w:p>
    <w:p>
      <w:pPr>
        <w:keepNext w:val="0"/>
        <w:spacing w:before="240" w:after="0" w:line="260" w:lineRule="atLeast"/>
        <w:ind w:left="0" w:right="0" w:firstLine="0"/>
        <w:jc w:val="left"/>
      </w:pPr>
      <w:bookmarkStart w:id="11" w:name="Judges"/>
      <w:bookmarkEnd w:id="1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OWENS and BADE, Circuit Judges, and BAKER,</w:t>
      </w:r>
      <w:r>
        <w:rPr>
          <w:rFonts w:ascii="arial" w:eastAsia="arial" w:hAnsi="arial" w:cs="arial"/>
          <w:vertAlign w:val="superscript"/>
        </w:rPr>
        <w:footnoteReference w:customMarkFollows="1" w:id="3"/>
        <w:t xml:space="preserve">***</w:t>
      </w:r>
      <w:r>
        <w:rPr>
          <w:rFonts w:ascii="arial" w:eastAsia="arial" w:hAnsi="arial" w:cs="arial"/>
          <w:b w:val="0"/>
          <w:i w:val="0"/>
          <w:strike w:val="0"/>
          <w:noProof w:val="0"/>
          <w:color w:val="000000"/>
          <w:position w:val="0"/>
          <w:sz w:val="20"/>
          <w:u w:val="none"/>
          <w:vertAlign w:val="baseline"/>
        </w:rPr>
        <w:t xml:space="preserve"> International Trade Judge.</w:t>
      </w:r>
    </w:p>
    <w:p>
      <w:pPr>
        <w:keepNext/>
        <w:spacing w:before="240" w:after="0" w:line="340" w:lineRule="atLeast"/>
        <w:ind w:left="0" w:right="0" w:firstLine="0"/>
        <w:jc w:val="left"/>
      </w:pPr>
      <w:bookmarkStart w:id="13" w:name="Opinion"/>
      <w:bookmarkEnd w:id="1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MEMORANDUM</w:t>
      </w:r>
      <w:r>
        <w:rPr>
          <w:rFonts w:ascii="arial" w:eastAsia="arial" w:hAnsi="arial" w:cs="arial"/>
          <w:vertAlign w:val="superscript"/>
        </w:rPr>
        <w:footnoteReference w:customMarkFollows="1" w:id="4"/>
        <w:t xml:space="preserve">*</w:t>
      </w:r>
    </w:p>
    <w:p>
      <w:pPr>
        <w:keepNext w:val="0"/>
        <w:spacing w:before="240" w:after="0" w:line="260" w:lineRule="atLeast"/>
        <w:ind w:left="0" w:right="0" w:firstLine="0"/>
        <w:jc w:val="both"/>
      </w:pPr>
      <w:bookmarkStart w:id="15" w:name="Bookmark_para_3"/>
      <w:bookmarkEnd w:id="15"/>
      <w:r>
        <w:rPr>
          <w:rFonts w:ascii="arial" w:eastAsia="arial" w:hAnsi="arial" w:cs="arial"/>
          <w:b w:val="0"/>
          <w:i w:val="0"/>
          <w:strike w:val="0"/>
          <w:noProof w:val="0"/>
          <w:color w:val="000000"/>
          <w:position w:val="0"/>
          <w:sz w:val="20"/>
          <w:u w:val="none"/>
          <w:vertAlign w:val="baseline"/>
        </w:rPr>
        <w:t xml:space="preserve">Sophia Moreno appeals from the district court's judgment following her conditional guilty plea to conspiracy to transport, for profit, noncitizens who have entered or remain in the United States unlawfully, in violation of </w:t>
      </w:r>
      <w:hyperlink r:id="rId11" w:history="1">
        <w:r>
          <w:rPr>
            <w:rFonts w:ascii="arial" w:eastAsia="arial" w:hAnsi="arial" w:cs="arial"/>
            <w:b w:val="0"/>
            <w:i/>
            <w:strike w:val="0"/>
            <w:noProof w:val="0"/>
            <w:color w:val="0077CC"/>
            <w:position w:val="0"/>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 xml:space="preserve">. </w:t>
      </w:r>
      <w:bookmarkStart w:id="16" w:name="Bookmark_I683PK9T2N1R4T0020000400"/>
      <w:bookmarkEnd w:id="16"/>
      <w:r>
        <w:rPr>
          <w:rFonts w:ascii="arial" w:eastAsia="arial" w:hAnsi="arial" w:cs="arial"/>
          <w:b w:val="0"/>
          <w:i w:val="0"/>
          <w:strike w:val="0"/>
          <w:noProof w:val="0"/>
          <w:color w:val="000000"/>
          <w:position w:val="0"/>
          <w:sz w:val="20"/>
          <w:u w:val="none"/>
          <w:vertAlign w:val="baseline"/>
        </w:rPr>
        <w:t xml:space="preserve">Moreno contends that the district court, in adopting the magistrate judge's report and recommendation, erred in denying her motion to suppress evidence after finding that a border patrol agent had reasonable suspicion to stop her vehicle. </w:t>
      </w:r>
      <w:bookmarkStart w:id="17" w:name="Bookmark_I683PK9T2N1R4T0040000400"/>
      <w:bookmarkEnd w:id="17"/>
      <w:r>
        <w:rPr>
          <w:rFonts w:ascii="arial" w:eastAsia="arial" w:hAnsi="arial" w:cs="arial"/>
          <w:b w:val="0"/>
          <w:i w:val="0"/>
          <w:strike w:val="0"/>
          <w:noProof w:val="0"/>
          <w:color w:val="000000"/>
          <w:position w:val="0"/>
          <w:sz w:val="20"/>
          <w:u w:val="none"/>
          <w:vertAlign w:val="baseline"/>
        </w:rPr>
        <w:t xml:space="preserve">We review reasonable suspicion determinations de novo and any underlying factual findings for clear error. </w:t>
      </w:r>
      <w:bookmarkStart w:id="18" w:name="Bookmark_I683PK9T2N1R4T0010000400"/>
      <w:bookmarkEnd w:id="18"/>
      <w:hyperlink r:id="rId12" w:history="1">
        <w:r>
          <w:rPr>
            <w:rFonts w:ascii="arial" w:eastAsia="arial" w:hAnsi="arial" w:cs="arial"/>
            <w:b w:val="0"/>
            <w:i/>
            <w:strike w:val="0"/>
            <w:noProof w:val="0"/>
            <w:color w:val="0077CC"/>
            <w:position w:val="0"/>
            <w:sz w:val="20"/>
            <w:u w:val="single"/>
            <w:vertAlign w:val="baseline"/>
          </w:rPr>
          <w:t>United States v. Bontemps</w:t>
        </w:r>
      </w:hyperlink>
      <w:hyperlink r:id="rId12" w:history="1">
        <w:r>
          <w:rPr>
            <w:rFonts w:ascii="arial" w:eastAsia="arial" w:hAnsi="arial" w:cs="arial"/>
            <w:b w:val="0"/>
            <w:i/>
            <w:strike w:val="0"/>
            <w:noProof w:val="0"/>
            <w:color w:val="0077CC"/>
            <w:position w:val="0"/>
            <w:sz w:val="20"/>
            <w:u w:val="single"/>
            <w:vertAlign w:val="baseline"/>
          </w:rPr>
          <w:t>, 977 F.3d 909, 913 (9th Cir. 2020)</w:t>
        </w:r>
      </w:hyperlink>
      <w:r>
        <w:rPr>
          <w:rFonts w:ascii="arial" w:eastAsia="arial" w:hAnsi="arial" w:cs="arial"/>
          <w:b w:val="0"/>
          <w:i w:val="0"/>
          <w:strike w:val="0"/>
          <w:noProof w:val="0"/>
          <w:color w:val="000000"/>
          <w:position w:val="0"/>
          <w:sz w:val="20"/>
          <w:u w:val="none"/>
          <w:vertAlign w:val="baseline"/>
        </w:rPr>
        <w:t xml:space="preserve">. </w:t>
      </w:r>
      <w:bookmarkStart w:id="19" w:name="Bookmark_I683PK9T2N1R4T0040000400_2"/>
      <w:bookmarkEnd w:id="19"/>
      <w:r>
        <w:rPr>
          <w:rFonts w:ascii="arial" w:eastAsia="arial" w:hAnsi="arial" w:cs="arial"/>
          <w:b w:val="0"/>
          <w:i w:val="0"/>
          <w:strike w:val="0"/>
          <w:noProof w:val="0"/>
          <w:color w:val="000000"/>
          <w:position w:val="0"/>
          <w:sz w:val="20"/>
          <w:u w:val="none"/>
          <w:vertAlign w:val="baseline"/>
        </w:rPr>
        <w:t>Because this de novo review is "slightly more circumscribed than usual," we "defer to the inferences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drawn by the district court and the officers on the scene, not just the district court's factual findings." </w:t>
      </w:r>
      <w:bookmarkStart w:id="20" w:name="Bookmark_I683PK9T2N1R4T0030000400"/>
      <w:bookmarkEnd w:id="20"/>
      <w:hyperlink r:id="rId13" w:history="1">
        <w:r>
          <w:rPr>
            <w:rFonts w:ascii="arial" w:eastAsia="arial" w:hAnsi="arial" w:cs="arial"/>
            <w:b w:val="0"/>
            <w:i/>
            <w:strike w:val="0"/>
            <w:noProof w:val="0"/>
            <w:color w:val="0077CC"/>
            <w:position w:val="0"/>
            <w:sz w:val="20"/>
            <w:u w:val="single"/>
            <w:vertAlign w:val="baseline"/>
          </w:rPr>
          <w:t>United States v. Valdes-Vega</w:t>
        </w:r>
      </w:hyperlink>
      <w:hyperlink r:id="rId13" w:history="1">
        <w:r>
          <w:rPr>
            <w:rFonts w:ascii="arial" w:eastAsia="arial" w:hAnsi="arial" w:cs="arial"/>
            <w:b w:val="0"/>
            <w:i/>
            <w:strike w:val="0"/>
            <w:noProof w:val="0"/>
            <w:color w:val="0077CC"/>
            <w:position w:val="0"/>
            <w:sz w:val="20"/>
            <w:u w:val="single"/>
            <w:vertAlign w:val="baseline"/>
          </w:rPr>
          <w:t>, 738 F.3d 1074, 1077 (9th Cir. 2013)</w:t>
        </w:r>
      </w:hyperlink>
      <w:r>
        <w:rPr>
          <w:rFonts w:ascii="arial" w:eastAsia="arial" w:hAnsi="arial" w:cs="arial"/>
          <w:b w:val="0"/>
          <w:i w:val="0"/>
          <w:strike w:val="0"/>
          <w:noProof w:val="0"/>
          <w:color w:val="000000"/>
          <w:position w:val="0"/>
          <w:sz w:val="20"/>
          <w:u w:val="none"/>
          <w:vertAlign w:val="baseline"/>
        </w:rPr>
        <w:t xml:space="preserve"> (en banc). We have jurisdiction under </w:t>
      </w:r>
      <w:hyperlink r:id="rId14" w:history="1">
        <w:r>
          <w:rPr>
            <w:rFonts w:ascii="arial" w:eastAsia="arial" w:hAnsi="arial" w:cs="arial"/>
            <w:b w:val="0"/>
            <w:i/>
            <w:strike w:val="0"/>
            <w:noProof w:val="0"/>
            <w:color w:val="0077CC"/>
            <w:position w:val="0"/>
            <w:sz w:val="20"/>
            <w:u w:val="single"/>
            <w:vertAlign w:val="baseline"/>
          </w:rPr>
          <w:t>28 U.S.C. § 1291</w:t>
        </w:r>
      </w:hyperlink>
      <w:r>
        <w:rPr>
          <w:rFonts w:ascii="arial" w:eastAsia="arial" w:hAnsi="arial" w:cs="arial"/>
          <w:b w:val="0"/>
          <w:i w:val="0"/>
          <w:strike w:val="0"/>
          <w:noProof w:val="0"/>
          <w:color w:val="000000"/>
          <w:position w:val="0"/>
          <w:sz w:val="20"/>
          <w:u w:val="none"/>
          <w:vertAlign w:val="baseline"/>
        </w:rPr>
        <w:t xml:space="preserve"> and affirm.</w:t>
      </w:r>
    </w:p>
    <w:p>
      <w:pPr>
        <w:keepNext w:val="0"/>
        <w:spacing w:before="240" w:after="0" w:line="260" w:lineRule="atLeast"/>
        <w:ind w:left="0" w:right="0" w:firstLine="0"/>
        <w:jc w:val="both"/>
      </w:pPr>
      <w:bookmarkStart w:id="21" w:name="Bookmark_para_4"/>
      <w:bookmarkEnd w:id="21"/>
      <w:bookmarkStart w:id="22" w:name="Bookmark_I683PK9V2SF8TM0010000400"/>
      <w:bookmarkEnd w:id="22"/>
      <w:bookmarkStart w:id="23" w:name="Bookmark_I683PK9V2SF8TM0030000400"/>
      <w:bookmarkEnd w:id="23"/>
      <w:r>
        <w:rPr>
          <w:rFonts w:ascii="arial" w:eastAsia="arial" w:hAnsi="arial" w:cs="arial"/>
          <w:b w:val="0"/>
          <w:i w:val="0"/>
          <w:strike w:val="0"/>
          <w:noProof w:val="0"/>
          <w:color w:val="000000"/>
          <w:position w:val="0"/>
          <w:sz w:val="20"/>
          <w:u w:val="none"/>
          <w:vertAlign w:val="baseline"/>
        </w:rPr>
        <w:t xml:space="preserve">Border patrol officers may conduct "brief investigatory stops without violating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if the officer's action is supported by reasonable suspicion to believe that criminal activity may be afoot." </w:t>
      </w:r>
      <w:bookmarkStart w:id="24" w:name="Bookmark_I683PK9T2N1R4T0050000400"/>
      <w:bookmarkEnd w:id="24"/>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1078</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To determine whether an officer had reasonable suspicion, we look at the "totality of the circumstances."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 In a border context, such as here, the totality of the circumstances may include factors such as the "characteristics of the area, proximity to the border, usual patterns of traffic and time of day, previous alien or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the area, behavior of the driver, appearance or behavior of passengers, and the model and appearance of the vehicle." </w:t>
      </w:r>
      <w:bookmarkStart w:id="25" w:name="Bookmark_I683PK9V2SF8TM0020000400"/>
      <w:bookmarkEnd w:id="25"/>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1079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 w:name="Bookmark_para_5"/>
      <w:bookmarkEnd w:id="26"/>
      <w:bookmarkStart w:id="27" w:name="Bookmark_I683PK9V2SF8TM0050000400"/>
      <w:bookmarkEnd w:id="27"/>
      <w:r>
        <w:rPr>
          <w:rFonts w:ascii="arial" w:eastAsia="arial" w:hAnsi="arial" w:cs="arial"/>
          <w:b w:val="0"/>
          <w:i w:val="0"/>
          <w:strike w:val="0"/>
          <w:noProof w:val="0"/>
          <w:color w:val="000000"/>
          <w:position w:val="0"/>
          <w:sz w:val="20"/>
          <w:u w:val="none"/>
          <w:vertAlign w:val="baseline"/>
        </w:rPr>
        <w:t xml:space="preserve">Applying these standards, the border patrol agent had reasonable suspicion to conduct the vehicle stop. The stop occurred about forty-five miles from the border on a route commonly used by smugglers. </w:t>
      </w:r>
      <w:bookmarkStart w:id="28" w:name="Bookmark_I683PK9V28T5220020000400"/>
      <w:bookmarkEnd w:id="28"/>
      <w:r>
        <w:rPr>
          <w:rFonts w:ascii="arial" w:eastAsia="arial" w:hAnsi="arial" w:cs="arial"/>
          <w:b w:val="0"/>
          <w:i/>
          <w:strike w:val="0"/>
          <w:noProof w:val="0"/>
          <w:color w:val="000000"/>
          <w:position w:val="0"/>
          <w:sz w:val="20"/>
          <w:u w:val="none"/>
          <w:vertAlign w:val="baseline"/>
        </w:rPr>
        <w:t xml:space="preserve">See </w:t>
      </w:r>
      <w:bookmarkStart w:id="29" w:name="Bookmark_I683PK9V2SF8TM0040000400"/>
      <w:bookmarkEnd w:id="29"/>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1078-80</w:t>
        </w:r>
      </w:hyperlink>
      <w:r>
        <w:rPr>
          <w:rFonts w:ascii="arial" w:eastAsia="arial" w:hAnsi="arial" w:cs="arial"/>
          <w:b w:val="0"/>
          <w:i w:val="0"/>
          <w:strike w:val="0"/>
          <w:noProof w:val="0"/>
          <w:color w:val="000000"/>
          <w:position w:val="0"/>
          <w:sz w:val="20"/>
          <w:u w:val="none"/>
          <w:vertAlign w:val="baseline"/>
        </w:rPr>
        <w:t xml:space="preserve"> (finding reasonable suspicion, in part, because the stop was seventy miles north of the United States—Mexico</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border along a route commonly used by smugglers). </w:t>
      </w:r>
      <w:bookmarkStart w:id="30" w:name="Bookmark_I683PK9V28T5220040000400"/>
      <w:bookmarkEnd w:id="30"/>
      <w:r>
        <w:rPr>
          <w:rFonts w:ascii="arial" w:eastAsia="arial" w:hAnsi="arial" w:cs="arial"/>
          <w:b w:val="0"/>
          <w:i w:val="0"/>
          <w:strike w:val="0"/>
          <w:noProof w:val="0"/>
          <w:color w:val="000000"/>
          <w:position w:val="0"/>
          <w:sz w:val="20"/>
          <w:u w:val="none"/>
          <w:vertAlign w:val="baseline"/>
        </w:rPr>
        <w:t xml:space="preserve">The checkpoint located on the route was also closed due to rain, which, according to the agent, usually results in an uptick in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cases. </w:t>
      </w:r>
      <w:bookmarkStart w:id="31" w:name="Bookmark_I683PK9V28T5220040000400_2"/>
      <w:bookmarkEnd w:id="31"/>
      <w:bookmarkStart w:id="32" w:name="Bookmark_I683PK9V28T5220020000400_2"/>
      <w:bookmarkEnd w:id="32"/>
      <w:r>
        <w:rPr>
          <w:rFonts w:ascii="arial" w:eastAsia="arial" w:hAnsi="arial" w:cs="arial"/>
          <w:b w:val="0"/>
          <w:i w:val="0"/>
          <w:strike w:val="0"/>
          <w:noProof w:val="0"/>
          <w:color w:val="000000"/>
          <w:position w:val="0"/>
          <w:sz w:val="20"/>
          <w:u w:val="none"/>
          <w:vertAlign w:val="baseline"/>
        </w:rPr>
        <w:t xml:space="preserve">Although the district court relied on this factor without first determining whether a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would have had time to respond to the checkpoint's closure, we "defer to the inferences drawn by the district court and the officers on the scene." </w:t>
      </w:r>
      <w:bookmarkStart w:id="33" w:name="Bookmark_I683PK9V28T5220010000400"/>
      <w:bookmarkEnd w:id="33"/>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1077</w:t>
        </w:r>
      </w:hyperlink>
      <w:r>
        <w:rPr>
          <w:rFonts w:ascii="arial" w:eastAsia="arial" w:hAnsi="arial" w:cs="arial"/>
          <w:b w:val="0"/>
          <w:i w:val="0"/>
          <w:strike w:val="0"/>
          <w:noProof w:val="0"/>
          <w:color w:val="000000"/>
          <w:position w:val="0"/>
          <w:sz w:val="20"/>
          <w:u w:val="none"/>
          <w:vertAlign w:val="baseline"/>
        </w:rPr>
        <w:t xml:space="preserve">. </w:t>
      </w:r>
      <w:bookmarkStart w:id="34" w:name="Bookmark_I683PK9V28T5240010000400"/>
      <w:bookmarkEnd w:id="34"/>
      <w:r>
        <w:rPr>
          <w:rFonts w:ascii="arial" w:eastAsia="arial" w:hAnsi="arial" w:cs="arial"/>
          <w:b w:val="0"/>
          <w:i w:val="0"/>
          <w:strike w:val="0"/>
          <w:noProof w:val="0"/>
          <w:color w:val="000000"/>
          <w:position w:val="0"/>
          <w:sz w:val="20"/>
          <w:u w:val="none"/>
          <w:vertAlign w:val="baseline"/>
        </w:rPr>
        <w:t xml:space="preserve">Further, the agent observed Moreno driving closely behind another agent's vehicle that was pursuing another car on an otherwise empty highway, which is contrary to the behavior of "a typical driver [who] would give a law enforcement vehicle space." </w:t>
      </w:r>
      <w:r>
        <w:rPr>
          <w:rFonts w:ascii="arial" w:eastAsia="arial" w:hAnsi="arial" w:cs="arial"/>
          <w:b w:val="0"/>
          <w:i/>
          <w:strike w:val="0"/>
          <w:noProof w:val="0"/>
          <w:color w:val="000000"/>
          <w:position w:val="0"/>
          <w:sz w:val="20"/>
          <w:u w:val="none"/>
          <w:vertAlign w:val="baseline"/>
        </w:rPr>
        <w:t xml:space="preserve">See </w:t>
      </w:r>
      <w:bookmarkStart w:id="35" w:name="Bookmark_I683PK9V28T5220030000400"/>
      <w:bookmarkEnd w:id="35"/>
      <w:hyperlink r:id="rId16" w:history="1">
        <w:r>
          <w:rPr>
            <w:rFonts w:ascii="arial" w:eastAsia="arial" w:hAnsi="arial" w:cs="arial"/>
            <w:b w:val="0"/>
            <w:i/>
            <w:strike w:val="0"/>
            <w:noProof w:val="0"/>
            <w:color w:val="0077CC"/>
            <w:position w:val="0"/>
            <w:sz w:val="20"/>
            <w:u w:val="single"/>
            <w:vertAlign w:val="baseline"/>
          </w:rPr>
          <w:t>United States v. Diaz-Juarez</w:t>
        </w:r>
      </w:hyperlink>
      <w:hyperlink r:id="rId16" w:history="1">
        <w:r>
          <w:rPr>
            <w:rFonts w:ascii="arial" w:eastAsia="arial" w:hAnsi="arial" w:cs="arial"/>
            <w:b w:val="0"/>
            <w:i/>
            <w:strike w:val="0"/>
            <w:noProof w:val="0"/>
            <w:color w:val="0077CC"/>
            <w:position w:val="0"/>
            <w:sz w:val="20"/>
            <w:u w:val="single"/>
            <w:vertAlign w:val="baseline"/>
          </w:rPr>
          <w:t>, 299 F.3d 1138, 1142 (9th Cir. 2002)</w:t>
        </w:r>
      </w:hyperlink>
      <w:r>
        <w:rPr>
          <w:rFonts w:ascii="arial" w:eastAsia="arial" w:hAnsi="arial" w:cs="arial"/>
          <w:b w:val="0"/>
          <w:i w:val="0"/>
          <w:strike w:val="0"/>
          <w:noProof w:val="0"/>
          <w:color w:val="000000"/>
          <w:position w:val="0"/>
          <w:sz w:val="20"/>
          <w:u w:val="none"/>
          <w:vertAlign w:val="baseline"/>
        </w:rPr>
        <w:t xml:space="preserve"> (finding reasonable suspicion based on a driver's "unusual car and driving behavior"). </w:t>
      </w:r>
      <w:bookmarkStart w:id="36" w:name="Bookmark_I683PK9V28T5240010000400_2"/>
      <w:bookmarkEnd w:id="36"/>
      <w:r>
        <w:rPr>
          <w:rFonts w:ascii="arial" w:eastAsia="arial" w:hAnsi="arial" w:cs="arial"/>
          <w:b w:val="0"/>
          <w:i w:val="0"/>
          <w:strike w:val="0"/>
          <w:noProof w:val="0"/>
          <w:color w:val="000000"/>
          <w:position w:val="0"/>
          <w:sz w:val="20"/>
          <w:u w:val="none"/>
          <w:vertAlign w:val="baseline"/>
        </w:rPr>
        <w:t xml:space="preserve">Finally, the agent received notice of a Treasury Enforcement Communications System ("TECS") alert attached to Moreno and her vehicle for previous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activity just two weeks prior. </w:t>
      </w:r>
      <w:r>
        <w:rPr>
          <w:rFonts w:ascii="arial" w:eastAsia="arial" w:hAnsi="arial" w:cs="arial"/>
          <w:b w:val="0"/>
          <w:i/>
          <w:strike w:val="0"/>
          <w:noProof w:val="0"/>
          <w:color w:val="000000"/>
          <w:position w:val="0"/>
          <w:sz w:val="20"/>
          <w:u w:val="none"/>
          <w:vertAlign w:val="baseline"/>
        </w:rPr>
        <w:t xml:space="preserve">See </w:t>
      </w:r>
      <w:bookmarkStart w:id="37" w:name="Bookmark_I683PK9V28T5220050000400"/>
      <w:bookmarkEnd w:id="37"/>
      <w:hyperlink r:id="rId17" w:history="1">
        <w:r>
          <w:rPr>
            <w:rFonts w:ascii="arial" w:eastAsia="arial" w:hAnsi="arial" w:cs="arial"/>
            <w:b w:val="0"/>
            <w:i/>
            <w:strike w:val="0"/>
            <w:noProof w:val="0"/>
            <w:color w:val="0077CC"/>
            <w:position w:val="0"/>
            <w:sz w:val="20"/>
            <w:u w:val="single"/>
            <w:vertAlign w:val="baseline"/>
          </w:rPr>
          <w:t>United States v. Cotterman</w:t>
        </w:r>
      </w:hyperlink>
      <w:hyperlink r:id="rId17" w:history="1">
        <w:r>
          <w:rPr>
            <w:rFonts w:ascii="arial" w:eastAsia="arial" w:hAnsi="arial" w:cs="arial"/>
            <w:b w:val="0"/>
            <w:i/>
            <w:strike w:val="0"/>
            <w:noProof w:val="0"/>
            <w:color w:val="0077CC"/>
            <w:position w:val="0"/>
            <w:sz w:val="20"/>
            <w:u w:val="single"/>
            <w:vertAlign w:val="baseline"/>
          </w:rPr>
          <w:t>, 709 F.3d 952, 968 (9th Cir. 2013)</w:t>
        </w:r>
      </w:hyperlink>
      <w:r>
        <w:rPr>
          <w:rFonts w:ascii="arial" w:eastAsia="arial" w:hAnsi="arial" w:cs="arial"/>
          <w:b w:val="0"/>
          <w:i w:val="0"/>
          <w:strike w:val="0"/>
          <w:noProof w:val="0"/>
          <w:color w:val="000000"/>
          <w:position w:val="0"/>
          <w:sz w:val="20"/>
          <w:u w:val="none"/>
          <w:vertAlign w:val="baseline"/>
        </w:rPr>
        <w:t xml:space="preserve"> (en banc) (finding reasonable suspicion based on a TECS alert).</w:t>
      </w:r>
    </w:p>
    <w:p>
      <w:pPr>
        <w:keepNext w:val="0"/>
        <w:spacing w:before="240" w:after="0" w:line="260" w:lineRule="atLeast"/>
        <w:ind w:left="0" w:right="0" w:firstLine="0"/>
        <w:jc w:val="both"/>
      </w:pPr>
      <w:bookmarkStart w:id="38" w:name="Bookmark_para_6"/>
      <w:bookmarkEnd w:id="38"/>
      <w:bookmarkStart w:id="39" w:name="Bookmark_I683PK9V28T5240030000400"/>
      <w:bookmarkEnd w:id="39"/>
      <w:r>
        <w:rPr>
          <w:rFonts w:ascii="arial" w:eastAsia="arial" w:hAnsi="arial" w:cs="arial"/>
          <w:b w:val="0"/>
          <w:i w:val="0"/>
          <w:strike w:val="0"/>
          <w:noProof w:val="0"/>
          <w:color w:val="000000"/>
          <w:position w:val="0"/>
          <w:sz w:val="20"/>
          <w:u w:val="none"/>
          <w:vertAlign w:val="baseline"/>
        </w:rPr>
        <w:t>The district court also did not clearly err in making these factual determinations. The district court adopted the magistrate judge's report and recommendation,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which had relied on the agent's testimony after finding him credible and "quite knowledgeable about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investigations." Although Moreno contends that the district court clearly erred in relying on the agent's mistaken assumption about the fastest route to Green Valley, the mistake was not unreasonable given that the discrepancy between the two routes was only two minutes. </w:t>
      </w:r>
      <w:r>
        <w:rPr>
          <w:rFonts w:ascii="arial" w:eastAsia="arial" w:hAnsi="arial" w:cs="arial"/>
          <w:b w:val="0"/>
          <w:i/>
          <w:strike w:val="0"/>
          <w:noProof w:val="0"/>
          <w:color w:val="000000"/>
          <w:position w:val="0"/>
          <w:sz w:val="20"/>
          <w:u w:val="none"/>
          <w:vertAlign w:val="baseline"/>
        </w:rPr>
        <w:t xml:space="preserve">See </w:t>
      </w:r>
      <w:bookmarkStart w:id="40" w:name="Bookmark_I683PK9V28T5240020000400"/>
      <w:bookmarkEnd w:id="40"/>
      <w:hyperlink r:id="rId18" w:history="1">
        <w:r>
          <w:rPr>
            <w:rFonts w:ascii="arial" w:eastAsia="arial" w:hAnsi="arial" w:cs="arial"/>
            <w:b w:val="0"/>
            <w:i/>
            <w:strike w:val="0"/>
            <w:noProof w:val="0"/>
            <w:color w:val="0077CC"/>
            <w:position w:val="0"/>
            <w:sz w:val="20"/>
            <w:u w:val="single"/>
            <w:vertAlign w:val="baseline"/>
          </w:rPr>
          <w:t>United States v. Dorais</w:t>
        </w:r>
      </w:hyperlink>
      <w:hyperlink r:id="rId18" w:history="1">
        <w:r>
          <w:rPr>
            <w:rFonts w:ascii="arial" w:eastAsia="arial" w:hAnsi="arial" w:cs="arial"/>
            <w:b w:val="0"/>
            <w:i/>
            <w:strike w:val="0"/>
            <w:noProof w:val="0"/>
            <w:color w:val="0077CC"/>
            <w:position w:val="0"/>
            <w:sz w:val="20"/>
            <w:u w:val="single"/>
            <w:vertAlign w:val="baseline"/>
          </w:rPr>
          <w:t>, 241 F.3d 1124, 1127, 1130-31 (9th Cir. 2001)</w:t>
        </w:r>
      </w:hyperlink>
      <w:r>
        <w:rPr>
          <w:rFonts w:ascii="arial" w:eastAsia="arial" w:hAnsi="arial" w:cs="arial"/>
          <w:b w:val="0"/>
          <w:i w:val="0"/>
          <w:strike w:val="0"/>
          <w:noProof w:val="0"/>
          <w:color w:val="000000"/>
          <w:position w:val="0"/>
          <w:sz w:val="20"/>
          <w:u w:val="none"/>
          <w:vertAlign w:val="baseline"/>
        </w:rPr>
        <w:t xml:space="preserve"> (finding the police's mistake that a rental car was overdue reasonable, even though the car was not due for about another eight hours).</w:t>
      </w:r>
    </w:p>
    <w:p>
      <w:pPr>
        <w:keepNext w:val="0"/>
        <w:spacing w:before="240" w:after="0" w:line="260" w:lineRule="atLeast"/>
        <w:ind w:left="0" w:right="0" w:firstLine="0"/>
        <w:jc w:val="both"/>
      </w:pPr>
      <w:bookmarkStart w:id="41" w:name="Bookmark_para_7"/>
      <w:bookmarkEnd w:id="41"/>
      <w:bookmarkStart w:id="42" w:name="Bookmark_I683PK9V28T5240050000400"/>
      <w:bookmarkEnd w:id="42"/>
      <w:r>
        <w:rPr>
          <w:rFonts w:ascii="arial" w:eastAsia="arial" w:hAnsi="arial" w:cs="arial"/>
          <w:b w:val="0"/>
          <w:i w:val="0"/>
          <w:strike w:val="0"/>
          <w:noProof w:val="0"/>
          <w:color w:val="000000"/>
          <w:position w:val="0"/>
          <w:sz w:val="20"/>
          <w:u w:val="none"/>
          <w:vertAlign w:val="baseline"/>
        </w:rPr>
        <w:t xml:space="preserve">Even if we were to find the other factors that Moreno challenged in her brief less probative than the district court did, the totality of the circumstances still supports a finding of reasonable suspicion. </w:t>
      </w:r>
      <w:r>
        <w:rPr>
          <w:rFonts w:ascii="arial" w:eastAsia="arial" w:hAnsi="arial" w:cs="arial"/>
          <w:b w:val="0"/>
          <w:i/>
          <w:strike w:val="0"/>
          <w:noProof w:val="0"/>
          <w:color w:val="000000"/>
          <w:position w:val="0"/>
          <w:sz w:val="20"/>
          <w:u w:val="none"/>
          <w:vertAlign w:val="baseline"/>
        </w:rPr>
        <w:t xml:space="preserve">See </w:t>
      </w:r>
      <w:bookmarkStart w:id="43" w:name="Bookmark_I683PK9V28T5240040000400"/>
      <w:bookmarkEnd w:id="43"/>
      <w:hyperlink r:id="rId19" w:history="1">
        <w:r>
          <w:rPr>
            <w:rFonts w:ascii="arial" w:eastAsia="arial" w:hAnsi="arial" w:cs="arial"/>
            <w:b w:val="0"/>
            <w:i/>
            <w:strike w:val="0"/>
            <w:noProof w:val="0"/>
            <w:color w:val="0077CC"/>
            <w:position w:val="0"/>
            <w:sz w:val="20"/>
            <w:u w:val="single"/>
            <w:vertAlign w:val="baseline"/>
          </w:rPr>
          <w:t>United States v. Arvizu</w:t>
        </w:r>
      </w:hyperlink>
      <w:hyperlink r:id="rId19" w:history="1">
        <w:r>
          <w:rPr>
            <w:rFonts w:ascii="arial" w:eastAsia="arial" w:hAnsi="arial" w:cs="arial"/>
            <w:b w:val="0"/>
            <w:i/>
            <w:strike w:val="0"/>
            <w:noProof w:val="0"/>
            <w:color w:val="0077CC"/>
            <w:position w:val="0"/>
            <w:sz w:val="20"/>
            <w:u w:val="single"/>
            <w:vertAlign w:val="baseline"/>
          </w:rPr>
          <w:t>, 534 U.S. 266, 274, 122 S. Ct. 744, 151 L. Ed. 2d 740 (2002)</w:t>
        </w:r>
      </w:hyperlink>
      <w:r>
        <w:rPr>
          <w:rFonts w:ascii="arial" w:eastAsia="arial" w:hAnsi="arial" w:cs="arial"/>
          <w:b w:val="0"/>
          <w:i w:val="0"/>
          <w:strike w:val="0"/>
          <w:noProof w:val="0"/>
          <w:color w:val="000000"/>
          <w:position w:val="0"/>
          <w:sz w:val="20"/>
          <w:u w:val="none"/>
          <w:vertAlign w:val="baseline"/>
        </w:rPr>
        <w:t xml:space="preserve"> (holding that the reasonable suspicion analysis precludes a "divide-and-conquer" approach in which the court gives no weight to a factor that is "by itself readily susceptible to an innocent explanation"). Thus, we affirm the district court's denial of the motion to suppress.</w:t>
      </w:r>
    </w:p>
    <w:p>
      <w:pPr>
        <w:keepNext w:val="0"/>
        <w:spacing w:before="200" w:after="0" w:line="260" w:lineRule="atLeast"/>
        <w:ind w:left="0" w:right="0" w:firstLine="0"/>
        <w:jc w:val="both"/>
      </w:pPr>
      <w:bookmarkStart w:id="44" w:name="Bookmark_para_8"/>
      <w:bookmarkEnd w:id="44"/>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0" w:name="Bookmark_fnpara_1"/>
      <w:bookmarkEnd w:id="0"/>
      <w:r>
        <w:rPr>
          <w:rFonts w:ascii="arial" w:eastAsia="arial" w:hAnsi="arial" w:cs="arial"/>
          <w:b w:val="0"/>
          <w:i w:val="0"/>
          <w:strike w:val="0"/>
          <w:noProof w:val="0"/>
          <w:color w:val="000000"/>
          <w:position w:val="0"/>
          <w:sz w:val="18"/>
          <w:u w:val="none"/>
          <w:vertAlign w:val="baseline"/>
        </w:rPr>
        <w:t>The panel unanimously concludes this case is suitable for decision without oral argument. See Fed. R. App. P. 34(a)(2).</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2" w:name="Bookmark_fnpara_2"/>
      <w:bookmarkEnd w:id="12"/>
      <w:r>
        <w:rPr>
          <w:rFonts w:ascii="arial" w:eastAsia="arial" w:hAnsi="arial" w:cs="arial"/>
          <w:b w:val="0"/>
          <w:i w:val="0"/>
          <w:strike w:val="0"/>
          <w:noProof w:val="0"/>
          <w:color w:val="000000"/>
          <w:position w:val="0"/>
          <w:sz w:val="18"/>
          <w:u w:val="none"/>
          <w:vertAlign w:val="baseline"/>
        </w:rPr>
        <w:t>The Honorable M. Miller Baker, Judge for the United States Court of International Trade, sitting by designation.</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4" w:name="Bookmark_fnpara_3"/>
      <w:bookmarkEnd w:id="14"/>
      <w:r>
        <w:rPr>
          <w:rFonts w:ascii="arial" w:eastAsia="arial" w:hAnsi="arial" w:cs="arial"/>
          <w:b w:val="0"/>
          <w:i w:val="0"/>
          <w:strike w:val="0"/>
          <w:noProof w:val="0"/>
          <w:color w:val="000000"/>
          <w:position w:val="0"/>
          <w:sz w:val="18"/>
          <w:u w:val="none"/>
          <w:vertAlign w:val="baseline"/>
        </w:rPr>
        <w:t xml:space="preserve">This disposition is not appropriate for publication and is not precedent except as provided by </w:t>
      </w:r>
      <w:hyperlink r:id="rId1" w:history="1">
        <w:r>
          <w:rPr>
            <w:rFonts w:ascii="arial" w:eastAsia="arial" w:hAnsi="arial" w:cs="arial"/>
            <w:b w:val="0"/>
            <w:i/>
            <w:strike w:val="0"/>
            <w:noProof w:val="0"/>
            <w:color w:val="0077CC"/>
            <w:position w:val="0"/>
            <w:sz w:val="18"/>
            <w:u w:val="single"/>
            <w:vertAlign w:val="baseline"/>
          </w:rPr>
          <w:t>Ninth Circuit Rule 36-3</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Moreno, 2023 U.S. App. LEXIS 9422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0N4-GX41-JJ6S-64N2-00000-00&amp;context=1519360" TargetMode="External" /><Relationship Id="rId11" Type="http://schemas.openxmlformats.org/officeDocument/2006/relationships/hyperlink" Target="https://advance.lexis.com/api/document?collection=statutes-legislation&amp;id=urn:contentItem:8S6M-T0S2-D6RV-H49T-00000-00&amp;context=1519360" TargetMode="External" /><Relationship Id="rId12" Type="http://schemas.openxmlformats.org/officeDocument/2006/relationships/hyperlink" Target="https://advance.lexis.com/api/document?collection=cases&amp;id=urn:contentItem:6129-PK31-FH4C-X0B7-00000-00&amp;context=1519360" TargetMode="External" /><Relationship Id="rId13" Type="http://schemas.openxmlformats.org/officeDocument/2006/relationships/hyperlink" Target="https://advance.lexis.com/api/document?collection=cases&amp;id=urn:contentItem:5B4D-53V1-F04K-V3JM-00000-00&amp;context=1519360" TargetMode="External" /><Relationship Id="rId14" Type="http://schemas.openxmlformats.org/officeDocument/2006/relationships/hyperlink" Target="https://advance.lexis.com/api/document?collection=statutes-legislation&amp;id=urn:contentItem:8SG9-5HW2-D6RV-H0FT-00000-00&amp;context=1519360" TargetMode="External" /><Relationship Id="rId15" Type="http://schemas.openxmlformats.org/officeDocument/2006/relationships/hyperlink" Target="https://advance.lexis.com/api/document?collection=statutes-legislation&amp;id=urn:contentItem:8T9R-T3H2-D6RV-H37G-00000-00&amp;context=1519360" TargetMode="External" /><Relationship Id="rId16" Type="http://schemas.openxmlformats.org/officeDocument/2006/relationships/hyperlink" Target="https://advance.lexis.com/api/document?collection=cases&amp;id=urn:contentItem:46HN-VBF0-0038-X143-00000-00&amp;context=1519360" TargetMode="External" /><Relationship Id="rId17" Type="http://schemas.openxmlformats.org/officeDocument/2006/relationships/hyperlink" Target="https://advance.lexis.com/api/document?collection=cases&amp;id=urn:contentItem:57XB-MN91-F04K-V24K-00000-00&amp;context=1519360" TargetMode="External" /><Relationship Id="rId18" Type="http://schemas.openxmlformats.org/officeDocument/2006/relationships/hyperlink" Target="https://advance.lexis.com/api/document?collection=cases&amp;id=urn:contentItem:42GC-M2N0-0038-X4MX-00000-00&amp;context=1519360" TargetMode="External" /><Relationship Id="rId19" Type="http://schemas.openxmlformats.org/officeDocument/2006/relationships/hyperlink" Target="https://advance.lexis.com/api/document?collection=cases&amp;id=urn:contentItem:44XD-1FR0-004C-101T-00000-00&amp;context=1519360" TargetMode="External" /><Relationship Id="rId2" Type="http://schemas.openxmlformats.org/officeDocument/2006/relationships/settings" Target="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29-29D1-JKHB-63GJ-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KYR-5452-D6RV-H4P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Moreno, 2023 U.S. App. LEXIS 9422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79</vt:lpwstr>
  </property>
  <property fmtid="{D5CDD505-2E9C-101B-9397-08002B2CF9AE}" pid="3" name="LADocCount">
    <vt:lpwstr>1</vt:lpwstr>
  </property>
  <property fmtid="{D5CDD505-2E9C-101B-9397-08002B2CF9AE}" pid="4" name="LADocumentID:79">
    <vt:lpwstr>Doc::urn:hlct:5|contextualFeaturePermID::1519360</vt:lpwstr>
  </property>
  <property fmtid="{D5CDD505-2E9C-101B-9397-08002B2CF9AE}" pid="5" name="UserPermID">
    <vt:lpwstr>urn:user:PA186186280</vt:lpwstr>
  </property>
</Properties>
</file>