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Macon-Bibb Cnty. v. Green Meadows Hous. Partners, LP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Georgia, Bibb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Decided; October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File No. 2023-CV-079261</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Ga. Super. LEXIS 3250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MACON-BIBB COUNTY, Plaintiff, v. GREEN MEADOWS HOUSING PARTNERS, LP d/b/a GREEN MEADOWS TOWNHOMES; GREEN MEADOES HOUSING MANAGEMENT, LLC; and VITUS DEVELOPMENT IV, LLC,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responded, residents, public nuisance, tenants, recorded, apartment, abate, shot, arrived, law enforcement, appointment of a receiver, apartment complex, ex parte order, security guard, parties, fired, lease, scene, affordable housing, criminal activity, abatement order, receiver, housing, roughly, parte, shoot</w:t>
      </w:r>
    </w:p>
    <w:p>
      <w:pPr>
        <w:keepNext w:val="0"/>
        <w:spacing w:before="240" w:after="0" w:line="260" w:lineRule="atLeast"/>
        <w:ind w:left="0" w:right="0" w:firstLine="0"/>
        <w:jc w:val="left"/>
      </w:pPr>
      <w:bookmarkStart w:id="3" w:name="Judges"/>
      <w:bookmarkEnd w:id="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CONNIE L. WILLIFORD, Judge.</w:t>
      </w:r>
    </w:p>
    <w:p>
      <w:pPr>
        <w:keepNext w:val="0"/>
        <w:spacing w:before="240" w:after="0" w:line="260" w:lineRule="atLeast"/>
        <w:ind w:left="0" w:right="0" w:firstLine="0"/>
        <w:jc w:val="left"/>
      </w:pPr>
      <w:bookmarkStart w:id="4" w:name="Opinion by"/>
      <w:bookmarkEnd w:id="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CONNIE L. WILLIFORD</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ON DEFENDANTS' MOTION TO VACATE ABATEMENT ORDER AND TO DISSOLVE RECEIVERSHIP OR, IN THE ALTERNATIVE, TO STAY ORDER PENDING APPEAL</w:t>
      </w:r>
    </w:p>
    <w:p>
      <w:pPr>
        <w:keepNext w:val="0"/>
        <w:spacing w:before="200" w:after="0" w:line="260" w:lineRule="atLeast"/>
        <w:ind w:left="0" w:right="0" w:firstLine="0"/>
        <w:jc w:val="both"/>
      </w:pPr>
      <w:bookmarkStart w:id="6" w:name="Bookmark_para_1"/>
      <w:bookmarkEnd w:id="6"/>
      <w:r>
        <w:rPr>
          <w:rFonts w:ascii="arial" w:eastAsia="arial" w:hAnsi="arial" w:cs="arial"/>
          <w:b w:val="0"/>
          <w:i w:val="0"/>
          <w:strike w:val="0"/>
          <w:noProof w:val="0"/>
          <w:color w:val="000000"/>
          <w:position w:val="0"/>
          <w:sz w:val="20"/>
          <w:u w:val="none"/>
          <w:vertAlign w:val="baseline"/>
        </w:rPr>
        <w:t xml:space="preserve">This matter came before the Court on September 18, 2023 for a hearing on Defendants' </w:t>
      </w:r>
      <w:r>
        <w:rPr>
          <w:rFonts w:ascii="arial" w:eastAsia="arial" w:hAnsi="arial" w:cs="arial"/>
          <w:b w:val="0"/>
          <w:i/>
          <w:strike w:val="0"/>
          <w:noProof w:val="0"/>
          <w:color w:val="000000"/>
          <w:position w:val="0"/>
          <w:sz w:val="20"/>
          <w:u w:val="none"/>
          <w:vertAlign w:val="baseline"/>
        </w:rPr>
        <w:t>Emergency Motion to Vacate Abatement Order and to Dissolve Receivership or, In the Alternative, to Stay Order Pending Appeal</w:t>
      </w:r>
      <w:r>
        <w:rPr>
          <w:rFonts w:ascii="arial" w:eastAsia="arial" w:hAnsi="arial" w:cs="arial"/>
          <w:b w:val="0"/>
          <w:i w:val="0"/>
          <w:strike w:val="0"/>
          <w:noProof w:val="0"/>
          <w:color w:val="000000"/>
          <w:position w:val="0"/>
          <w:sz w:val="20"/>
          <w:u w:val="none"/>
          <w:vertAlign w:val="baseline"/>
        </w:rPr>
        <w:t xml:space="preserve"> (the "Motion"). Plaintiff was represented by K. David Cooke, Jr. and Michael J. McNeill. Defendants were represented by Charles E. Peeler, Cameron B. Roberts, and Michael L. Eber. For the reasons that follow, the Court hereby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w:t>
      </w:r>
    </w:p>
    <w:p>
      <w:pPr>
        <w:keepNext w:val="0"/>
        <w:spacing w:before="200" w:after="0" w:line="260" w:lineRule="atLeast"/>
        <w:ind w:left="0" w:right="0" w:firstLine="0"/>
        <w:jc w:val="both"/>
      </w:pPr>
      <w:bookmarkStart w:id="7" w:name="Bookmark_para_2"/>
      <w:bookmarkEnd w:id="7"/>
      <w:r>
        <w:rPr>
          <w:rFonts w:ascii="arial" w:eastAsia="arial" w:hAnsi="arial" w:cs="arial"/>
          <w:b/>
          <w:i w:val="0"/>
          <w:strike w:val="0"/>
          <w:noProof w:val="0"/>
          <w:color w:val="000000"/>
          <w:position w:val="0"/>
          <w:sz w:val="20"/>
          <w:u w:val="none"/>
          <w:vertAlign w:val="baseline"/>
        </w:rPr>
        <w:t>I. PROCEDURAL HISTORY</w:t>
      </w:r>
    </w:p>
    <w:p>
      <w:pPr>
        <w:keepNext w:val="0"/>
        <w:spacing w:before="20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Plaintiff filed this public nuisance action against Defendants on August 4, 2023, alleging that the property located at 3317 Hollingsworth Road, Macon, Bibb County, Georgia 31210 (hereafter, "Green Meadows" or the "Property") is a public nuisance due to a voluminous record of violent criminal activity that has continuously occurred at Green Meadows during Defendants' ownership and control of the Property. Plaintiff requested, among other relief, that the Court enter an ex parte order to abate the public nuisance and appoint a receiver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manage and oversee the operation of Green Meadows. On the date of filing, Senior Judge G. Bryant Culpepper was presiding in Bibb County for the purposes of hearing ex parte complaints filed in Bibb County Superior Court, among other duties. In an ex parte meeting, Plaintiff presented Judge Culpepper with its </w:t>
      </w:r>
      <w:r>
        <w:rPr>
          <w:rFonts w:ascii="arial" w:eastAsia="arial" w:hAnsi="arial" w:cs="arial"/>
          <w:b w:val="0"/>
          <w:i/>
          <w:strike w:val="0"/>
          <w:noProof w:val="0"/>
          <w:color w:val="000000"/>
          <w:position w:val="0"/>
          <w:sz w:val="20"/>
          <w:u w:val="none"/>
          <w:vertAlign w:val="baseline"/>
        </w:rPr>
        <w:t>Verified Complaint to Abate Public Nuisance and for Injunctive Relief (the</w:t>
      </w:r>
      <w:r>
        <w:rPr>
          <w:rFonts w:ascii="arial" w:eastAsia="arial" w:hAnsi="arial" w:cs="arial"/>
          <w:b w:val="0"/>
          <w:i w:val="0"/>
          <w:strike w:val="0"/>
          <w:noProof w:val="0"/>
          <w:color w:val="000000"/>
          <w:position w:val="0"/>
          <w:sz w:val="20"/>
          <w:u w:val="none"/>
          <w:vertAlign w:val="baseline"/>
        </w:rPr>
        <w:t xml:space="preserve"> "Complaint"), supporting documentary evidence, and testimony from Sergeant Santel Smith ("Sgt. Smith") of the Bibb County Sheriff's Office ("BCSO"). Judge Culpepper entered an </w:t>
      </w:r>
      <w:r>
        <w:rPr>
          <w:rFonts w:ascii="arial" w:eastAsia="arial" w:hAnsi="arial" w:cs="arial"/>
          <w:b w:val="0"/>
          <w:i/>
          <w:strike w:val="0"/>
          <w:noProof w:val="0"/>
          <w:color w:val="000000"/>
          <w:position w:val="0"/>
          <w:sz w:val="20"/>
          <w:u w:val="none"/>
          <w:vertAlign w:val="baseline"/>
        </w:rPr>
        <w:t>Order to Abate Nuisance and Appointing Receiver</w:t>
      </w:r>
      <w:r>
        <w:rPr>
          <w:rFonts w:ascii="arial" w:eastAsia="arial" w:hAnsi="arial" w:cs="arial"/>
          <w:b w:val="0"/>
          <w:i w:val="0"/>
          <w:strike w:val="0"/>
          <w:noProof w:val="0"/>
          <w:color w:val="000000"/>
          <w:position w:val="0"/>
          <w:sz w:val="20"/>
          <w:u w:val="none"/>
          <w:vertAlign w:val="baseline"/>
        </w:rPr>
        <w:t xml:space="preserve"> (the "ex parte Order") on August 4, 2023. This case was later assigned to the undersigned judge.</w:t>
      </w:r>
    </w:p>
    <w:p>
      <w:pPr>
        <w:keepNext w:val="0"/>
        <w:spacing w:before="20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 xml:space="preserve">On September 5, 2023, the undersigned became aware of Defendants' Motion, filed September 1, 2023, when counsel for Defendants emailed the Court's staff requesting that the Court hear oral arguments on the Motion on September 11th, 13th, or 14th. Defendants had also filed a </w:t>
      </w:r>
      <w:r>
        <w:rPr>
          <w:rFonts w:ascii="arial" w:eastAsia="arial" w:hAnsi="arial" w:cs="arial"/>
          <w:b w:val="0"/>
          <w:i/>
          <w:strike w:val="0"/>
          <w:noProof w:val="0"/>
          <w:color w:val="000000"/>
          <w:position w:val="0"/>
          <w:sz w:val="20"/>
          <w:u w:val="none"/>
          <w:vertAlign w:val="baseline"/>
        </w:rPr>
        <w:t>Notice of Appeal</w:t>
      </w:r>
      <w:r>
        <w:rPr>
          <w:rFonts w:ascii="arial" w:eastAsia="arial" w:hAnsi="arial" w:cs="arial"/>
          <w:b w:val="0"/>
          <w:i w:val="0"/>
          <w:strike w:val="0"/>
          <w:noProof w:val="0"/>
          <w:color w:val="000000"/>
          <w:position w:val="0"/>
          <w:sz w:val="20"/>
          <w:u w:val="none"/>
          <w:vertAlign w:val="baseline"/>
        </w:rPr>
        <w:t xml:space="preserve"> on September 1, 2023, appealing the entry of the ex parte Order to the Court of Appeals of Georgia. The Court held a phone conference on September 6, 2023 with counsel for the parties to address the threshold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issue of the court's jurisdiction to hold a hearing while Defendants' </w:t>
      </w:r>
      <w:r>
        <w:rPr>
          <w:rFonts w:ascii="arial" w:eastAsia="arial" w:hAnsi="arial" w:cs="arial"/>
          <w:b w:val="0"/>
          <w:i/>
          <w:strike w:val="0"/>
          <w:noProof w:val="0"/>
          <w:color w:val="000000"/>
          <w:position w:val="0"/>
          <w:sz w:val="20"/>
          <w:u w:val="none"/>
          <w:vertAlign w:val="baseline"/>
        </w:rPr>
        <w:t>Notice of Appeal</w:t>
      </w:r>
      <w:r>
        <w:rPr>
          <w:rFonts w:ascii="arial" w:eastAsia="arial" w:hAnsi="arial" w:cs="arial"/>
          <w:b w:val="0"/>
          <w:i w:val="0"/>
          <w:strike w:val="0"/>
          <w:noProof w:val="0"/>
          <w:color w:val="000000"/>
          <w:position w:val="0"/>
          <w:sz w:val="20"/>
          <w:u w:val="none"/>
          <w:vertAlign w:val="baseline"/>
        </w:rPr>
        <w:t xml:space="preserve"> was pending. After hearing brief oral arguments via phone conference, the Court decided to hold an in-person hearing, and scheduled the hearing for the earliest possible date that was agreeable to all parties, September 18, 2023,</w:t>
      </w:r>
    </w:p>
    <w:p>
      <w:pPr>
        <w:keepNext w:val="0"/>
        <w:spacing w:before="200" w:after="0" w:line="260" w:lineRule="atLeast"/>
        <w:ind w:left="0" w:right="0" w:firstLine="0"/>
        <w:jc w:val="both"/>
      </w:pPr>
      <w:bookmarkStart w:id="10" w:name="Bookmark_para_5"/>
      <w:bookmarkEnd w:id="10"/>
      <w:r>
        <w:rPr>
          <w:rFonts w:ascii="arial" w:eastAsia="arial" w:hAnsi="arial" w:cs="arial"/>
          <w:b/>
          <w:i w:val="0"/>
          <w:strike w:val="0"/>
          <w:noProof w:val="0"/>
          <w:color w:val="000000"/>
          <w:position w:val="0"/>
          <w:sz w:val="20"/>
          <w:u w:val="none"/>
          <w:vertAlign w:val="baseline"/>
        </w:rPr>
        <w:t>II. FINDINGS OF FACT</w:t>
      </w:r>
    </w:p>
    <w:p>
      <w:pPr>
        <w:keepNext w:val="0"/>
        <w:spacing w:before="20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Sgt. Smith testified that he has been a crime analyst for BCSO for the last four years. Sgt. Smith obtained a doctorate in criminology, with his dissertation topic being a quantitative analysis of homicides in Macon-Bibb County. Sgt. Smith has been employed as a law enforcement officer in Bibb County since he was hired in 2010 as a patrol officer for the Macon Police Department. He was automatically transferred to BCSO in 2014 when the City of Macon and Bibb County governments consolidated. Over his years of service in law enforcement, Sgt. Smith has been involved in community outreach, has been assigned to the gang, property, and violent crimes unit, and has served as an administrative analyst. In conjunction with analyzing crime data in his present role, Sgt. Smith considers future manpower issues and budgetary goals of BCSO and makes recommendations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how to allocate resources and respond to crime. As part of his job, Sgt. Smith stays up to date on literature concerning how to respond to crime. Sgt. Smith testified that he was aware of a 2018 study published by the Department of Justice which looked at how law enforcement might address crime as a nuisance. After being recognized as an expert witness in crime analysis, Sgt. Smith testified as follows:</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Green Meadows is an apartment complex consisting of 120 units and roughly 308 residents. Green Meadows is located inside the Bellvue Community of Macon, which has an estimated population of 1,213 residents. The per capita crime rates in the area for 2021 and 2022 are as follows: (1) Macon-Bibb County: 19,617 incidents per 100,000 citizens (or 0.19617); (2) Bellvue Community: 20,445 incidents per 100,000 citizens (or 0.20445); (3) Green Meadows: 39,610 incidents per 100,000 citizens (or 0.39610). The per capita crime rate for 2023 in these areas so far follow a similar trend. Citizens who reside at or visit Green Meadows are roughly twice as likely to be a crime victim than anyone else in Bibb County. According to the per capita crime rate, Green Meadows is the most dangerous apartment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complex in Bibb County.</w:t>
      </w:r>
    </w:p>
    <w:p>
      <w:pPr>
        <w:keepNext w:val="0"/>
        <w:spacing w:before="200" w:after="0" w:line="260" w:lineRule="atLeast"/>
        <w:ind w:left="0" w:right="0" w:firstLine="0"/>
        <w:jc w:val="both"/>
      </w:pPr>
      <w:bookmarkStart w:id="13" w:name="Bookmark_para_8"/>
      <w:bookmarkEnd w:id="13"/>
      <w:r>
        <w:rPr>
          <w:rFonts w:ascii="arial" w:eastAsia="arial" w:hAnsi="arial" w:cs="arial"/>
          <w:b w:val="0"/>
          <w:i w:val="0"/>
          <w:strike w:val="0"/>
          <w:noProof w:val="0"/>
          <w:color w:val="000000"/>
          <w:position w:val="0"/>
          <w:sz w:val="20"/>
          <w:u w:val="none"/>
          <w:vertAlign w:val="baseline"/>
        </w:rPr>
        <w:t>In response to the high crime rate, BCSO installed a ShotSpotter system that covers a seven-square-mile area within Bibb County, including the entire Green Meadows premises. ShotSpotter records gunshots, calculates the number of rounds, calculates GPS coordinates based on the location of the shots fired, and pushes this information to law enforcement in real-time. ShotSpotter provides law enforcement with the physical address of the location that is closest to the GPS coordinates within a range of 400 meters. Although ShotSpotter only guarantees the accuracy of its physical addresses within 400 meters of the incident location, Sgt. Smith testified that he regularly responds to scenes using ShotSpotter information and confirmed that the physical addresses are accurate. In the 16-month period after ShotSpotter went live on February 22, 2022, ShotSpotter recorded 144 incidents of gunfire at Green Meadows, with over 580 rounds fired.</w:t>
      </w:r>
    </w:p>
    <w:p>
      <w:pPr>
        <w:keepNext w:val="0"/>
        <w:spacing w:before="200" w:after="0" w:line="260" w:lineRule="atLeast"/>
        <w:ind w:left="0" w:right="0" w:firstLine="0"/>
        <w:jc w:val="both"/>
      </w:pPr>
      <w:bookmarkStart w:id="14" w:name="Bookmark_para_9"/>
      <w:bookmarkEnd w:id="14"/>
      <w:r>
        <w:rPr>
          <w:rFonts w:ascii="arial" w:eastAsia="arial" w:hAnsi="arial" w:cs="arial"/>
          <w:b w:val="0"/>
          <w:i w:val="0"/>
          <w:strike w:val="0"/>
          <w:noProof w:val="0"/>
          <w:color w:val="000000"/>
          <w:position w:val="0"/>
          <w:sz w:val="20"/>
          <w:u w:val="none"/>
          <w:vertAlign w:val="baseline"/>
        </w:rPr>
        <w:t>Sgt. Smith testified that the amount of time law enforcement officers spend on the scene of an incident, the "call time," in Bibb County averages approximately forty-one minutes, but when that incident is at Green Meadows, the average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call time is increased to approximately one hour. Sgt. Smith attributed this difference to his personal observation that there is always a larger crowd of onlookers at Green Meadows than there is at any other apartment complex in Macon. Although it is not uncommon to have some onlookers when responding to an apartment complex, the onlookers at Green Meadows impede the investigations by getting into fights with each other, starting fights with law enforcement, and walking through the crime scene.</w:t>
      </w:r>
    </w:p>
    <w:p>
      <w:pPr>
        <w:keepNext w:val="0"/>
        <w:spacing w:before="200" w:after="0" w:line="260" w:lineRule="atLeast"/>
        <w:ind w:left="0" w:right="0" w:firstLine="0"/>
        <w:jc w:val="both"/>
      </w:pPr>
      <w:bookmarkStart w:id="15" w:name="Bookmark_para_10"/>
      <w:bookmarkEnd w:id="15"/>
      <w:r>
        <w:rPr>
          <w:rFonts w:ascii="arial" w:eastAsia="arial" w:hAnsi="arial" w:cs="arial"/>
          <w:b w:val="0"/>
          <w:i w:val="0"/>
          <w:strike w:val="0"/>
          <w:noProof w:val="0"/>
          <w:color w:val="000000"/>
          <w:position w:val="0"/>
          <w:sz w:val="20"/>
          <w:u w:val="none"/>
          <w:vertAlign w:val="baseline"/>
        </w:rPr>
        <w:t>The evidence showed that the owners of Green Meadows have invested roughly $12.4 million since their acquisition of the Property in 2021 to rehabilitate the existing units and construct several new units. To help deter crime and alleviate the burden on law enforcement, the owners of Green Meadows installed a Watchtower Security camera, which BCSO can access and remotely view at any time. Sgt. Smith testified that he became aware of this Watchtower camera in December of 2022. The owners have also implemented a 9 p.m. curfew, installed license plate readers, blocked one of three entrances into the apartment complex, and have continuously employed private security guards. Despite these efforts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make Green Meadows safer, the following notable incidents have been recorded during only the eight-month period from December of 2022 through July of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On or about December 14, 2022, BCSO investigated a drive-by shooting and murder at Green Meadows. Deputies arrived at Green Meadows to Find the victim face down with what appeared to be a gunshot wound to the back. The case was turned over to investigators. This incident was recorded in Case Number 2022-00109786.</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On or about December 25, 2022, BCSO responded to Green Meadows apartment 9 in reference to shots fired. An investigation revealed that a 13-year-old girl was sitting in her bedroom when a bullet burst through her window. Her mother heard several shots and the glass breaking. The ShotSpotter system recorded six rounds fired, and confirmed that they originated at 3317 Hollingsworth Rd, the listed address for Green Meadows. No suspects were located. This incident was recorded in Case Number 2022-00113004.</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On or about January 2, 2023, BCSO responded to a report of a shooting at Green Meadows. An investigation revealed that an unknown suspect fired at a victim's vehicle, leaving two bullet holes in the automobile. These events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were recorded in Case Number 2023-00000346.</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On or about January 3, 2023, BCSO responded to another call of a person shot at Green Meadows. Deputies arrived to find the victim inside her apartment, bleeding from her abdomen. An investigation revealed that the victim was in her bedroom when a bullet passed through the wall of her apartment before passing through her pillow and then striking her abdomen. Shell casings of two different calibers were found in the parking lot a few apartments down from the crime scene. This event was recorded in Case Number 2023-00000649.</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On or about January 22, 2023, BCSO responded to a report of an aggravated assault with a firearm. Further investigation revealed that a suspect threatened to shoot and pistol whip a woman and her child as they walked by the Green Meadows leasing office after returning home from the store. The suspect then fled the scene. Based on the evidence, BCSO took warrants for aggravated assault with a firearm, cruelty to children, and related charges. These events were recorded in Case Number 2023-00006076.</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On or about January 28, 2023, BCSO responded to Green Meadows regarding a stabbing. Deputies arrived to find a man lying on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ground, bleeding from stab wounds to his back. An investigation revealed that an unknown suspect stabbed the victim near apartment 116. This case was reported in Case Number 2023-00007867.</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On or about January 31, 2023, BCSO deputies responded to the report of a sex offense. Further investigation revealed that a man from across the street came to Green Meadows to expose himself to multiple children and yell curses at them. Green Meadows residents advised that this is an ongoing issue. Although the suspect left before deputies arrived, they identified him and took warrants. The suspect returned later that same day and again exposed himself to residents before attacking security guards when asked to leave. BCSO arrived and arrested the suspect. This incident was reported in Case Numbers 2023-00008816 and 2023-00008869.</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On February 1, 2023, BCSO responded to Green Meadows regarding a domestic disturbance. Investigation revealed that a resident's ex-boyfriend had broken into her apartment and began beating her and took her phone and shoes. A deputy located the suspect, who fled before he could be arrested. The incident was reported in Case Number 2023-00008935.</w:t>
      </w:r>
    </w:p>
    <w:p>
      <w:pPr>
        <w:keepNext w:val="0"/>
        <w:spacing w:before="200" w:after="0" w:line="260" w:lineRule="atLeast"/>
        <w:ind w:left="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On or about March 2, 2023, BCSO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responded to a call of terroristic threats at Green Meadows. An investigation revealed that a suspect threatened to shoot the property manager of the apartments, and to have the security guard beaten. The suspect further threatened to "have Green Meadows shot up." Shots were fired in the parking lot later that night. Based on the evidence, BCSO arrested the suspect. This incident was recorded in Case Number 2023-00017960.</w:t>
      </w:r>
    </w:p>
    <w:p>
      <w:pPr>
        <w:keepNext w:val="0"/>
        <w:spacing w:before="200" w:after="0" w:line="260" w:lineRule="atLeast"/>
        <w:ind w:left="0" w:right="0" w:firstLine="0"/>
        <w:jc w:val="both"/>
      </w:pPr>
      <w:bookmarkStart w:id="26" w:name="Bookmark_para_20"/>
      <w:bookmarkEnd w:id="26"/>
      <w:r>
        <w:rPr>
          <w:rFonts w:ascii="arial" w:eastAsia="arial" w:hAnsi="arial" w:cs="arial"/>
          <w:b w:val="0"/>
          <w:i w:val="0"/>
          <w:strike w:val="0"/>
          <w:noProof w:val="0"/>
          <w:color w:val="000000"/>
          <w:position w:val="0"/>
          <w:sz w:val="20"/>
          <w:u w:val="none"/>
          <w:vertAlign w:val="baseline"/>
        </w:rPr>
        <w:t>On or about April 29, 2023, BCSO responded to a report of a fight at Green Meadows. Upon arrival, deputies learned that a suspect had threatened to kill Green Meadows residents with a handgun. The suspect fled the deputies, and was later arrested for terroristic threats, obstruction, and related charges. These events were reported in Case Number 2023-00036816.</w:t>
      </w:r>
    </w:p>
    <w:p>
      <w:pPr>
        <w:keepNext w:val="0"/>
        <w:spacing w:before="200" w:after="0" w:line="260" w:lineRule="atLeast"/>
        <w:ind w:left="0" w:right="0" w:firstLine="0"/>
        <w:jc w:val="both"/>
      </w:pPr>
      <w:bookmarkStart w:id="27" w:name="Bookmark_para_21"/>
      <w:bookmarkEnd w:id="27"/>
      <w:r>
        <w:rPr>
          <w:rFonts w:ascii="arial" w:eastAsia="arial" w:hAnsi="arial" w:cs="arial"/>
          <w:b w:val="0"/>
          <w:i w:val="0"/>
          <w:strike w:val="0"/>
          <w:noProof w:val="0"/>
          <w:color w:val="000000"/>
          <w:position w:val="0"/>
          <w:sz w:val="20"/>
          <w:u w:val="none"/>
          <w:vertAlign w:val="baseline"/>
        </w:rPr>
        <w:t>On or about May 5, 2023, BCSO responded to an emergency call at Green Meadows. When deputies arrived, a suspect shot a woman inside her apartment, and fled the scene. Although BCSO records showed the suspect lived at an address on Pierce Avenue, he had been staying with the woman who leased the apartment. During an argument, he shot the victim as deputies arrived. The victim died of her injuries on the scene.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This incident was reported in Case Number 2021-00038733.</w:t>
      </w:r>
    </w:p>
    <w:p>
      <w:pPr>
        <w:keepNext w:val="0"/>
        <w:spacing w:before="200" w:after="0" w:line="260" w:lineRule="atLeast"/>
        <w:ind w:left="0" w:right="0" w:firstLine="0"/>
        <w:jc w:val="both"/>
      </w:pPr>
      <w:bookmarkStart w:id="28" w:name="Bookmark_para_22"/>
      <w:bookmarkEnd w:id="28"/>
      <w:r>
        <w:rPr>
          <w:rFonts w:ascii="arial" w:eastAsia="arial" w:hAnsi="arial" w:cs="arial"/>
          <w:b w:val="0"/>
          <w:i w:val="0"/>
          <w:strike w:val="0"/>
          <w:noProof w:val="0"/>
          <w:color w:val="000000"/>
          <w:position w:val="0"/>
          <w:sz w:val="20"/>
          <w:u w:val="none"/>
          <w:vertAlign w:val="baseline"/>
        </w:rPr>
        <w:t>On or about Jun 11, 2023, BCSO responded to a call of a person shot at Green Meadows. Deputies arrived to find a victim lying inside a doorway, bleeding from a gunshot wound to the knee. An investigation revealed that the driver of a vehicle moving slowly through the parking lot fired multiple rounds at the victim as he stood near his girlfriend's parked car. The vehicle then sped away. This incident was recorded in Case Number 2023-00051326.</w:t>
      </w:r>
    </w:p>
    <w:p>
      <w:pPr>
        <w:keepNext w:val="0"/>
        <w:spacing w:before="200" w:after="0" w:line="260" w:lineRule="atLeast"/>
        <w:ind w:left="0" w:right="0" w:firstLine="0"/>
        <w:jc w:val="both"/>
      </w:pPr>
      <w:bookmarkStart w:id="29" w:name="Bookmark_para_23"/>
      <w:bookmarkEnd w:id="29"/>
      <w:r>
        <w:rPr>
          <w:rFonts w:ascii="arial" w:eastAsia="arial" w:hAnsi="arial" w:cs="arial"/>
          <w:b w:val="0"/>
          <w:i w:val="0"/>
          <w:strike w:val="0"/>
          <w:noProof w:val="0"/>
          <w:color w:val="000000"/>
          <w:position w:val="0"/>
          <w:sz w:val="20"/>
          <w:u w:val="none"/>
          <w:vertAlign w:val="baseline"/>
        </w:rPr>
        <w:t>Sgt. Smith testified that most recently before the Complaint was filed, on July 13, 2023, BCSO responded to a call at Green Meadows during which there was a party occurring with a large crowd in the parking lot. While at least one Green Meadows private security guard was present, he was unable to control the crowd. Eventually, all BCSO personnel on duty that evening were required to respond to Green Meadows after the initial responding officers were met with resistance. Sgt. Smith testified that it has become somewhat routine for every BCSO officer on duty to be required to respond to Green Meadows when homicides and aggravated assaults are reported. When BCSO responds to Green Meadows, it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only creates a serious safety issue for the responding officers, but for every citizen in Bibb County who will be required to wait an extended period of time for help if they happen to be the victim of a crime that occurs while all deputies are occupied at Green Meadows.</w:t>
      </w:r>
    </w:p>
    <w:p>
      <w:pPr>
        <w:keepNext w:val="0"/>
        <w:spacing w:before="200" w:after="0" w:line="260" w:lineRule="atLeast"/>
        <w:ind w:left="0" w:right="0" w:firstLine="0"/>
        <w:jc w:val="both"/>
      </w:pPr>
      <w:bookmarkStart w:id="30" w:name="Bookmark_para_24"/>
      <w:bookmarkEnd w:id="30"/>
      <w:r>
        <w:rPr>
          <w:rFonts w:ascii="arial" w:eastAsia="arial" w:hAnsi="arial" w:cs="arial"/>
          <w:b w:val="0"/>
          <w:i w:val="0"/>
          <w:strike w:val="0"/>
          <w:noProof w:val="0"/>
          <w:color w:val="000000"/>
          <w:position w:val="0"/>
          <w:sz w:val="20"/>
          <w:u w:val="none"/>
          <w:vertAlign w:val="baseline"/>
        </w:rPr>
        <w:t>Sgt. Smith testified that similar to the rest of the United States, BCSO is suffering from a decline in law enforcement personnel. At the time of the hearing, there were one hundred forty job positions open at BCSO. While the Sheriff is actively trying to hire personnel, it is hard to fill the positions for a multitude of reasons.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it stands, there are only six to seven officers on duty per shift for the entirety of Macon-Bibb County. Sgt. Smith admitted that the number of officers is critically low, that it is not possible for those officers to respond to every call in a timely manner, and that this manpower issue itself constitutes a serious threat to public safety.</w:t>
      </w:r>
    </w:p>
    <w:p>
      <w:pPr>
        <w:keepNext w:val="0"/>
        <w:spacing w:before="200" w:after="0" w:line="260" w:lineRule="atLeast"/>
        <w:ind w:left="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Mike Austin ("Mr. Austin"), the CEO of Macon Housing Authority,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explained the dire situation that this political climate has created for the residents at Green Meadows. Mr. Austin has thirty years of experience and involvement in the affordable housing industry. He explained that Green Meadows has a contract with the United States Department of Housing and Urban Development ("HUD") by which Green Meadows receives a HUD subsidy for moving in tenants who meet the low-income qualifications. Because the HUD contract is with Green Meadows, the subsidy does not follow a tenant if they choose to leave. This differs from a Housing Choice Voucher, which would follow the qualified tenant to any residence they choose to rent. For Green Meadows tenants, if they want to move out, they will need to get on a waiting list at a different affordable housing location - which locations are in high demand and low supply in Macon-Bibb County. Mr. Austin likened getting on a waiting list for affordable housing in Macon-Bibb County to buying lottery tickets. In sum, it is substantially easier to move into Green Meadows than it is to move out. Mr. Austin testified that if the Court ordered Green Meadows to be shut down - even if tenants were given thirty days to find housing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 the tenants would have nowhere else to go. As a result, if the criminal activity continues without abatement, the Green Meadows tenants are simply required to tolerate it.</w:t>
      </w:r>
    </w:p>
    <w:p>
      <w:pPr>
        <w:keepNext w:val="0"/>
        <w:spacing w:before="200" w:after="0" w:line="260" w:lineRule="atLeast"/>
        <w:ind w:left="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When asked what Green Meadows could do differently, Mr. Austin testified that he would have Green Meadows look more closely at the residents to determine whether the heads of each household were adhering to the lease agreement. Specifically, Mr. Austin testified that Macon Housing Authority is aggressive about evicting lease violators and those involved in criminal activities, such as drug dealing, violence, and gang activity. Mr. Austin suggested that Green Meadows could work closely with law enforcement to review security footage of criminal activity, discover whether the perpetrators are residents, and either evict that resident, or, if not a resident, then ban them from the property. Mr. Austin also testified that Macon Housing Authority employs certified law enforcement officers as security guards and implements the recommendations of those security guards. In contrast, when the property manager at Green Meadows was asked if it is her job to make sure individuals staying at Green Meadows are properly residing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there under the terms of the lease, she replied that she "can't police" the guests of the leaseholders.</w:t>
      </w:r>
    </w:p>
    <w:p>
      <w:pPr>
        <w:keepNext w:val="0"/>
        <w:spacing w:before="200" w:after="0" w:line="260" w:lineRule="atLeast"/>
        <w:ind w:left="0" w:right="0" w:firstLine="0"/>
        <w:jc w:val="both"/>
      </w:pPr>
      <w:bookmarkStart w:id="34" w:name="Bookmark_para_27"/>
      <w:bookmarkEnd w:id="34"/>
      <w:r>
        <w:rPr>
          <w:rFonts w:ascii="arial" w:eastAsia="arial" w:hAnsi="arial" w:cs="arial"/>
          <w:b w:val="0"/>
          <w:i w:val="0"/>
          <w:strike w:val="0"/>
          <w:noProof w:val="0"/>
          <w:color w:val="000000"/>
          <w:position w:val="0"/>
          <w:sz w:val="20"/>
          <w:u w:val="none"/>
          <w:vertAlign w:val="baseline"/>
        </w:rPr>
        <w:t>Roger Hyme ("Mr. Hyme"), the treasurer and chief financial officer of Defendant Vitus Development IV, LLC ("Vitus"), also testified at the hearing. Mr. Hyme explained that Vitus is a national firm that has been involved in the preservation and expansion of affordable housing across the United States since 1993. Currently, Vitus's portfolio includes 12,000 apartments in about twenty-nine States. Vitus has invested more than $ 14 billion in the affordable housing industry, and boasts ownership interest in eighteen properties in Georgia, four of which are located in Macon-Bibb County, with roughly 400 separate apartment units in Macon-Bibb County alone. Mr. Hyme testified about the financial resources that have gone to improvements in the Property since Defendants' acquisition in 2021. Mr. Hyme testified that in addition to the $12.4 million in improvements, Green Meadows has spent roughly $60,000 to buy some tenants out of their leases in lieu of instituting eviction proceedings. Mr. Hyme testified that this happened for tenants who were either identified as "problems" or who were nonresponsive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compliance needs concerning the certification of their income.</w:t>
      </w:r>
    </w:p>
    <w:p>
      <w:pPr>
        <w:keepNext w:val="0"/>
        <w:spacing w:before="200" w:after="0" w:line="260" w:lineRule="atLeast"/>
        <w:ind w:left="0" w:right="0" w:firstLine="0"/>
        <w:jc w:val="both"/>
      </w:pPr>
      <w:bookmarkStart w:id="35" w:name="Bookmark_para_28"/>
      <w:bookmarkEnd w:id="35"/>
      <w:r>
        <w:rPr>
          <w:rFonts w:ascii="arial" w:eastAsia="arial" w:hAnsi="arial" w:cs="arial"/>
          <w:b w:val="0"/>
          <w:i w:val="0"/>
          <w:strike w:val="0"/>
          <w:noProof w:val="0"/>
          <w:color w:val="000000"/>
          <w:position w:val="0"/>
          <w:sz w:val="20"/>
          <w:u w:val="none"/>
          <w:vertAlign w:val="baseline"/>
        </w:rPr>
        <w:t>Mr. Hyme testified that he believes Defendants have so far done a good job addressing crime at Green Meadows to the extent of their abilities given the resources they have, but he opined that Green Meadows is not law enforcement. Despite the good job Defendants have done and the security measures they have implemented, Mr. Hyme was not surprised to learn about any of the incident reports recited in the Complaint, including that a seven-year-old child was shot in the neck through the walls of his family's apartment unit on March 12, 2022. While Mr. Hyme would not admit that this level of crime is typical at Vitus's properties, he testified that such crime is typical at "lower economic multi-family housing," which is the type of housing Vitus is in the business of owning. Despite the voluminous criminal complaints, Mr. Hyme was satisfied with the performance of Green Meadows' private security firm on the day the Complaint was filed and planned to renew the contract with that 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ISSUES FOR THE COURT</w:t>
      </w:r>
    </w:p>
    <w:p>
      <w:pPr>
        <w:keepNext w:val="0"/>
        <w:spacing w:before="200" w:after="0" w:line="260" w:lineRule="atLeast"/>
        <w:ind w:left="0" w:right="0" w:firstLine="0"/>
        <w:jc w:val="both"/>
      </w:pPr>
      <w:bookmarkStart w:id="36" w:name="Bookmark_para_29"/>
      <w:bookmarkEnd w:id="36"/>
      <w:r>
        <w:rPr>
          <w:rFonts w:ascii="arial" w:eastAsia="arial" w:hAnsi="arial" w:cs="arial"/>
          <w:b w:val="0"/>
          <w:i w:val="0"/>
          <w:strike w:val="0"/>
          <w:noProof w:val="0"/>
          <w:color w:val="000000"/>
          <w:position w:val="0"/>
          <w:sz w:val="20"/>
          <w:u w:val="none"/>
          <w:vertAlign w:val="baseline"/>
        </w:rPr>
        <w:t>The parties raised several issues, which the Court will address in the following order:</w:t>
      </w:r>
    </w:p>
    <w:p>
      <w:pPr>
        <w:keepNext w:val="0"/>
        <w:spacing w:before="200" w:after="0" w:line="260" w:lineRule="atLeast"/>
        <w:ind w:left="400" w:right="0" w:firstLine="0"/>
        <w:jc w:val="both"/>
      </w:pPr>
      <w:bookmarkStart w:id="37" w:name="Bookmark_para_30"/>
      <w:bookmarkEnd w:id="37"/>
      <w:r>
        <w:rPr>
          <w:rFonts w:ascii="arial" w:eastAsia="arial" w:hAnsi="arial" w:cs="arial"/>
          <w:b w:val="0"/>
          <w:i w:val="0"/>
          <w:strike w:val="0"/>
          <w:noProof w:val="0"/>
          <w:color w:val="000000"/>
          <w:position w:val="0"/>
          <w:sz w:val="20"/>
          <w:u w:val="none"/>
          <w:vertAlign w:val="baseline"/>
        </w:rPr>
        <w:t>(1) Does the Court have jurisdiction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rule on the Motion while Defendants' </w:t>
      </w:r>
      <w:r>
        <w:rPr>
          <w:rFonts w:ascii="arial" w:eastAsia="arial" w:hAnsi="arial" w:cs="arial"/>
          <w:b w:val="0"/>
          <w:i/>
          <w:strike w:val="0"/>
          <w:noProof w:val="0"/>
          <w:color w:val="000000"/>
          <w:position w:val="0"/>
          <w:sz w:val="20"/>
          <w:u w:val="none"/>
          <w:vertAlign w:val="baseline"/>
        </w:rPr>
        <w:t>Notice of Appeal</w:t>
      </w:r>
      <w:r>
        <w:rPr>
          <w:rFonts w:ascii="arial" w:eastAsia="arial" w:hAnsi="arial" w:cs="arial"/>
          <w:b w:val="0"/>
          <w:i w:val="0"/>
          <w:strike w:val="0"/>
          <w:noProof w:val="0"/>
          <w:color w:val="000000"/>
          <w:position w:val="0"/>
          <w:sz w:val="20"/>
          <w:u w:val="none"/>
          <w:vertAlign w:val="baseline"/>
        </w:rPr>
        <w:t xml:space="preserve"> relating to the ex parte Order is pending?</w:t>
      </w:r>
    </w:p>
    <w:p>
      <w:pPr>
        <w:keepNext w:val="0"/>
        <w:spacing w:after="0" w:line="260" w:lineRule="atLeast"/>
        <w:ind w:left="400" w:right="0" w:firstLine="0"/>
        <w:jc w:val="both"/>
      </w:pPr>
      <w:bookmarkStart w:id="38" w:name="Bookmark_para_31"/>
      <w:bookmarkEnd w:id="38"/>
      <w:r>
        <w:rPr>
          <w:rFonts w:ascii="arial" w:eastAsia="arial" w:hAnsi="arial" w:cs="arial"/>
          <w:b w:val="0"/>
          <w:i w:val="0"/>
          <w:strike w:val="0"/>
          <w:noProof w:val="0"/>
          <w:color w:val="000000"/>
          <w:position w:val="0"/>
          <w:sz w:val="20"/>
          <w:u w:val="none"/>
          <w:vertAlign w:val="baseline"/>
        </w:rPr>
        <w:t>(2) Are Defendants legally entitled to due process such that an evidentiary hearing must be held at which both parties are present?</w:t>
      </w:r>
    </w:p>
    <w:p>
      <w:pPr>
        <w:keepNext w:val="0"/>
        <w:spacing w:after="0" w:line="260" w:lineRule="atLeast"/>
        <w:ind w:left="400" w:right="0" w:firstLine="0"/>
        <w:jc w:val="both"/>
      </w:pPr>
      <w:bookmarkStart w:id="39" w:name="Bookmark_para_32"/>
      <w:bookmarkEnd w:id="39"/>
      <w:r>
        <w:rPr>
          <w:rFonts w:ascii="arial" w:eastAsia="arial" w:hAnsi="arial" w:cs="arial"/>
          <w:b w:val="0"/>
          <w:i w:val="0"/>
          <w:strike w:val="0"/>
          <w:noProof w:val="0"/>
          <w:color w:val="000000"/>
          <w:position w:val="0"/>
          <w:sz w:val="20"/>
          <w:u w:val="none"/>
          <w:vertAlign w:val="baseline"/>
        </w:rPr>
        <w:t>(3) Do the conditions present at Green Meadows constitute a public nuisance?</w:t>
      </w:r>
    </w:p>
    <w:p>
      <w:pPr>
        <w:keepNext w:val="0"/>
        <w:spacing w:after="0" w:line="260" w:lineRule="atLeast"/>
        <w:ind w:left="400" w:right="0" w:firstLine="0"/>
        <w:jc w:val="both"/>
      </w:pPr>
      <w:bookmarkStart w:id="40" w:name="Bookmark_para_33"/>
      <w:bookmarkEnd w:id="40"/>
      <w:r>
        <w:rPr>
          <w:rFonts w:ascii="arial" w:eastAsia="arial" w:hAnsi="arial" w:cs="arial"/>
          <w:b w:val="0"/>
          <w:i w:val="0"/>
          <w:strike w:val="0"/>
          <w:noProof w:val="0"/>
          <w:color w:val="000000"/>
          <w:position w:val="0"/>
          <w:sz w:val="20"/>
          <w:u w:val="none"/>
          <w:vertAlign w:val="baseline"/>
        </w:rPr>
        <w:t>(4) Is the appointment of a receiver to abate a public nuisance a legally permissible remedy?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CITATION OF AUTHORITY AND ANALYSIS</w:t>
      </w:r>
    </w:p>
    <w:p>
      <w:pPr>
        <w:keepNext w:val="0"/>
        <w:spacing w:before="200" w:after="0" w:line="260" w:lineRule="atLeast"/>
        <w:ind w:left="0" w:right="0" w:firstLine="0"/>
        <w:jc w:val="both"/>
      </w:pPr>
      <w:bookmarkStart w:id="41" w:name="Bookmark_para_34"/>
      <w:bookmarkEnd w:id="41"/>
      <w:r>
        <w:rPr>
          <w:rFonts w:ascii="arial" w:eastAsia="arial" w:hAnsi="arial" w:cs="arial"/>
          <w:b/>
          <w:i w:val="0"/>
          <w:strike w:val="0"/>
          <w:noProof w:val="0"/>
          <w:color w:val="000000"/>
          <w:position w:val="0"/>
          <w:sz w:val="20"/>
          <w:u w:val="none"/>
          <w:vertAlign w:val="baseline"/>
        </w:rPr>
        <w:t>(1) The Court retains jurisdiction to rule on the Motion pending appeal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35"/>
      <w:bookmarkEnd w:id="42"/>
      <w:r>
        <w:rPr>
          <w:rFonts w:ascii="arial" w:eastAsia="arial" w:hAnsi="arial" w:cs="arial"/>
          <w:b w:val="0"/>
          <w:i w:val="0"/>
          <w:strike w:val="0"/>
          <w:noProof w:val="0"/>
          <w:color w:val="000000"/>
          <w:position w:val="0"/>
          <w:sz w:val="20"/>
          <w:u w:val="none"/>
          <w:vertAlign w:val="baseline"/>
        </w:rPr>
        <w:t xml:space="preserve">Although Plaintiff contends that this public nuisance action is quasi-criminal in nature and therefore not subject to the Civil Practice Act, the Court is not convinced that the Civil Practice Act does not apply, even if a public nuisance action is quasi-criminal in nature. Accordingly, the Court finds that it maintains jurisdiction over its ex parte Order for the limited purpose to "suspend, modify, restore, or grant an injunction during the pendency of the appeal upon such terms as to bond or otherwise as it considers proper for the security of the rights of the adverse party." </w:t>
      </w:r>
      <w:hyperlink r:id="rId10" w:history="1">
        <w:r>
          <w:rPr>
            <w:rFonts w:ascii="arial" w:eastAsia="arial" w:hAnsi="arial" w:cs="arial"/>
            <w:b w:val="0"/>
            <w:i/>
            <w:strike w:val="0"/>
            <w:noProof w:val="0"/>
            <w:color w:val="0077CC"/>
            <w:position w:val="0"/>
            <w:sz w:val="20"/>
            <w:u w:val="single"/>
            <w:vertAlign w:val="baseline"/>
          </w:rPr>
          <w:t>O.C.G.A. § 9-11-62(c)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36"/>
      <w:bookmarkEnd w:id="43"/>
      <w:r>
        <w:rPr>
          <w:rFonts w:ascii="arial" w:eastAsia="arial" w:hAnsi="arial" w:cs="arial"/>
          <w:b/>
          <w:i w:val="0"/>
          <w:strike w:val="0"/>
          <w:noProof w:val="0"/>
          <w:color w:val="000000"/>
          <w:position w:val="0"/>
          <w:sz w:val="20"/>
          <w:u w:val="none"/>
          <w:vertAlign w:val="baseline"/>
        </w:rPr>
        <w:t>(2) Defendants are entitled to an opportunity to be heard as soon as practicable after entry of an ex</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parte abatement order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37"/>
      <w:bookmarkEnd w:id="44"/>
      <w:r>
        <w:rPr>
          <w:rFonts w:ascii="arial" w:eastAsia="arial" w:hAnsi="arial" w:cs="arial"/>
          <w:b w:val="0"/>
          <w:i w:val="0"/>
          <w:strike w:val="0"/>
          <w:noProof w:val="0"/>
          <w:color w:val="000000"/>
          <w:position w:val="0"/>
          <w:sz w:val="20"/>
          <w:u w:val="none"/>
          <w:vertAlign w:val="baseline"/>
        </w:rPr>
        <w:t xml:space="preserve">The Court finds that there was no error in the procedure by which the ex parte Order was procured. </w:t>
      </w:r>
      <w:hyperlink r:id="rId11" w:history="1">
        <w:r>
          <w:rPr>
            <w:rFonts w:ascii="arial" w:eastAsia="arial" w:hAnsi="arial" w:cs="arial"/>
            <w:b w:val="0"/>
            <w:i/>
            <w:strike w:val="0"/>
            <w:noProof w:val="0"/>
            <w:color w:val="0077CC"/>
            <w:position w:val="0"/>
            <w:sz w:val="20"/>
            <w:u w:val="single"/>
            <w:vertAlign w:val="baseline"/>
          </w:rPr>
          <w:t>O.C.G.A. §41-2-1</w:t>
        </w:r>
      </w:hyperlink>
      <w:r>
        <w:rPr>
          <w:rFonts w:ascii="arial" w:eastAsia="arial" w:hAnsi="arial" w:cs="arial"/>
          <w:b w:val="0"/>
          <w:i w:val="0"/>
          <w:strike w:val="0"/>
          <w:noProof w:val="0"/>
          <w:color w:val="000000"/>
          <w:position w:val="0"/>
          <w:sz w:val="20"/>
          <w:u w:val="none"/>
          <w:vertAlign w:val="baseline"/>
        </w:rPr>
        <w:t xml:space="preserve"> provides that "[u]pon filing of a petition ... any nuisance which tends to the immediate annoyance of the public in general, is manifestly injurious to the public health or safety, or tends greatly to corrupt the manners and morals of the public may be abated by order of a judge of the superior court of the county in which venue is proper." Title 41 does not otherwise provide that the adverse party shall be entitled to notice and an opportunity to be heard prior to the entry of such abatement order. However, to the extent that such abatement order can be considered a temporary restraining order that is also governed by </w:t>
      </w:r>
      <w:hyperlink r:id="rId12" w:history="1">
        <w:r>
          <w:rPr>
            <w:rFonts w:ascii="arial" w:eastAsia="arial" w:hAnsi="arial" w:cs="arial"/>
            <w:b w:val="0"/>
            <w:i/>
            <w:strike w:val="0"/>
            <w:noProof w:val="0"/>
            <w:color w:val="0077CC"/>
            <w:position w:val="0"/>
            <w:sz w:val="20"/>
            <w:u w:val="single"/>
            <w:vertAlign w:val="baseline"/>
          </w:rPr>
          <w:t>O.C.G.A § 9-11-65</w:t>
        </w:r>
      </w:hyperlink>
      <w:r>
        <w:rPr>
          <w:rFonts w:ascii="arial" w:eastAsia="arial" w:hAnsi="arial" w:cs="arial"/>
          <w:b w:val="0"/>
          <w:i w:val="0"/>
          <w:strike w:val="0"/>
          <w:noProof w:val="0"/>
          <w:color w:val="000000"/>
          <w:position w:val="0"/>
          <w:sz w:val="20"/>
          <w:u w:val="none"/>
          <w:vertAlign w:val="baseline"/>
        </w:rPr>
        <w:t xml:space="preserve">, the Court finds that the matter should be "set down for hearing at the earliest possible time." </w:t>
      </w:r>
      <w:hyperlink r:id="rId12" w:history="1">
        <w:r>
          <w:rPr>
            <w:rFonts w:ascii="arial" w:eastAsia="arial" w:hAnsi="arial" w:cs="arial"/>
            <w:b w:val="0"/>
            <w:i/>
            <w:strike w:val="0"/>
            <w:noProof w:val="0"/>
            <w:color w:val="0077CC"/>
            <w:position w:val="0"/>
            <w:sz w:val="20"/>
            <w:u w:val="single"/>
            <w:vertAlign w:val="baseline"/>
          </w:rPr>
          <w:t>O.C.G.A. § 9-11-65(b)</w:t>
        </w:r>
      </w:hyperlink>
      <w:r>
        <w:rPr>
          <w:rFonts w:ascii="arial" w:eastAsia="arial" w:hAnsi="arial" w:cs="arial"/>
          <w:b w:val="0"/>
          <w:i w:val="0"/>
          <w:strike w:val="0"/>
          <w:noProof w:val="0"/>
          <w:color w:val="000000"/>
          <w:position w:val="0"/>
          <w:sz w:val="20"/>
          <w:u w:val="none"/>
          <w:vertAlign w:val="baseline"/>
        </w:rPr>
        <w:t>. In this case, the Court held a phone conference on September 6, 2023, only two days after Defendants brought their Motion to the Court's attention. After conferring with the parties, the Court set a hearing for the soonest date possible. Defendants have now had the opportunity to cross examine Plaintiffs witnesses and present witnesses and evidence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their own to contest the ex parte finding that a public nuisance exists. Accordingly, the Court finds that Defendants' due process rights have been met.</w:t>
      </w:r>
    </w:p>
    <w:p>
      <w:pPr>
        <w:keepNext w:val="0"/>
        <w:spacing w:before="200" w:after="0" w:line="260" w:lineRule="atLeast"/>
        <w:ind w:left="0" w:right="0" w:firstLine="0"/>
        <w:jc w:val="both"/>
      </w:pPr>
      <w:bookmarkStart w:id="45" w:name="Bookmark_para_38"/>
      <w:bookmarkEnd w:id="45"/>
      <w:r>
        <w:rPr>
          <w:rFonts w:ascii="arial" w:eastAsia="arial" w:hAnsi="arial" w:cs="arial"/>
          <w:b/>
          <w:i w:val="0"/>
          <w:strike w:val="0"/>
          <w:noProof w:val="0"/>
          <w:color w:val="000000"/>
          <w:position w:val="0"/>
          <w:sz w:val="20"/>
          <w:u w:val="none"/>
          <w:vertAlign w:val="baseline"/>
        </w:rPr>
        <w:t>(3) The conditions present at Green Meadows constitute a public nuisance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9"/>
      <w:bookmarkEnd w:id="46"/>
      <w:r>
        <w:rPr>
          <w:rFonts w:ascii="arial" w:eastAsia="arial" w:hAnsi="arial" w:cs="arial"/>
          <w:b w:val="0"/>
          <w:i w:val="0"/>
          <w:strike w:val="0"/>
          <w:noProof w:val="0"/>
          <w:color w:val="000000"/>
          <w:position w:val="0"/>
          <w:sz w:val="20"/>
          <w:u w:val="none"/>
          <w:vertAlign w:val="baseline"/>
        </w:rPr>
        <w:t>Despite Defendants' best efforts to quell crime, Green Meadows is akin to a war zone. After Defendants renovated the property, bought out "problem tenants," implemented a security camera and license plate reader, blocked one of three entrances, and hired private security guards, Green Meadows continued its reign as the most dangerous apartment complex in Macon-Bibb County. In fact, the CFO of Vitus testified that he was not surprised by any of the voluminous criminal complaints at Green Meadows because such crime is common in the types of properties Vitus owns. Despite Mr. Hyme's opinion that the property owners had done a "good job" and made adequate efforts to provide a safe living environment for the tenants at Green Meadows, nothing Defendants have done have had any impact on the criminal element's status quo. Rather, the property manager testified that although it is her job to make sure individuals staying at Green Meadows are properly residing there under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terms of the lease, she "can't police" the guests of the leaseholders.</w:t>
      </w:r>
    </w:p>
    <w:p>
      <w:pPr>
        <w:keepNext w:val="0"/>
        <w:spacing w:before="200" w:after="0" w:line="260" w:lineRule="atLeast"/>
        <w:ind w:left="0" w:right="0" w:firstLine="0"/>
        <w:jc w:val="both"/>
      </w:pPr>
      <w:bookmarkStart w:id="47" w:name="Bookmark_para_40"/>
      <w:bookmarkEnd w:id="47"/>
      <w:r>
        <w:rPr>
          <w:rFonts w:ascii="arial" w:eastAsia="arial" w:hAnsi="arial" w:cs="arial"/>
          <w:b w:val="0"/>
          <w:i w:val="0"/>
          <w:strike w:val="0"/>
          <w:noProof w:val="0"/>
          <w:color w:val="000000"/>
          <w:position w:val="0"/>
          <w:sz w:val="20"/>
          <w:u w:val="none"/>
          <w:vertAlign w:val="baseline"/>
        </w:rPr>
        <w:t>Accordingly, the Court finds that rampant violent criminal activity has occurred on the Property with Defendants' knowledge and tolerance, despite Defendants' ability to exercise control in a manner that would exclude and prevent such crime. Defendants' failure to exercise such control poses a risk not only to the residents and visitors at Green Meadows, but to the health and safety of the entire community of Macon-Bibb County, as its limited law enforcement resources are repeatedly unavailable to the public when diverted to Green Meadows. The Court finds that such conditions constitute a public nuisance that is manifestly injurious to the public health and safety.</w:t>
      </w:r>
    </w:p>
    <w:p>
      <w:pPr>
        <w:keepNext w:val="0"/>
        <w:spacing w:before="200" w:after="0" w:line="260" w:lineRule="atLeast"/>
        <w:ind w:left="0" w:right="0" w:firstLine="0"/>
        <w:jc w:val="both"/>
      </w:pPr>
      <w:bookmarkStart w:id="48" w:name="Bookmark_para_41"/>
      <w:bookmarkEnd w:id="48"/>
      <w:r>
        <w:rPr>
          <w:rFonts w:ascii="arial" w:eastAsia="arial" w:hAnsi="arial" w:cs="arial"/>
          <w:b/>
          <w:i w:val="0"/>
          <w:strike w:val="0"/>
          <w:noProof w:val="0"/>
          <w:color w:val="000000"/>
          <w:position w:val="0"/>
          <w:sz w:val="20"/>
          <w:u w:val="none"/>
          <w:vertAlign w:val="baseline"/>
        </w:rPr>
        <w:t>(4) The appointment of a receiver to abate public nuisance is legally permissible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42"/>
      <w:bookmarkEnd w:id="49"/>
      <w:r>
        <w:rPr>
          <w:rFonts w:ascii="arial" w:eastAsia="arial" w:hAnsi="arial" w:cs="arial"/>
          <w:b w:val="0"/>
          <w:i w:val="0"/>
          <w:strike w:val="0"/>
          <w:noProof w:val="0"/>
          <w:color w:val="000000"/>
          <w:position w:val="0"/>
          <w:sz w:val="20"/>
          <w:u w:val="none"/>
          <w:vertAlign w:val="baseline"/>
        </w:rPr>
        <w:t>Although the appointment of a receiver to abate a public nuisance appears to be unprecedented in Georgia, the conditions present here are likewise unprecedented. There is a vigorous criminal element operating at Green Meadows and tolerated by its staff, as evidenced by the lack of effective prior abatement measures. The threat that Green Meadows presents to public safety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ever compounded by the critically low employment levels at BCSO. While the national law enforcement personnel shortage is not due to any fault of the Defendants, it is the unprecedented new reality in which we find ourselves. Defendants would prefer to ignore this reality. Defendants would continue to maintain the status quo while tenants and guests at Green Meadows continue to become victims of violent shootings and stabbings at an alarming rate.</w:t>
      </w:r>
    </w:p>
    <w:p>
      <w:pPr>
        <w:keepNext w:val="0"/>
        <w:spacing w:before="200" w:after="0" w:line="260" w:lineRule="atLeast"/>
        <w:ind w:left="0" w:right="0" w:firstLine="0"/>
        <w:jc w:val="both"/>
      </w:pPr>
      <w:bookmarkStart w:id="50" w:name="Bookmark_para_43"/>
      <w:bookmarkEnd w:id="50"/>
      <w:bookmarkStart w:id="51" w:name="Bookmark_I6B0CJH52HM6CY0020000400"/>
      <w:bookmarkEnd w:id="51"/>
      <w:r>
        <w:rPr>
          <w:rFonts w:ascii="arial" w:eastAsia="arial" w:hAnsi="arial" w:cs="arial"/>
          <w:b w:val="0"/>
          <w:i w:val="0"/>
          <w:strike w:val="0"/>
          <w:noProof w:val="0"/>
          <w:color w:val="000000"/>
          <w:position w:val="0"/>
          <w:sz w:val="20"/>
          <w:u w:val="none"/>
          <w:vertAlign w:val="baseline"/>
        </w:rPr>
        <w:t xml:space="preserve">The appointment of a receiver is appropriate "[w]hen any fund or property is in litigation and the rights of either or both parties cannot otherwise be fully protected." </w:t>
      </w:r>
      <w:hyperlink r:id="rId13" w:history="1">
        <w:r>
          <w:rPr>
            <w:rFonts w:ascii="arial" w:eastAsia="arial" w:hAnsi="arial" w:cs="arial"/>
            <w:b w:val="0"/>
            <w:i/>
            <w:strike w:val="0"/>
            <w:noProof w:val="0"/>
            <w:color w:val="0077CC"/>
            <w:position w:val="0"/>
            <w:sz w:val="20"/>
            <w:u w:val="single"/>
            <w:vertAlign w:val="baseline"/>
          </w:rPr>
          <w:t>O.CG.A. § 9-8-1</w:t>
        </w:r>
      </w:hyperlink>
      <w:r>
        <w:rPr>
          <w:rFonts w:ascii="arial" w:eastAsia="arial" w:hAnsi="arial" w:cs="arial"/>
          <w:b w:val="0"/>
          <w:i w:val="0"/>
          <w:strike w:val="0"/>
          <w:noProof w:val="0"/>
          <w:color w:val="000000"/>
          <w:position w:val="0"/>
          <w:sz w:val="20"/>
          <w:u w:val="none"/>
          <w:vertAlign w:val="baseline"/>
        </w:rPr>
        <w:t xml:space="preserve">. Even "'[w]here the evidence is conflicting, the trial court's discretion to appoint a receiver is broad.'" </w:t>
      </w:r>
      <w:bookmarkStart w:id="52" w:name="Bookmark_I6B0CJH52HM6CY0010000400"/>
      <w:bookmarkEnd w:id="52"/>
      <w:hyperlink r:id="rId14" w:history="1">
        <w:r>
          <w:rPr>
            <w:rFonts w:ascii="arial" w:eastAsia="arial" w:hAnsi="arial" w:cs="arial"/>
            <w:b w:val="0"/>
            <w:i/>
            <w:strike w:val="0"/>
            <w:noProof w:val="0"/>
            <w:color w:val="0077CC"/>
            <w:position w:val="0"/>
            <w:sz w:val="20"/>
            <w:u w:val="single"/>
            <w:vertAlign w:val="baseline"/>
          </w:rPr>
          <w:t>Richardson v. Roland</w:t>
        </w:r>
      </w:hyperlink>
      <w:hyperlink r:id="rId14" w:history="1">
        <w:r>
          <w:rPr>
            <w:rFonts w:ascii="arial" w:eastAsia="arial" w:hAnsi="arial" w:cs="arial"/>
            <w:b w:val="0"/>
            <w:i/>
            <w:strike w:val="0"/>
            <w:noProof w:val="0"/>
            <w:color w:val="0077CC"/>
            <w:position w:val="0"/>
            <w:sz w:val="20"/>
            <w:u w:val="single"/>
            <w:vertAlign w:val="baseline"/>
          </w:rPr>
          <w:t>, 267 Ga. 34, 35 (1996)</w:t>
        </w:r>
      </w:hyperlink>
      <w:r>
        <w:rPr>
          <w:rFonts w:ascii="arial" w:eastAsia="arial" w:hAnsi="arial" w:cs="arial"/>
          <w:b w:val="0"/>
          <w:i w:val="0"/>
          <w:strike w:val="0"/>
          <w:noProof w:val="0"/>
          <w:color w:val="000000"/>
          <w:position w:val="0"/>
          <w:sz w:val="20"/>
          <w:u w:val="none"/>
          <w:vertAlign w:val="baseline"/>
        </w:rPr>
        <w:t>. The Court finds that the appointment of a receiver is particularly appropriate in this case where Defendants have demonstrated an inability to control the Property in a manner that provides a safe environment for the tenants at Green Meadows. While one option for nuisance abatement would be to close the apartment complex, to do so would create a housing crisis for the residents at Green Meadows, which crisis Macon-Bibb County is presently unable to remedy with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alternative affordable housing. Instead, upon balancing the rights of both parties, the best option is the appointment of a receiver to aggressively manage the Property in a way that Defendants will not.</w:t>
      </w:r>
    </w:p>
    <w:p>
      <w:pPr>
        <w:keepNext w:val="0"/>
        <w:spacing w:before="200" w:after="0" w:line="260" w:lineRule="atLeast"/>
        <w:ind w:left="0" w:right="0" w:firstLine="0"/>
        <w:jc w:val="both"/>
      </w:pPr>
      <w:bookmarkStart w:id="53" w:name="Bookmark_para_44"/>
      <w:bookmarkEnd w:id="53"/>
      <w:r>
        <w:rPr>
          <w:rFonts w:ascii="arial" w:eastAsia="arial" w:hAnsi="arial" w:cs="arial"/>
          <w:b w:val="0"/>
          <w:i w:val="0"/>
          <w:strike w:val="0"/>
          <w:noProof w:val="0"/>
          <w:color w:val="000000"/>
          <w:position w:val="0"/>
          <w:sz w:val="20"/>
          <w:u w:val="none"/>
          <w:vertAlign w:val="baseline"/>
        </w:rPr>
        <w:t>The Court finds no error in the appointment of a receiver on an ex parte basis. However, to the extent any error is found by the appellate courts of Georgia, now that Defendants have had the opportunity to be heard, the Court hereby reappoints said receiver to perforin all of the duties as provided in the ex parte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54" w:name="Bookmark_para_45"/>
      <w:bookmarkEnd w:id="54"/>
      <w:r>
        <w:rPr>
          <w:rFonts w:ascii="arial" w:eastAsia="arial" w:hAnsi="arial" w:cs="arial"/>
          <w:b w:val="0"/>
          <w:i w:val="0"/>
          <w:strike w:val="0"/>
          <w:noProof w:val="0"/>
          <w:color w:val="000000"/>
          <w:position w:val="0"/>
          <w:sz w:val="20"/>
          <w:u w:val="none"/>
          <w:vertAlign w:val="baseline"/>
        </w:rPr>
        <w:t xml:space="preserve">For the foregoing reasons, Defendants' Motion is hereby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46"/>
      <w:bookmarkEnd w:id="55"/>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this 19th day of October, 2023.</w:t>
      </w:r>
    </w:p>
    <w:p>
      <w:pPr>
        <w:keepNext w:val="0"/>
        <w:spacing w:before="200" w:after="0" w:line="260" w:lineRule="atLeast"/>
        <w:ind w:left="0" w:right="0" w:firstLine="0"/>
        <w:jc w:val="both"/>
      </w:pPr>
      <w:bookmarkStart w:id="56" w:name="Bookmark_para_47"/>
      <w:bookmarkEnd w:id="56"/>
      <w:r>
        <w:rPr>
          <w:rFonts w:ascii="arial" w:eastAsia="arial" w:hAnsi="arial" w:cs="arial"/>
          <w:b w:val="0"/>
          <w:i w:val="0"/>
          <w:strike w:val="0"/>
          <w:noProof w:val="0"/>
          <w:color w:val="000000"/>
          <w:position w:val="0"/>
          <w:sz w:val="20"/>
          <w:u w:val="none"/>
          <w:vertAlign w:val="baseline"/>
        </w:rPr>
        <w:t>/s/ Connie L. Williford</w:t>
      </w:r>
    </w:p>
    <w:p>
      <w:pPr>
        <w:keepNext w:val="0"/>
        <w:spacing w:before="200" w:after="0" w:line="260" w:lineRule="atLeast"/>
        <w:ind w:left="0" w:right="0" w:firstLine="0"/>
        <w:jc w:val="both"/>
      </w:pPr>
      <w:bookmarkStart w:id="57" w:name="Bookmark_para_48"/>
      <w:bookmarkEnd w:id="57"/>
      <w:r>
        <w:rPr>
          <w:rFonts w:ascii="arial" w:eastAsia="arial" w:hAnsi="arial" w:cs="arial"/>
          <w:b w:val="0"/>
          <w:i w:val="0"/>
          <w:strike w:val="0"/>
          <w:noProof w:val="0"/>
          <w:color w:val="000000"/>
          <w:position w:val="0"/>
          <w:sz w:val="20"/>
          <w:u w:val="none"/>
          <w:vertAlign w:val="baseline"/>
        </w:rPr>
        <w:t>CONNIE L. WILLIFORD</w:t>
      </w:r>
    </w:p>
    <w:p>
      <w:pPr>
        <w:keepNext w:val="0"/>
        <w:spacing w:before="200" w:after="0" w:line="260" w:lineRule="atLeast"/>
        <w:ind w:left="0" w:right="0" w:firstLine="0"/>
        <w:jc w:val="both"/>
      </w:pPr>
      <w:bookmarkStart w:id="58" w:name="Bookmark_para_49"/>
      <w:bookmarkEnd w:id="58"/>
      <w:r>
        <w:rPr>
          <w:rFonts w:ascii="arial" w:eastAsia="arial" w:hAnsi="arial" w:cs="arial"/>
          <w:b w:val="0"/>
          <w:i w:val="0"/>
          <w:strike w:val="0"/>
          <w:noProof w:val="0"/>
          <w:color w:val="000000"/>
          <w:position w:val="0"/>
          <w:sz w:val="20"/>
          <w:u w:val="none"/>
          <w:vertAlign w:val="baseline"/>
        </w:rPr>
        <w:t>Judge, Superior Court</w:t>
      </w:r>
    </w:p>
    <w:p>
      <w:pPr>
        <w:keepNext w:val="0"/>
        <w:spacing w:before="200" w:after="0" w:line="260" w:lineRule="atLeast"/>
        <w:ind w:left="0" w:right="0" w:firstLine="0"/>
        <w:jc w:val="both"/>
      </w:pPr>
      <w:bookmarkStart w:id="59" w:name="Bookmark_para_50"/>
      <w:bookmarkEnd w:id="59"/>
      <w:r>
        <w:rPr>
          <w:rFonts w:ascii="arial" w:eastAsia="arial" w:hAnsi="arial" w:cs="arial"/>
          <w:b w:val="0"/>
          <w:i w:val="0"/>
          <w:strike w:val="0"/>
          <w:noProof w:val="0"/>
          <w:color w:val="000000"/>
          <w:position w:val="0"/>
          <w:sz w:val="20"/>
          <w:u w:val="none"/>
          <w:vertAlign w:val="baseline"/>
        </w:rPr>
        <w:t>Macon Judicial Circuit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The incident reports are attached as exhibits to Plaintiff' Complaint. At the healing, Sgt. Smith testified that he is the individual who supplied the incident reports and other data that formed the basis of Plaintiff's Complaint. The Court finds the period between December of 2022 through July of 2023 the most relevant, as these events occurred after Defendants installed a Watchtower Security camera.</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See Peter Charalambous, </w:t>
      </w:r>
      <w:r>
        <w:rPr>
          <w:rFonts w:ascii="arial" w:eastAsia="arial" w:hAnsi="arial" w:cs="arial"/>
          <w:b w:val="0"/>
          <w:i/>
          <w:strike w:val="0"/>
          <w:noProof w:val="0"/>
          <w:color w:val="000000"/>
          <w:position w:val="0"/>
          <w:sz w:val="18"/>
          <w:u w:val="none"/>
          <w:vertAlign w:val="baseline"/>
        </w:rPr>
        <w:t>'Vicious Cycle': Inside the police recruiting crunch with resignations on the rise</w:t>
      </w:r>
      <w:r>
        <w:rPr>
          <w:rFonts w:ascii="arial" w:eastAsia="arial" w:hAnsi="arial" w:cs="arial"/>
          <w:b w:val="0"/>
          <w:i w:val="0"/>
          <w:strike w:val="0"/>
          <w:noProof w:val="0"/>
          <w:color w:val="000000"/>
          <w:position w:val="0"/>
          <w:sz w:val="18"/>
          <w:u w:val="none"/>
          <w:vertAlign w:val="baseline"/>
        </w:rPr>
        <w:t xml:space="preserve">, abcNEWS, April 6, 2023, https://abcnews.go.com/US/police-departments-face-vicious-cvcle-challenges-retaining-recruiting/story?id=98363458 (attributing recruiting challenges to "increased external scrutiny and reputational harm to the overall profession" following "high profile use of force incidents.") See also, 13WMAZ Staff, </w:t>
      </w:r>
      <w:r>
        <w:rPr>
          <w:rFonts w:ascii="arial" w:eastAsia="arial" w:hAnsi="arial" w:cs="arial"/>
          <w:b w:val="0"/>
          <w:i/>
          <w:strike w:val="0"/>
          <w:noProof w:val="0"/>
          <w:color w:val="000000"/>
          <w:position w:val="0"/>
          <w:sz w:val="18"/>
          <w:u w:val="none"/>
          <w:vertAlign w:val="baseline"/>
        </w:rPr>
        <w:t xml:space="preserve">Bibb Deputy arrested for allegedly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strike w:val="0"/>
          <w:noProof w:val="0"/>
          <w:color w:val="000000"/>
          <w:position w:val="0"/>
          <w:sz w:val="18"/>
          <w:u w:val="none"/>
          <w:vertAlign w:val="baseline"/>
        </w:rPr>
        <w:t xml:space="preserve"> drugs, cell phones into Bibb County jail, sheriff's office says</w:t>
      </w:r>
      <w:r>
        <w:rPr>
          <w:rFonts w:ascii="arial" w:eastAsia="arial" w:hAnsi="arial" w:cs="arial"/>
          <w:b w:val="0"/>
          <w:i w:val="0"/>
          <w:strike w:val="0"/>
          <w:noProof w:val="0"/>
          <w:color w:val="000000"/>
          <w:position w:val="0"/>
          <w:sz w:val="18"/>
          <w:u w:val="none"/>
          <w:vertAlign w:val="baseline"/>
        </w:rPr>
        <w:t>, 13WMAZ, September 20, 2023, https://www.13wmaz.com/article/news/local/bibb-deputv-arrested-</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-drugs-cell-phones-bibb-county-jail-sheriffs-office-says/93-b23389dd-004a-45b3-9461-f9b8c615bb78 (reporting that a part-time BCSO deputy hired in November of 2022 amid the national police shortage was attested for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contraband into the Bibb County jail).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Macon-Bibb Cnty. v. Green Meadows Hous. Partners, LP, 2023 Ga. Super. LEXIS 3250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348-FS71-DYB7-W476-00000-00&amp;context=1519360" TargetMode="External" /><Relationship Id="rId11" Type="http://schemas.openxmlformats.org/officeDocument/2006/relationships/hyperlink" Target="https://advance.lexis.com/api/document?collection=statutes-legislation&amp;id=urn:contentItem:6348-FY91-DYB7-W4H6-00000-00&amp;context=1519360" TargetMode="External" /><Relationship Id="rId12" Type="http://schemas.openxmlformats.org/officeDocument/2006/relationships/hyperlink" Target="https://advance.lexis.com/api/document?collection=statutes-legislation&amp;id=urn:contentItem:6348-FS71-DYB7-W47B-00000-00&amp;context=1519360" TargetMode="External" /><Relationship Id="rId13" Type="http://schemas.openxmlformats.org/officeDocument/2006/relationships/hyperlink" Target="https://advance.lexis.com/api/document?collection=statutes-legislation&amp;id=urn:contentItem:6348-FS71-DYB7-W3WN-00000-00&amp;context=1519360" TargetMode="External" /><Relationship Id="rId14" Type="http://schemas.openxmlformats.org/officeDocument/2006/relationships/hyperlink" Target="https://advance.lexis.com/api/document?collection=cases&amp;id=urn:contentItem:3RWW-SJ70-003G-P0F7-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S6-KGV1-JWR6-S14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Macon-Bibb Cnty. v. Green Meadows Hous. Partners, LP, 2023 Ga. Super. LEXIS 3250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urn:user:PA186186283</vt:lpwstr>
  </property>
</Properties>
</file>