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Mondragon v. Zenk</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Northern District of Indiana, Hammond Division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10, 2023, Decided; January 10,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CAUSE NO. 2:22-CV-62-JTM-JEM</w:t>
      </w:r>
    </w:p>
    <w:p>
      <w:pPr>
        <w:keepNext w:val="0"/>
        <w:spacing w:after="0" w:line="240" w:lineRule="atLeast"/>
        <w:ind w:right="0"/>
        <w:jc w:val="both"/>
      </w:pPr>
      <w:bookmarkStart w:id="0" w:name="Bookmark_24"/>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4171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144810</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JAMES ERIC MONDRAGON, Plaintiff, v. ZENK, et al., Defendants.</w:t>
      </w:r>
    </w:p>
    <w:p>
      <w:pPr>
        <w:keepNext/>
        <w:spacing w:before="240" w:after="0" w:line="340" w:lineRule="atLeast"/>
        <w:ind w:left="0" w:right="0" w:firstLine="0"/>
        <w:jc w:val="left"/>
      </w:pPr>
      <w:bookmarkStart w:id="2" w:name="Core Terms"/>
      <w:bookmarkEnd w:id="2"/>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inmates, Jail, assaulted, housed</w:t>
      </w:r>
    </w:p>
    <w:p>
      <w:pPr>
        <w:keepNext w:val="0"/>
        <w:spacing w:before="240" w:after="0" w:line="260" w:lineRule="atLeast"/>
        <w:ind w:left="0" w:right="0" w:firstLine="0"/>
        <w:jc w:val="left"/>
      </w:pPr>
      <w:bookmarkStart w:id="3" w:name="Counsel"/>
      <w:bookmarkEnd w:id="3"/>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James Eric Mondragon, Plaintiff, Pro se, Crown Point, IN.</w:t>
      </w:r>
    </w:p>
    <w:p>
      <w:pPr>
        <w:keepNext w:val="0"/>
        <w:spacing w:before="240" w:after="0" w:line="260" w:lineRule="atLeast"/>
        <w:ind w:left="0" w:right="0" w:firstLine="0"/>
        <w:jc w:val="left"/>
      </w:pPr>
      <w:bookmarkStart w:id="4" w:name="Judges"/>
      <w:bookmarkEnd w:id="4"/>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JAMES T. MOODY, UNITED STATES DISTRICT JUDGE.</w:t>
      </w:r>
    </w:p>
    <w:p>
      <w:pPr>
        <w:keepNext w:val="0"/>
        <w:spacing w:before="240" w:after="0" w:line="260" w:lineRule="atLeast"/>
        <w:ind w:left="0" w:right="0" w:firstLine="0"/>
        <w:jc w:val="left"/>
      </w:pPr>
      <w:bookmarkStart w:id="5" w:name="Opinion by"/>
      <w:bookmarkEnd w:id="5"/>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JAMES T. MOODY</w:t>
      </w:r>
    </w:p>
    <w:p>
      <w:pPr>
        <w:keepNext/>
        <w:spacing w:before="240" w:after="0" w:line="340" w:lineRule="atLeast"/>
        <w:ind w:left="0" w:right="0" w:firstLine="0"/>
        <w:jc w:val="left"/>
      </w:pPr>
      <w:bookmarkStart w:id="6" w:name="Opinion"/>
      <w:bookmarkEnd w:id="6"/>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OPINION AND ORDER</w:t>
      </w:r>
    </w:p>
    <w:p>
      <w:pPr>
        <w:keepNext w:val="0"/>
        <w:spacing w:before="240" w:after="0" w:line="260" w:lineRule="atLeast"/>
        <w:ind w:left="0" w:right="0" w:firstLine="0"/>
        <w:jc w:val="both"/>
      </w:pPr>
      <w:bookmarkStart w:id="7" w:name="Bookmark_para_1"/>
      <w:bookmarkEnd w:id="7"/>
      <w:bookmarkStart w:id="8" w:name="Bookmark_I6799SXR2HM6C50020000400"/>
      <w:bookmarkEnd w:id="8"/>
      <w:r>
        <w:rPr>
          <w:rFonts w:ascii="arial" w:eastAsia="arial" w:hAnsi="arial" w:cs="arial"/>
          <w:b w:val="0"/>
          <w:i w:val="0"/>
          <w:strike w:val="0"/>
          <w:noProof w:val="0"/>
          <w:color w:val="000000"/>
          <w:position w:val="0"/>
          <w:sz w:val="20"/>
          <w:u w:val="none"/>
          <w:vertAlign w:val="baseline"/>
        </w:rPr>
        <w:t xml:space="preserve">James Eric Mondragon, a prisoner without a lawyer, filed a complaint against eight defendants. (DE # 1.) "A document filed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xml:space="preserve"> is to be liberally construed, and a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xml:space="preserve"> complaint, however inartfully pleaded, must be held to less stringent standards than formal pleadings drafted by lawyers." </w:t>
      </w:r>
      <w:bookmarkStart w:id="9" w:name="Bookmark_I6799SXR2HM6C50010000400"/>
      <w:bookmarkEnd w:id="9"/>
      <w:hyperlink r:id="rId9" w:history="1">
        <w:r>
          <w:rPr>
            <w:rFonts w:ascii="arial" w:eastAsia="arial" w:hAnsi="arial" w:cs="arial"/>
            <w:b w:val="0"/>
            <w:i/>
            <w:strike w:val="0"/>
            <w:noProof w:val="0"/>
            <w:color w:val="0077CC"/>
            <w:position w:val="0"/>
            <w:sz w:val="20"/>
            <w:u w:val="single"/>
            <w:vertAlign w:val="baseline"/>
          </w:rPr>
          <w:t>Erickson v. Pardus</w:t>
        </w:r>
      </w:hyperlink>
      <w:hyperlink r:id="rId9" w:history="1">
        <w:r>
          <w:rPr>
            <w:rFonts w:ascii="arial" w:eastAsia="arial" w:hAnsi="arial" w:cs="arial"/>
            <w:b w:val="0"/>
            <w:i/>
            <w:strike w:val="0"/>
            <w:noProof w:val="0"/>
            <w:color w:val="0077CC"/>
            <w:position w:val="0"/>
            <w:sz w:val="20"/>
            <w:u w:val="single"/>
            <w:vertAlign w:val="baseline"/>
          </w:rPr>
          <w:t>, 551 U.S. 89, 94, 127 S. Ct. 2197, 167 L. Ed. 2d 1081 (2007)</w:t>
        </w:r>
      </w:hyperlink>
      <w:r>
        <w:rPr>
          <w:rFonts w:ascii="arial" w:eastAsia="arial" w:hAnsi="arial" w:cs="arial"/>
          <w:b w:val="0"/>
          <w:i w:val="0"/>
          <w:strike w:val="0"/>
          <w:noProof w:val="0"/>
          <w:color w:val="000000"/>
          <w:position w:val="0"/>
          <w:sz w:val="20"/>
          <w:u w:val="none"/>
          <w:vertAlign w:val="baseline"/>
        </w:rPr>
        <w:t xml:space="preserve"> (quotation marks and citations omitted). Nevertheless, under </w:t>
      </w:r>
      <w:hyperlink r:id="rId10" w:history="1">
        <w:r>
          <w:rPr>
            <w:rFonts w:ascii="arial" w:eastAsia="arial" w:hAnsi="arial" w:cs="arial"/>
            <w:b w:val="0"/>
            <w:i/>
            <w:strike w:val="0"/>
            <w:noProof w:val="0"/>
            <w:color w:val="0077CC"/>
            <w:position w:val="0"/>
            <w:sz w:val="20"/>
            <w:u w:val="single"/>
            <w:vertAlign w:val="baseline"/>
          </w:rPr>
          <w:t>28 U.S.C. § 1915A</w:t>
        </w:r>
      </w:hyperlink>
      <w:r>
        <w:rPr>
          <w:rFonts w:ascii="arial" w:eastAsia="arial" w:hAnsi="arial" w:cs="arial"/>
          <w:b w:val="0"/>
          <w:i w:val="0"/>
          <w:strike w:val="0"/>
          <w:noProof w:val="0"/>
          <w:color w:val="000000"/>
          <w:position w:val="0"/>
          <w:sz w:val="20"/>
          <w:u w:val="none"/>
          <w:vertAlign w:val="baseline"/>
        </w:rPr>
        <w:t>, the court must review the merits of a prisoner complaint and dismiss it if the action is frivolous or malicious, fails to state a claim upon which relief may be granted, or seeks monetary relief against a defendant who is immune from such relief.</w:t>
      </w:r>
    </w:p>
    <w:p>
      <w:pPr>
        <w:keepNext w:val="0"/>
        <w:spacing w:before="200" w:after="0" w:line="260" w:lineRule="atLeast"/>
        <w:ind w:left="0" w:right="0" w:firstLine="0"/>
        <w:jc w:val="both"/>
      </w:pPr>
      <w:bookmarkStart w:id="10" w:name="Bookmark_para_2"/>
      <w:bookmarkEnd w:id="10"/>
      <w:r>
        <w:rPr>
          <w:rFonts w:ascii="arial" w:eastAsia="arial" w:hAnsi="arial" w:cs="arial"/>
          <w:b w:val="0"/>
          <w:i w:val="0"/>
          <w:strike w:val="0"/>
          <w:noProof w:val="0"/>
          <w:color w:val="000000"/>
          <w:position w:val="0"/>
          <w:sz w:val="20"/>
          <w:u w:val="none"/>
          <w:vertAlign w:val="baseline"/>
        </w:rPr>
        <w:t xml:space="preserve">Mr. Mondragon alleges that, in December 2020, when he was housed in section 3F of the Lake County Jail, a number of inmates, correctional officers, and nurses conspired to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contraband into the jail. (DE # 1 at 2.) He asserts the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efforts were facilitated by the use of text messages.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On a number of occasions, Mr. Mondragon states Officer Kelley came to section 3F and advised two inmates what should be said via text message.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Mr. Mondragon</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asserts that, after Officers Kelley, Walker, and Jones told inmates that he was being taken to the detectives' bureau for questioning about the contraband, two inmates assaulted and injured him.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After the assault, Mr. Mondragon was moved from section 3F and placed in protective custody.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He states he did not receive medical treatment for his injuries even though his nose, rib, and elbow had been broken.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2-3.)</w:t>
      </w:r>
    </w:p>
    <w:p>
      <w:pPr>
        <w:keepNext w:val="0"/>
        <w:spacing w:before="200" w:after="0" w:line="260" w:lineRule="atLeast"/>
        <w:ind w:left="0" w:right="0" w:firstLine="0"/>
        <w:jc w:val="both"/>
      </w:pPr>
      <w:bookmarkStart w:id="11" w:name="Bookmark_para_3"/>
      <w:bookmarkEnd w:id="11"/>
      <w:r>
        <w:rPr>
          <w:rFonts w:ascii="arial" w:eastAsia="arial" w:hAnsi="arial" w:cs="arial"/>
          <w:b w:val="0"/>
          <w:i w:val="0"/>
          <w:strike w:val="0"/>
          <w:noProof w:val="0"/>
          <w:color w:val="000000"/>
          <w:position w:val="0"/>
          <w:sz w:val="20"/>
          <w:u w:val="none"/>
          <w:vertAlign w:val="baseline"/>
        </w:rPr>
        <w:t>Mr. Mondragon asserts he wrote to Deputy Warden O'Connor about the situation at Lake County Jail.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 He next states that classification officers Jarrett and Rodrieguez knew he should not be housed with certain inmates.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He also claims Judge Boswell ordered him to be moved to Porter County Jail and, after he was ordered to be moved to that jail, Deputy Warden O'Connor and a team of officers placed him in segregated housing for five days where he was handcuffed, naked, and housed next to an inmate he was not supposed to be around.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The inmate verbally assaulted him and pounded on the walls and toilet all hours of the day and night even though he knew Mr. Mondragon was taking mental health medication.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2" w:name="Bookmark_para_4"/>
      <w:bookmarkEnd w:id="12"/>
      <w:bookmarkStart w:id="13" w:name="Bookmark_I6799SXR2HM6C50040000400"/>
      <w:bookmarkEnd w:id="13"/>
      <w:bookmarkStart w:id="14" w:name="Bookmark_I6799SXR2N1RVM0030000400"/>
      <w:bookmarkEnd w:id="14"/>
      <w:bookmarkStart w:id="15" w:name="Bookmark_I6799SXR2N1RVM0050000400"/>
      <w:bookmarkEnd w:id="15"/>
      <w:r>
        <w:rPr>
          <w:rFonts w:ascii="arial" w:eastAsia="arial" w:hAnsi="arial" w:cs="arial"/>
          <w:b w:val="0"/>
          <w:i w:val="0"/>
          <w:strike w:val="0"/>
          <w:noProof w:val="0"/>
          <w:color w:val="000000"/>
          <w:position w:val="0"/>
          <w:sz w:val="20"/>
          <w:u w:val="none"/>
          <w:vertAlign w:val="baseline"/>
        </w:rPr>
        <w:t>The crux of Mr. Mondragon's complaint</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is that the defendants failed to protect him from being assaulted by two inmates at Lake County Jail. "Incarcerated people have a clearly established right to be free from physical harm inflicted by others in the institution." </w:t>
      </w:r>
      <w:bookmarkStart w:id="16" w:name="Bookmark_I6799SXR2HM6C50030000400"/>
      <w:bookmarkEnd w:id="16"/>
      <w:hyperlink r:id="rId11" w:history="1">
        <w:r>
          <w:rPr>
            <w:rFonts w:ascii="arial" w:eastAsia="arial" w:hAnsi="arial" w:cs="arial"/>
            <w:b w:val="0"/>
            <w:i/>
            <w:strike w:val="0"/>
            <w:noProof w:val="0"/>
            <w:color w:val="0077CC"/>
            <w:position w:val="0"/>
            <w:sz w:val="20"/>
            <w:u w:val="single"/>
            <w:vertAlign w:val="baseline"/>
          </w:rPr>
          <w:t>Kemp v. Fulton Cty.</w:t>
        </w:r>
      </w:hyperlink>
      <w:hyperlink r:id="rId11" w:history="1">
        <w:r>
          <w:rPr>
            <w:rFonts w:ascii="arial" w:eastAsia="arial" w:hAnsi="arial" w:cs="arial"/>
            <w:b w:val="0"/>
            <w:i/>
            <w:strike w:val="0"/>
            <w:noProof w:val="0"/>
            <w:color w:val="0077CC"/>
            <w:position w:val="0"/>
            <w:sz w:val="20"/>
            <w:u w:val="single"/>
            <w:vertAlign w:val="baseline"/>
          </w:rPr>
          <w:t>, 27 F.4th 491, 494 (7th Cir. 2022)</w:t>
        </w:r>
      </w:hyperlink>
      <w:r>
        <w:rPr>
          <w:rFonts w:ascii="arial" w:eastAsia="arial" w:hAnsi="arial" w:cs="arial"/>
          <w:b w:val="0"/>
          <w:i w:val="0"/>
          <w:strike w:val="0"/>
          <w:noProof w:val="0"/>
          <w:color w:val="000000"/>
          <w:position w:val="0"/>
          <w:sz w:val="20"/>
          <w:u w:val="none"/>
          <w:vertAlign w:val="baseline"/>
        </w:rPr>
        <w:t xml:space="preserve"> (citing </w:t>
      </w:r>
      <w:bookmarkStart w:id="17" w:name="Bookmark_I6799SXR2HM6C50050000400"/>
      <w:bookmarkEnd w:id="17"/>
      <w:hyperlink r:id="rId12" w:history="1">
        <w:r>
          <w:rPr>
            <w:rFonts w:ascii="arial" w:eastAsia="arial" w:hAnsi="arial" w:cs="arial"/>
            <w:b w:val="0"/>
            <w:i/>
            <w:strike w:val="0"/>
            <w:noProof w:val="0"/>
            <w:color w:val="0077CC"/>
            <w:position w:val="0"/>
            <w:sz w:val="20"/>
            <w:u w:val="single"/>
            <w:vertAlign w:val="baseline"/>
          </w:rPr>
          <w:t>Farmer v. Brennan</w:t>
        </w:r>
      </w:hyperlink>
      <w:hyperlink r:id="rId12" w:history="1">
        <w:r>
          <w:rPr>
            <w:rFonts w:ascii="arial" w:eastAsia="arial" w:hAnsi="arial" w:cs="arial"/>
            <w:b w:val="0"/>
            <w:i/>
            <w:strike w:val="0"/>
            <w:noProof w:val="0"/>
            <w:color w:val="0077CC"/>
            <w:position w:val="0"/>
            <w:sz w:val="20"/>
            <w:u w:val="single"/>
            <w:vertAlign w:val="baseline"/>
          </w:rPr>
          <w:t>, 511 U.S. 825, 833, 114 S. Ct. 1970, 128 L. Ed. 2d 811 (1994)</w:t>
        </w:r>
      </w:hyperlink>
      <w:r>
        <w:rPr>
          <w:rFonts w:ascii="arial" w:eastAsia="arial" w:hAnsi="arial" w:cs="arial"/>
          <w:b w:val="0"/>
          <w:i w:val="0"/>
          <w:strike w:val="0"/>
          <w:noProof w:val="0"/>
          <w:color w:val="000000"/>
          <w:position w:val="0"/>
          <w:sz w:val="20"/>
          <w:u w:val="none"/>
          <w:vertAlign w:val="baseline"/>
        </w:rPr>
        <w:t xml:space="preserve"> ("[P]rison officials have a duty . . . to protect prisoners from violence at the hands of other prisoners.")). The Seventh Circuit has extended the </w:t>
      </w:r>
      <w:hyperlink r:id="rId13" w:history="1">
        <w:r>
          <w:rPr>
            <w:rFonts w:ascii="arial" w:eastAsia="arial" w:hAnsi="arial" w:cs="arial"/>
            <w:b w:val="0"/>
            <w:i/>
            <w:strike w:val="0"/>
            <w:noProof w:val="0"/>
            <w:color w:val="0077CC"/>
            <w:position w:val="0"/>
            <w:sz w:val="20"/>
            <w:u w:val="single"/>
            <w:vertAlign w:val="baseline"/>
          </w:rPr>
          <w:t>Fourteenth Amendment's</w:t>
        </w:r>
      </w:hyperlink>
      <w:r>
        <w:rPr>
          <w:rFonts w:ascii="arial" w:eastAsia="arial" w:hAnsi="arial" w:cs="arial"/>
          <w:b w:val="0"/>
          <w:i w:val="0"/>
          <w:strike w:val="0"/>
          <w:noProof w:val="0"/>
          <w:color w:val="000000"/>
          <w:position w:val="0"/>
          <w:sz w:val="20"/>
          <w:u w:val="none"/>
          <w:vertAlign w:val="baseline"/>
        </w:rPr>
        <w:t xml:space="preserve"> objective unreasonableness test found in </w:t>
      </w:r>
      <w:bookmarkStart w:id="18" w:name="Bookmark_I6799SXR2N1RVM0020000400"/>
      <w:bookmarkEnd w:id="18"/>
      <w:hyperlink r:id="rId14" w:history="1">
        <w:r>
          <w:rPr>
            <w:rFonts w:ascii="arial" w:eastAsia="arial" w:hAnsi="arial" w:cs="arial"/>
            <w:b w:val="0"/>
            <w:i/>
            <w:strike w:val="0"/>
            <w:noProof w:val="0"/>
            <w:color w:val="0077CC"/>
            <w:position w:val="0"/>
            <w:sz w:val="20"/>
            <w:u w:val="single"/>
            <w:vertAlign w:val="baseline"/>
          </w:rPr>
          <w:t>Kingsley v. Hendrickson</w:t>
        </w:r>
      </w:hyperlink>
      <w:hyperlink r:id="rId14" w:history="1">
        <w:r>
          <w:rPr>
            <w:rFonts w:ascii="arial" w:eastAsia="arial" w:hAnsi="arial" w:cs="arial"/>
            <w:b w:val="0"/>
            <w:i/>
            <w:strike w:val="0"/>
            <w:noProof w:val="0"/>
            <w:color w:val="0077CC"/>
            <w:position w:val="0"/>
            <w:sz w:val="20"/>
            <w:u w:val="single"/>
            <w:vertAlign w:val="baseline"/>
          </w:rPr>
          <w:t>, 576 U.S. 389, 135 S. Ct. 2466, 192 L. Ed. 2d 416 (2015)</w:t>
        </w:r>
      </w:hyperlink>
      <w:r>
        <w:rPr>
          <w:rFonts w:ascii="arial" w:eastAsia="arial" w:hAnsi="arial" w:cs="arial"/>
          <w:b w:val="0"/>
          <w:i w:val="0"/>
          <w:strike w:val="0"/>
          <w:noProof w:val="0"/>
          <w:color w:val="000000"/>
          <w:position w:val="0"/>
          <w:sz w:val="20"/>
          <w:u w:val="none"/>
          <w:vertAlign w:val="baseline"/>
        </w:rPr>
        <w:t xml:space="preserve">, to failure to protect claims. </w:t>
      </w:r>
      <w:r>
        <w:rPr>
          <w:rFonts w:ascii="arial" w:eastAsia="arial" w:hAnsi="arial" w:cs="arial"/>
          <w:b w:val="0"/>
          <w:i/>
          <w:strike w:val="0"/>
          <w:noProof w:val="0"/>
          <w:color w:val="000000"/>
          <w:position w:val="0"/>
          <w:sz w:val="20"/>
          <w:u w:val="none"/>
          <w:vertAlign w:val="baseline"/>
        </w:rPr>
        <w:t xml:space="preserve">See </w:t>
      </w:r>
      <w:bookmarkStart w:id="19" w:name="Bookmark_I6799SXR2N1RVM0040000400"/>
      <w:bookmarkEnd w:id="19"/>
      <w:hyperlink r:id="rId11" w:history="1">
        <w:r>
          <w:rPr>
            <w:rFonts w:ascii="arial" w:eastAsia="arial" w:hAnsi="arial" w:cs="arial"/>
            <w:b w:val="0"/>
            <w:i/>
            <w:strike w:val="0"/>
            <w:noProof w:val="0"/>
            <w:color w:val="0077CC"/>
            <w:position w:val="0"/>
            <w:sz w:val="20"/>
            <w:u w:val="single"/>
            <w:vertAlign w:val="baseline"/>
          </w:rPr>
          <w:t>id.</w:t>
        </w:r>
      </w:hyperlink>
      <w:hyperlink r:id="rId11" w:history="1">
        <w:r>
          <w:rPr>
            <w:rFonts w:ascii="arial" w:eastAsia="arial" w:hAnsi="arial" w:cs="arial"/>
            <w:b w:val="0"/>
            <w:i/>
            <w:strike w:val="0"/>
            <w:noProof w:val="0"/>
            <w:color w:val="0077CC"/>
            <w:position w:val="0"/>
            <w:sz w:val="20"/>
            <w:u w:val="single"/>
            <w:vertAlign w:val="baseline"/>
          </w:rPr>
          <w:t xml:space="preserve"> at 495</w:t>
        </w:r>
      </w:hyperlink>
      <w:r>
        <w:rPr>
          <w:rFonts w:ascii="arial" w:eastAsia="arial" w:hAnsi="arial" w:cs="arial"/>
          <w:b w:val="0"/>
          <w:i w:val="0"/>
          <w:strike w:val="0"/>
          <w:noProof w:val="0"/>
          <w:color w:val="000000"/>
          <w:position w:val="0"/>
          <w:sz w:val="20"/>
          <w:u w:val="none"/>
          <w:vertAlign w:val="baseline"/>
        </w:rPr>
        <w:t xml:space="preserve"> (citing </w:t>
      </w:r>
      <w:bookmarkStart w:id="20" w:name="Bookmark_I6799SXS2SF8K30010000400"/>
      <w:bookmarkEnd w:id="20"/>
      <w:hyperlink r:id="rId15" w:history="1">
        <w:r>
          <w:rPr>
            <w:rFonts w:ascii="arial" w:eastAsia="arial" w:hAnsi="arial" w:cs="arial"/>
            <w:b w:val="0"/>
            <w:i/>
            <w:strike w:val="0"/>
            <w:noProof w:val="0"/>
            <w:color w:val="0077CC"/>
            <w:position w:val="0"/>
            <w:sz w:val="20"/>
            <w:u w:val="single"/>
            <w:vertAlign w:val="baseline"/>
          </w:rPr>
          <w:t>Hardeman v. Curran</w:t>
        </w:r>
      </w:hyperlink>
      <w:hyperlink r:id="rId15" w:history="1">
        <w:r>
          <w:rPr>
            <w:rFonts w:ascii="arial" w:eastAsia="arial" w:hAnsi="arial" w:cs="arial"/>
            <w:b w:val="0"/>
            <w:i/>
            <w:strike w:val="0"/>
            <w:noProof w:val="0"/>
            <w:color w:val="0077CC"/>
            <w:position w:val="0"/>
            <w:sz w:val="20"/>
            <w:u w:val="single"/>
            <w:vertAlign w:val="baseline"/>
          </w:rPr>
          <w:t>, 933 F.3d 816 (7th Cir. 2019)</w:t>
        </w:r>
      </w:hyperlink>
      <w:r>
        <w:rPr>
          <w:rFonts w:ascii="arial" w:eastAsia="arial" w:hAnsi="arial" w:cs="arial"/>
          <w:b w:val="0"/>
          <w:i w:val="0"/>
          <w:strike w:val="0"/>
          <w:noProof w:val="0"/>
          <w:color w:val="000000"/>
          <w:position w:val="0"/>
          <w:sz w:val="20"/>
          <w:u w:val="none"/>
          <w:vertAlign w:val="baseline"/>
        </w:rPr>
        <w:t>). Specifically, a pretrial detainee states a failure to protect claim when he alleges:</w:t>
      </w:r>
    </w:p>
    <w:p>
      <w:pPr>
        <w:keepNext w:val="0"/>
        <w:spacing w:after="0" w:line="260" w:lineRule="atLeast"/>
        <w:ind w:left="400" w:right="0" w:firstLine="0"/>
        <w:jc w:val="both"/>
      </w:pPr>
      <w:bookmarkStart w:id="21" w:name="Bookmark_para_5"/>
      <w:bookmarkEnd w:id="21"/>
      <w:r>
        <w:rPr>
          <w:rFonts w:ascii="arial" w:eastAsia="arial" w:hAnsi="arial" w:cs="arial"/>
          <w:b w:val="0"/>
          <w:i w:val="0"/>
          <w:strike w:val="0"/>
          <w:noProof w:val="0"/>
          <w:color w:val="000000"/>
          <w:position w:val="0"/>
          <w:sz w:val="20"/>
          <w:u w:val="none"/>
          <w:vertAlign w:val="baseline"/>
        </w:rPr>
        <w:t>(1) The defendant made an intentional decision with respect to the conditions under which the plaintiff was confined;</w:t>
      </w:r>
    </w:p>
    <w:p>
      <w:pPr>
        <w:keepNext w:val="0"/>
        <w:spacing w:after="0" w:line="260" w:lineRule="atLeast"/>
        <w:ind w:left="400" w:right="0" w:firstLine="0"/>
        <w:jc w:val="both"/>
      </w:pPr>
      <w:bookmarkStart w:id="22" w:name="Bookmark_para_6"/>
      <w:bookmarkEnd w:id="22"/>
      <w:r>
        <w:rPr>
          <w:rFonts w:ascii="arial" w:eastAsia="arial" w:hAnsi="arial" w:cs="arial"/>
          <w:b w:val="0"/>
          <w:i w:val="0"/>
          <w:strike w:val="0"/>
          <w:noProof w:val="0"/>
          <w:color w:val="000000"/>
          <w:position w:val="0"/>
          <w:sz w:val="20"/>
          <w:u w:val="none"/>
          <w:vertAlign w:val="baseline"/>
        </w:rPr>
        <w:t>(2) Those conditions put the plaintiff at substantial risk of suffering serious harm;</w:t>
      </w:r>
    </w:p>
    <w:p>
      <w:pPr>
        <w:keepNext w:val="0"/>
        <w:spacing w:before="200" w:after="0" w:line="260" w:lineRule="atLeast"/>
        <w:ind w:left="400" w:right="0" w:firstLine="0"/>
        <w:jc w:val="both"/>
      </w:pPr>
      <w:bookmarkStart w:id="23" w:name="Bookmark_para_7"/>
      <w:bookmarkEnd w:id="23"/>
      <w:bookmarkStart w:id="24" w:name="Bookmark_I6799SXS2SF8K30040000400"/>
      <w:bookmarkEnd w:id="24"/>
      <w:r>
        <w:rPr>
          <w:rFonts w:ascii="arial" w:eastAsia="arial" w:hAnsi="arial" w:cs="arial"/>
          <w:b w:val="0"/>
          <w:i w:val="0"/>
          <w:strike w:val="0"/>
          <w:noProof w:val="0"/>
          <w:color w:val="000000"/>
          <w:position w:val="0"/>
          <w:sz w:val="20"/>
          <w:u w:val="none"/>
          <w:vertAlign w:val="baseline"/>
        </w:rPr>
        <w:t xml:space="preserve">(3) The defendant did not take reasonable available measures to abate that risk, </w:t>
      </w:r>
      <w:r>
        <w:rPr>
          <w:rFonts w:ascii="arial" w:eastAsia="arial" w:hAnsi="arial" w:cs="arial"/>
          <w:b w:val="0"/>
          <w:i/>
          <w:strike w:val="0"/>
          <w:noProof w:val="0"/>
          <w:color w:val="000000"/>
          <w:position w:val="0"/>
          <w:sz w:val="20"/>
          <w:u w:val="none"/>
          <w:vertAlign w:val="baseline"/>
        </w:rPr>
        <w:t>even though a reasonable officer in the circumstances would have appreciated the high degree of risk involved</w:t>
      </w:r>
      <w:r>
        <w:rPr>
          <w:rFonts w:ascii="arial" w:eastAsia="arial" w:hAnsi="arial" w:cs="arial"/>
          <w:b w:val="0"/>
          <w:i w:val="0"/>
          <w:strike w:val="0"/>
          <w:noProof w:val="0"/>
          <w:color w:val="000000"/>
          <w:position w:val="0"/>
          <w:sz w:val="20"/>
          <w:u w:val="none"/>
          <w:vertAlign w:val="baseline"/>
        </w:rPr>
        <w:t>—making the consequences of the defendant's conduct obvious; and</w:t>
      </w:r>
    </w:p>
    <w:p>
      <w:pPr>
        <w:keepNext w:val="0"/>
        <w:spacing w:after="0" w:line="260" w:lineRule="atLeast"/>
        <w:ind w:left="400" w:right="0" w:firstLine="0"/>
        <w:jc w:val="both"/>
      </w:pPr>
      <w:bookmarkStart w:id="25" w:name="Bookmark_para_8"/>
      <w:bookmarkEnd w:id="25"/>
      <w:bookmarkStart w:id="26" w:name="Bookmark_I6799SXS2SF8K30040000400_2"/>
      <w:bookmarkEnd w:id="26"/>
      <w:r>
        <w:rPr>
          <w:rFonts w:ascii="arial" w:eastAsia="arial" w:hAnsi="arial" w:cs="arial"/>
          <w:b w:val="0"/>
          <w:i w:val="0"/>
          <w:strike w:val="0"/>
          <w:noProof w:val="0"/>
          <w:color w:val="000000"/>
          <w:position w:val="0"/>
          <w:sz w:val="20"/>
          <w:u w:val="none"/>
          <w:vertAlign w:val="baseline"/>
        </w:rPr>
        <w:t>(4) By not taking such measures, the defendant caused the plaintiff's injuries.</w:t>
      </w:r>
    </w:p>
    <w:p>
      <w:pPr>
        <w:keepNext w:val="0"/>
        <w:spacing w:before="240" w:after="0" w:line="260" w:lineRule="atLeast"/>
        <w:ind w:left="0" w:right="0" w:firstLine="0"/>
        <w:jc w:val="both"/>
      </w:pPr>
      <w:bookmarkStart w:id="27" w:name="Bookmark_I6799SXS2SF8K30040000400_3"/>
      <w:bookmarkEnd w:id="27"/>
      <w:bookmarkStart w:id="28" w:name="Bookmark_I6799SXS2SF8K30030000400"/>
      <w:bookmarkEnd w:id="28"/>
      <w:hyperlink r:id="rId11" w:history="1">
        <w:r>
          <w:rPr>
            <w:rFonts w:ascii="arial" w:eastAsia="arial" w:hAnsi="arial" w:cs="arial"/>
            <w:b w:val="0"/>
            <w:i/>
            <w:strike w:val="0"/>
            <w:color w:val="0077CC"/>
            <w:sz w:val="20"/>
            <w:u w:val="single"/>
            <w:vertAlign w:val="baseline"/>
          </w:rPr>
          <w:t>Id.</w:t>
        </w:r>
      </w:hyperlink>
      <w:hyperlink r:id="rId11" w:history="1">
        <w:r>
          <w:rPr>
            <w:rFonts w:ascii="arial" w:eastAsia="arial" w:hAnsi="arial" w:cs="arial"/>
            <w:b w:val="0"/>
            <w:i/>
            <w:strike w:val="0"/>
            <w:color w:val="0077CC"/>
            <w:sz w:val="20"/>
            <w:u w:val="single"/>
            <w:vertAlign w:val="baseline"/>
          </w:rPr>
          <w:t xml:space="preserve"> at 496</w:t>
        </w:r>
      </w:hyperlink>
      <w:r>
        <w:rPr>
          <w:rFonts w:ascii="arial" w:eastAsia="arial" w:hAnsi="arial" w:cs="arial"/>
          <w:b w:val="0"/>
          <w:i w:val="0"/>
          <w:strike w:val="0"/>
          <w:noProof w:val="0"/>
          <w:color w:val="000000"/>
          <w:position w:val="0"/>
          <w:sz w:val="20"/>
          <w:u w:val="none"/>
          <w:vertAlign w:val="baseline"/>
        </w:rPr>
        <w:t xml:space="preserve"> (emphasis added by Court of Appeals) (quoting </w:t>
      </w:r>
      <w:bookmarkStart w:id="29" w:name="Bookmark_I6799SXS2SF8K30050000400"/>
      <w:bookmarkEnd w:id="29"/>
      <w:hyperlink r:id="rId16" w:history="1">
        <w:r>
          <w:rPr>
            <w:rFonts w:ascii="arial" w:eastAsia="arial" w:hAnsi="arial" w:cs="arial"/>
            <w:b w:val="0"/>
            <w:i/>
            <w:strike w:val="0"/>
            <w:noProof w:val="0"/>
            <w:color w:val="0077CC"/>
            <w:position w:val="0"/>
            <w:sz w:val="20"/>
            <w:u w:val="single"/>
            <w:vertAlign w:val="baseline"/>
          </w:rPr>
          <w:t>Castro v. Cnty. of Los Angeles</w:t>
        </w:r>
      </w:hyperlink>
      <w:hyperlink r:id="rId16" w:history="1">
        <w:r>
          <w:rPr>
            <w:rFonts w:ascii="arial" w:eastAsia="arial" w:hAnsi="arial" w:cs="arial"/>
            <w:b w:val="0"/>
            <w:i/>
            <w:strike w:val="0"/>
            <w:noProof w:val="0"/>
            <w:color w:val="0077CC"/>
            <w:position w:val="0"/>
            <w:sz w:val="20"/>
            <w:u w:val="single"/>
            <w:vertAlign w:val="baseline"/>
          </w:rPr>
          <w:t>, 833 F.3d 1060 (9th Cir. 2016)</w:t>
        </w:r>
      </w:hyperlink>
      <w:r>
        <w:rPr>
          <w:rFonts w:ascii="arial" w:eastAsia="arial" w:hAnsi="arial" w:cs="arial"/>
          <w:b w:val="0"/>
          <w:i w:val="0"/>
          <w:strike w:val="0"/>
          <w:noProof w:val="0"/>
          <w:color w:val="000000"/>
          <w:position w:val="0"/>
          <w:sz w:val="20"/>
          <w:u w:val="none"/>
          <w:vertAlign w:val="baseline"/>
        </w:rPr>
        <w:t xml:space="preserve"> (en banc)).</w:t>
      </w:r>
    </w:p>
    <w:p>
      <w:pPr>
        <w:keepNext w:val="0"/>
        <w:spacing w:before="240" w:after="0" w:line="260" w:lineRule="atLeast"/>
        <w:ind w:left="0" w:right="0" w:firstLine="0"/>
        <w:jc w:val="both"/>
      </w:pPr>
      <w:bookmarkStart w:id="30" w:name="Bookmark_para_9"/>
      <w:bookmarkEnd w:id="30"/>
      <w:bookmarkStart w:id="31" w:name="Bookmark_I6799SXS2HM6CJ0030000400"/>
      <w:bookmarkEnd w:id="31"/>
      <w:bookmarkStart w:id="32" w:name="Bookmark_I6799SXS2HM6CJ0050000400"/>
      <w:bookmarkEnd w:id="32"/>
      <w:bookmarkStart w:id="33" w:name="Bookmark_I6799SXS2D6NCX0020000400"/>
      <w:bookmarkEnd w:id="33"/>
      <w:r>
        <w:rPr>
          <w:rFonts w:ascii="arial" w:eastAsia="arial" w:hAnsi="arial" w:cs="arial"/>
          <w:b w:val="0"/>
          <w:i w:val="0"/>
          <w:strike w:val="0"/>
          <w:noProof w:val="0"/>
          <w:color w:val="000000"/>
          <w:position w:val="0"/>
          <w:sz w:val="20"/>
          <w:u w:val="none"/>
          <w:vertAlign w:val="baseline"/>
        </w:rPr>
        <w:t>As to the second element, the Seventh Circuit has</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equated "substantial risk" to "risks so great that they are almost certain to materialize if nothing is done." </w:t>
      </w:r>
      <w:bookmarkStart w:id="34" w:name="Bookmark_I6799SXS2HM6CJ0020000400"/>
      <w:bookmarkEnd w:id="34"/>
      <w:hyperlink r:id="rId17" w:history="1">
        <w:r>
          <w:rPr>
            <w:rFonts w:ascii="arial" w:eastAsia="arial" w:hAnsi="arial" w:cs="arial"/>
            <w:b w:val="0"/>
            <w:i/>
            <w:strike w:val="0"/>
            <w:noProof w:val="0"/>
            <w:color w:val="0077CC"/>
            <w:position w:val="0"/>
            <w:sz w:val="20"/>
            <w:u w:val="single"/>
            <w:vertAlign w:val="baseline"/>
          </w:rPr>
          <w:t>Brown v. Budz</w:t>
        </w:r>
      </w:hyperlink>
      <w:hyperlink r:id="rId17" w:history="1">
        <w:r>
          <w:rPr>
            <w:rFonts w:ascii="arial" w:eastAsia="arial" w:hAnsi="arial" w:cs="arial"/>
            <w:b w:val="0"/>
            <w:i/>
            <w:strike w:val="0"/>
            <w:noProof w:val="0"/>
            <w:color w:val="0077CC"/>
            <w:position w:val="0"/>
            <w:sz w:val="20"/>
            <w:u w:val="single"/>
            <w:vertAlign w:val="baseline"/>
          </w:rPr>
          <w:t>, 398 F.3d 904, 911 (7th Cir. 2005)</w:t>
        </w:r>
      </w:hyperlink>
      <w:r>
        <w:rPr>
          <w:rFonts w:ascii="arial" w:eastAsia="arial" w:hAnsi="arial" w:cs="arial"/>
          <w:b w:val="0"/>
          <w:i w:val="0"/>
          <w:strike w:val="0"/>
          <w:noProof w:val="0"/>
          <w:color w:val="000000"/>
          <w:position w:val="0"/>
          <w:sz w:val="20"/>
          <w:u w:val="none"/>
          <w:vertAlign w:val="baseline"/>
        </w:rPr>
        <w:t xml:space="preserve">. The third element "requires only that the defendant's conduct be objectively unreasonable." </w:t>
      </w:r>
      <w:bookmarkStart w:id="35" w:name="Bookmark_I6799SXS2HM6CJ0040000400"/>
      <w:bookmarkEnd w:id="35"/>
      <w:hyperlink r:id="rId11" w:history="1">
        <w:r>
          <w:rPr>
            <w:rFonts w:ascii="arial" w:eastAsia="arial" w:hAnsi="arial" w:cs="arial"/>
            <w:b w:val="0"/>
            <w:i/>
            <w:strike w:val="0"/>
            <w:noProof w:val="0"/>
            <w:color w:val="0077CC"/>
            <w:position w:val="0"/>
            <w:sz w:val="20"/>
            <w:u w:val="single"/>
            <w:vertAlign w:val="baseline"/>
          </w:rPr>
          <w:t>Kemp</w:t>
        </w:r>
      </w:hyperlink>
      <w:hyperlink r:id="rId11" w:history="1">
        <w:r>
          <w:rPr>
            <w:rFonts w:ascii="arial" w:eastAsia="arial" w:hAnsi="arial" w:cs="arial"/>
            <w:b w:val="0"/>
            <w:i/>
            <w:strike w:val="0"/>
            <w:noProof w:val="0"/>
            <w:color w:val="0077CC"/>
            <w:position w:val="0"/>
            <w:sz w:val="20"/>
            <w:u w:val="single"/>
            <w:vertAlign w:val="baseline"/>
          </w:rPr>
          <w:t>, 27 F.4th at 497</w:t>
        </w:r>
      </w:hyperlink>
      <w:r>
        <w:rPr>
          <w:rFonts w:ascii="arial" w:eastAsia="arial" w:hAnsi="arial" w:cs="arial"/>
          <w:b w:val="0"/>
          <w:i w:val="0"/>
          <w:strike w:val="0"/>
          <w:noProof w:val="0"/>
          <w:color w:val="000000"/>
          <w:position w:val="0"/>
          <w:sz w:val="20"/>
          <w:u w:val="none"/>
          <w:vertAlign w:val="baseline"/>
        </w:rPr>
        <w:t xml:space="preserve">. Negligence on the part of a defendant is not enough; instead, they "must intend to carry out a certain course of actions."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Overall, reasonableness "must be determined in light of the totality of the circumstances." </w:t>
      </w:r>
      <w:bookmarkStart w:id="36" w:name="Bookmark_I6799SXS2D6NCX0010000400"/>
      <w:bookmarkEnd w:id="36"/>
      <w:hyperlink r:id="rId18" w:history="1">
        <w:r>
          <w:rPr>
            <w:rFonts w:ascii="arial" w:eastAsia="arial" w:hAnsi="arial" w:cs="arial"/>
            <w:b w:val="0"/>
            <w:i/>
            <w:strike w:val="0"/>
            <w:noProof w:val="0"/>
            <w:color w:val="0077CC"/>
            <w:position w:val="0"/>
            <w:sz w:val="20"/>
            <w:u w:val="single"/>
            <w:vertAlign w:val="baseline"/>
          </w:rPr>
          <w:t>Pulera v. Sarzant</w:t>
        </w:r>
      </w:hyperlink>
      <w:hyperlink r:id="rId18" w:history="1">
        <w:r>
          <w:rPr>
            <w:rFonts w:ascii="arial" w:eastAsia="arial" w:hAnsi="arial" w:cs="arial"/>
            <w:b w:val="0"/>
            <w:i/>
            <w:strike w:val="0"/>
            <w:noProof w:val="0"/>
            <w:color w:val="0077CC"/>
            <w:position w:val="0"/>
            <w:sz w:val="20"/>
            <w:u w:val="single"/>
            <w:vertAlign w:val="baseline"/>
          </w:rPr>
          <w:t>, 966 F.3d 540, 550 (7th Cir. 2020)</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7" w:name="Bookmark_para_10"/>
      <w:bookmarkEnd w:id="37"/>
      <w:r>
        <w:rPr>
          <w:rFonts w:ascii="arial" w:eastAsia="arial" w:hAnsi="arial" w:cs="arial"/>
          <w:b w:val="0"/>
          <w:i w:val="0"/>
          <w:strike w:val="0"/>
          <w:noProof w:val="0"/>
          <w:color w:val="000000"/>
          <w:position w:val="0"/>
          <w:sz w:val="20"/>
          <w:u w:val="none"/>
          <w:vertAlign w:val="baseline"/>
        </w:rPr>
        <w:t xml:space="preserve">In this case, Mr. Mondragon has sued Officers Kelley, Walker, and Jones, alleging they failed to protect him from being physically harmed at Lake County Jail. He claims that, after these officers told other inmates he was being questioned by detectives about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contraband into the jail, he was assaulted by two inmates. However, these allegations, by themselves, are insufficient to infer that Officers Kelley, Walker, and Jones intentionally put Mr. Mondragon at substantial risk of suffering serious harm. Instead, their actions appear to constitute no more than negligence.</w:t>
      </w:r>
    </w:p>
    <w:p>
      <w:pPr>
        <w:keepNext w:val="0"/>
        <w:spacing w:before="240" w:after="0" w:line="260" w:lineRule="atLeast"/>
        <w:ind w:left="0" w:right="0" w:firstLine="0"/>
        <w:jc w:val="both"/>
      </w:pPr>
      <w:bookmarkStart w:id="38" w:name="Bookmark_para_11"/>
      <w:bookmarkEnd w:id="38"/>
      <w:bookmarkStart w:id="39" w:name="Bookmark_I6799SXS2D6NCX0040000400"/>
      <w:bookmarkEnd w:id="39"/>
      <w:r>
        <w:rPr>
          <w:rFonts w:ascii="arial" w:eastAsia="arial" w:hAnsi="arial" w:cs="arial"/>
          <w:b w:val="0"/>
          <w:i w:val="0"/>
          <w:strike w:val="0"/>
          <w:noProof w:val="0"/>
          <w:color w:val="000000"/>
          <w:position w:val="0"/>
          <w:sz w:val="20"/>
          <w:u w:val="none"/>
          <w:vertAlign w:val="baseline"/>
        </w:rPr>
        <w:t>Mr. Mondragon has also sued Deputy Warden O'Connor. However, there is nothing in the complaint to suggest that Deputy Warden O'Connor was present when Mr. Mondragon was assaulted by the two</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inmates or otherwise personally involved in the incident. </w:t>
      </w:r>
      <w:bookmarkStart w:id="40" w:name="Bookmark_I6799SXT28T4J00010000400"/>
      <w:bookmarkEnd w:id="40"/>
      <w:r>
        <w:rPr>
          <w:rFonts w:ascii="arial" w:eastAsia="arial" w:hAnsi="arial" w:cs="arial"/>
          <w:b w:val="0"/>
          <w:i w:val="0"/>
          <w:strike w:val="0"/>
          <w:noProof w:val="0"/>
          <w:color w:val="000000"/>
          <w:position w:val="0"/>
          <w:sz w:val="20"/>
          <w:u w:val="none"/>
          <w:vertAlign w:val="baseline"/>
        </w:rPr>
        <w:t xml:space="preserve">A lawsuit against an individual pursuant to </w:t>
      </w:r>
      <w:hyperlink r:id="rId19"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requires "personal involvement in the alleged constitutional deprivation to support a viable claim." </w:t>
      </w:r>
      <w:bookmarkStart w:id="41" w:name="Bookmark_I6799SXS2D6NCX0030000400"/>
      <w:bookmarkEnd w:id="41"/>
      <w:hyperlink r:id="rId20" w:history="1">
        <w:r>
          <w:rPr>
            <w:rFonts w:ascii="arial" w:eastAsia="arial" w:hAnsi="arial" w:cs="arial"/>
            <w:b w:val="0"/>
            <w:i/>
            <w:strike w:val="0"/>
            <w:noProof w:val="0"/>
            <w:color w:val="0077CC"/>
            <w:position w:val="0"/>
            <w:sz w:val="20"/>
            <w:u w:val="single"/>
            <w:vertAlign w:val="baseline"/>
          </w:rPr>
          <w:t>Palmer v. Marion Cty.</w:t>
        </w:r>
      </w:hyperlink>
      <w:hyperlink r:id="rId20" w:history="1">
        <w:r>
          <w:rPr>
            <w:rFonts w:ascii="arial" w:eastAsia="arial" w:hAnsi="arial" w:cs="arial"/>
            <w:b w:val="0"/>
            <w:i/>
            <w:strike w:val="0"/>
            <w:noProof w:val="0"/>
            <w:color w:val="0077CC"/>
            <w:position w:val="0"/>
            <w:sz w:val="20"/>
            <w:u w:val="single"/>
            <w:vertAlign w:val="baseline"/>
          </w:rPr>
          <w:t>, 327 F.3d 588, 594 (7th Cir. 2003)</w:t>
        </w:r>
      </w:hyperlink>
      <w:r>
        <w:rPr>
          <w:rFonts w:ascii="arial" w:eastAsia="arial" w:hAnsi="arial" w:cs="arial"/>
          <w:b w:val="0"/>
          <w:i w:val="0"/>
          <w:strike w:val="0"/>
          <w:noProof w:val="0"/>
          <w:color w:val="000000"/>
          <w:position w:val="0"/>
          <w:sz w:val="20"/>
          <w:u w:val="none"/>
          <w:vertAlign w:val="baseline"/>
        </w:rPr>
        <w:t xml:space="preserve">. </w:t>
      </w:r>
      <w:bookmarkStart w:id="42" w:name="Bookmark_I6799SXT28T4J00010000400_2"/>
      <w:bookmarkEnd w:id="42"/>
      <w:r>
        <w:rPr>
          <w:rFonts w:ascii="arial" w:eastAsia="arial" w:hAnsi="arial" w:cs="arial"/>
          <w:b w:val="0"/>
          <w:i w:val="0"/>
          <w:strike w:val="0"/>
          <w:noProof w:val="0"/>
          <w:color w:val="000000"/>
          <w:position w:val="0"/>
          <w:sz w:val="20"/>
          <w:u w:val="none"/>
          <w:vertAlign w:val="baseline"/>
        </w:rPr>
        <w:t xml:space="preserve">Also, there is no general respondeat superior liability under </w:t>
      </w:r>
      <w:hyperlink r:id="rId19" w:history="1">
        <w:r>
          <w:rPr>
            <w:rFonts w:ascii="arial" w:eastAsia="arial" w:hAnsi="arial" w:cs="arial"/>
            <w:b w:val="0"/>
            <w:i/>
            <w:strike w:val="0"/>
            <w:noProof w:val="0"/>
            <w:color w:val="0077CC"/>
            <w:position w:val="0"/>
            <w:sz w:val="20"/>
            <w:u w:val="single"/>
            <w:vertAlign w:val="baseline"/>
          </w:rPr>
          <w:t>42 U.S.C. § 1983</w:t>
        </w:r>
      </w:hyperlink>
      <w:r>
        <w:rPr>
          <w:rFonts w:ascii="arial" w:eastAsia="arial" w:hAnsi="arial" w:cs="arial"/>
          <w:b w:val="0"/>
          <w:i w:val="0"/>
          <w:strike w:val="0"/>
          <w:noProof w:val="0"/>
          <w:color w:val="000000"/>
          <w:position w:val="0"/>
          <w:sz w:val="20"/>
          <w:u w:val="none"/>
          <w:vertAlign w:val="baseline"/>
        </w:rPr>
        <w:t xml:space="preserve">. </w:t>
      </w:r>
      <w:bookmarkStart w:id="43" w:name="Bookmark_I6799SXT28T4J00030000400"/>
      <w:bookmarkEnd w:id="43"/>
      <w:bookmarkStart w:id="44" w:name="Bookmark_I6799SXS2D6NCX0050000400"/>
      <w:bookmarkEnd w:id="44"/>
      <w:hyperlink r:id="rId21" w:history="1">
        <w:r>
          <w:rPr>
            <w:rFonts w:ascii="arial" w:eastAsia="arial" w:hAnsi="arial" w:cs="arial"/>
            <w:b w:val="0"/>
            <w:i/>
            <w:strike w:val="0"/>
            <w:noProof w:val="0"/>
            <w:color w:val="0077CC"/>
            <w:position w:val="0"/>
            <w:sz w:val="20"/>
            <w:u w:val="single"/>
            <w:vertAlign w:val="baseline"/>
          </w:rPr>
          <w:t>Burks v. Raemisch</w:t>
        </w:r>
      </w:hyperlink>
      <w:hyperlink r:id="rId21" w:history="1">
        <w:r>
          <w:rPr>
            <w:rFonts w:ascii="arial" w:eastAsia="arial" w:hAnsi="arial" w:cs="arial"/>
            <w:b w:val="0"/>
            <w:i/>
            <w:strike w:val="0"/>
            <w:noProof w:val="0"/>
            <w:color w:val="0077CC"/>
            <w:position w:val="0"/>
            <w:sz w:val="20"/>
            <w:u w:val="single"/>
            <w:vertAlign w:val="baseline"/>
          </w:rPr>
          <w:t>, 555 F.3d 592, 594 (7th Cir. 2009)</w:t>
        </w:r>
      </w:hyperlink>
      <w:r>
        <w:rPr>
          <w:rFonts w:ascii="arial" w:eastAsia="arial" w:hAnsi="arial" w:cs="arial"/>
          <w:b w:val="0"/>
          <w:i w:val="0"/>
          <w:strike w:val="0"/>
          <w:noProof w:val="0"/>
          <w:color w:val="000000"/>
          <w:position w:val="0"/>
          <w:sz w:val="20"/>
          <w:u w:val="none"/>
          <w:vertAlign w:val="baseline"/>
        </w:rPr>
        <w:t xml:space="preserve">. </w:t>
      </w:r>
      <w:bookmarkStart w:id="45" w:name="Bookmark_I6799SXT28T4J00030000400_2"/>
      <w:bookmarkEnd w:id="45"/>
      <w:r>
        <w:rPr>
          <w:rFonts w:ascii="arial" w:eastAsia="arial" w:hAnsi="arial" w:cs="arial"/>
          <w:b w:val="0"/>
          <w:i w:val="0"/>
          <w:strike w:val="0"/>
          <w:noProof w:val="0"/>
          <w:color w:val="000000"/>
          <w:position w:val="0"/>
          <w:sz w:val="20"/>
          <w:u w:val="none"/>
          <w:vertAlign w:val="baseline"/>
        </w:rPr>
        <w:t xml:space="preserve">Thus, Deputy Warden O'Connor cannot be held personally liable solely because he oversees operations at the jail or supervises correctional officers. </w:t>
      </w:r>
      <w:bookmarkStart w:id="46" w:name="Bookmark_I6799SXT28T4J00050000400"/>
      <w:bookmarkEnd w:id="46"/>
      <w:bookmarkStart w:id="47" w:name="Bookmark_I6799SXT28T4J00020000400"/>
      <w:bookmarkEnd w:id="47"/>
      <w:hyperlink r:id="rId22" w:history="1">
        <w:r>
          <w:rPr>
            <w:rFonts w:ascii="arial" w:eastAsia="arial" w:hAnsi="arial" w:cs="arial"/>
            <w:b w:val="0"/>
            <w:i/>
            <w:strike w:val="0"/>
            <w:noProof w:val="0"/>
            <w:color w:val="0077CC"/>
            <w:position w:val="0"/>
            <w:sz w:val="20"/>
            <w:u w:val="single"/>
            <w:vertAlign w:val="baseline"/>
          </w:rPr>
          <w:t>J.K.J. v. Polk Cty.</w:t>
        </w:r>
      </w:hyperlink>
      <w:hyperlink r:id="rId22" w:history="1">
        <w:r>
          <w:rPr>
            <w:rFonts w:ascii="arial" w:eastAsia="arial" w:hAnsi="arial" w:cs="arial"/>
            <w:b w:val="0"/>
            <w:i/>
            <w:strike w:val="0"/>
            <w:noProof w:val="0"/>
            <w:color w:val="0077CC"/>
            <w:position w:val="0"/>
            <w:sz w:val="20"/>
            <w:u w:val="single"/>
            <w:vertAlign w:val="baseline"/>
          </w:rPr>
          <w:t>, 960 F.3d 367, 377 (7th Cir. 2020)</w:t>
        </w:r>
      </w:hyperlink>
      <w:r>
        <w:rPr>
          <w:rFonts w:ascii="arial" w:eastAsia="arial" w:hAnsi="arial" w:cs="arial"/>
          <w:b w:val="0"/>
          <w:i w:val="0"/>
          <w:strike w:val="0"/>
          <w:noProof w:val="0"/>
          <w:color w:val="000000"/>
          <w:position w:val="0"/>
          <w:sz w:val="20"/>
          <w:u w:val="none"/>
          <w:vertAlign w:val="baseline"/>
        </w:rPr>
        <w:t xml:space="preserve">. </w:t>
      </w:r>
      <w:bookmarkStart w:id="48" w:name="Bookmark_I6799SXT28T4J00050000400_2"/>
      <w:bookmarkEnd w:id="48"/>
      <w:r>
        <w:rPr>
          <w:rFonts w:ascii="arial" w:eastAsia="arial" w:hAnsi="arial" w:cs="arial"/>
          <w:b w:val="0"/>
          <w:i w:val="0"/>
          <w:strike w:val="0"/>
          <w:noProof w:val="0"/>
          <w:color w:val="000000"/>
          <w:position w:val="0"/>
          <w:sz w:val="20"/>
          <w:u w:val="none"/>
          <w:vertAlign w:val="baseline"/>
        </w:rPr>
        <w:t xml:space="preserve">Furthermore, the fact that Mr. Mondragon wrote to Deputy Warden O'Connor about his situation at the Lake County Jail does not establish a basis for imposing personal liability. </w:t>
      </w:r>
      <w:bookmarkStart w:id="49" w:name="Bookmark_I6799SXT28T4J00040000400"/>
      <w:bookmarkEnd w:id="49"/>
      <w:hyperlink r:id="rId21" w:history="1">
        <w:r>
          <w:rPr>
            <w:rFonts w:ascii="arial" w:eastAsia="arial" w:hAnsi="arial" w:cs="arial"/>
            <w:b w:val="0"/>
            <w:i/>
            <w:strike w:val="0"/>
            <w:noProof w:val="0"/>
            <w:color w:val="0077CC"/>
            <w:position w:val="0"/>
            <w:sz w:val="20"/>
            <w:u w:val="single"/>
            <w:vertAlign w:val="baseline"/>
          </w:rPr>
          <w:t>Burks</w:t>
        </w:r>
      </w:hyperlink>
      <w:hyperlink r:id="rId21" w:history="1">
        <w:r>
          <w:rPr>
            <w:rFonts w:ascii="arial" w:eastAsia="arial" w:hAnsi="arial" w:cs="arial"/>
            <w:b w:val="0"/>
            <w:i/>
            <w:strike w:val="0"/>
            <w:noProof w:val="0"/>
            <w:color w:val="0077CC"/>
            <w:position w:val="0"/>
            <w:sz w:val="20"/>
            <w:u w:val="single"/>
            <w:vertAlign w:val="baseline"/>
          </w:rPr>
          <w:t>, 555 F.3d at 595-96</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0" w:name="Bookmark_para_12"/>
      <w:bookmarkEnd w:id="50"/>
      <w:r>
        <w:rPr>
          <w:rFonts w:ascii="arial" w:eastAsia="arial" w:hAnsi="arial" w:cs="arial"/>
          <w:b w:val="0"/>
          <w:i w:val="0"/>
          <w:strike w:val="0"/>
          <w:noProof w:val="0"/>
          <w:color w:val="000000"/>
          <w:position w:val="0"/>
          <w:sz w:val="20"/>
          <w:u w:val="none"/>
          <w:vertAlign w:val="baseline"/>
        </w:rPr>
        <w:t>With respect to classification officers Jarrett and Rodrieguez, Mr. Mondragon asserts they knew he should not have been housed with certain inmates at Lake County Jail. However, without more, these allegations do not amount to a constitutional violation.</w:t>
      </w:r>
    </w:p>
    <w:p>
      <w:pPr>
        <w:keepNext w:val="0"/>
        <w:spacing w:before="200" w:after="0" w:line="260" w:lineRule="atLeast"/>
        <w:ind w:left="0" w:right="0" w:firstLine="0"/>
        <w:jc w:val="both"/>
      </w:pPr>
      <w:bookmarkStart w:id="51" w:name="Bookmark_para_13"/>
      <w:bookmarkEnd w:id="51"/>
      <w:r>
        <w:rPr>
          <w:rFonts w:ascii="arial" w:eastAsia="arial" w:hAnsi="arial" w:cs="arial"/>
          <w:b w:val="0"/>
          <w:i w:val="0"/>
          <w:strike w:val="0"/>
          <w:noProof w:val="0"/>
          <w:color w:val="000000"/>
          <w:position w:val="0"/>
          <w:sz w:val="20"/>
          <w:u w:val="none"/>
          <w:vertAlign w:val="baseline"/>
        </w:rPr>
        <w:t>Furthermore, Mr. Mondragon has sued Warden Zenk and Corporal Gentry. However, other than listing them as defendants in the caption of his case, he never mentions them in the complaint.</w:t>
      </w:r>
    </w:p>
    <w:p>
      <w:pPr>
        <w:keepNext w:val="0"/>
        <w:spacing w:before="200" w:after="0" w:line="260" w:lineRule="atLeast"/>
        <w:ind w:left="0" w:right="0" w:firstLine="0"/>
        <w:jc w:val="both"/>
      </w:pPr>
      <w:bookmarkStart w:id="52" w:name="Bookmark_para_14"/>
      <w:bookmarkEnd w:id="52"/>
      <w:bookmarkStart w:id="53" w:name="Bookmark_I6799SXT2D6ND50020000400"/>
      <w:bookmarkEnd w:id="53"/>
      <w:r>
        <w:rPr>
          <w:rFonts w:ascii="arial" w:eastAsia="arial" w:hAnsi="arial" w:cs="arial"/>
          <w:b w:val="0"/>
          <w:i w:val="0"/>
          <w:strike w:val="0"/>
          <w:noProof w:val="0"/>
          <w:color w:val="000000"/>
          <w:position w:val="0"/>
          <w:sz w:val="20"/>
          <w:u w:val="none"/>
          <w:vertAlign w:val="baseline"/>
        </w:rPr>
        <w:t>As explained above, this complaint does not state a claim for which relief can be granted. If Mr. Mondragon believes he can state a claim based on (and consistent</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with) the events described in this complaint, he may file an amended complaint because "[t]he usual standard in civil cases is to allow defective pleadings to be corrected, especially in early stages, at least where amendment would not be futile." </w:t>
      </w:r>
      <w:bookmarkStart w:id="54" w:name="Bookmark_I6799SXT2D6ND50010000400"/>
      <w:bookmarkEnd w:id="54"/>
      <w:hyperlink r:id="rId23" w:history="1">
        <w:r>
          <w:rPr>
            <w:rFonts w:ascii="arial" w:eastAsia="arial" w:hAnsi="arial" w:cs="arial"/>
            <w:b w:val="0"/>
            <w:i/>
            <w:strike w:val="0"/>
            <w:noProof w:val="0"/>
            <w:color w:val="0077CC"/>
            <w:position w:val="0"/>
            <w:sz w:val="20"/>
            <w:u w:val="single"/>
            <w:vertAlign w:val="baseline"/>
          </w:rPr>
          <w:t>Abu-Shawish v. United States</w:t>
        </w:r>
      </w:hyperlink>
      <w:hyperlink r:id="rId23" w:history="1">
        <w:r>
          <w:rPr>
            <w:rFonts w:ascii="arial" w:eastAsia="arial" w:hAnsi="arial" w:cs="arial"/>
            <w:b w:val="0"/>
            <w:i/>
            <w:strike w:val="0"/>
            <w:noProof w:val="0"/>
            <w:color w:val="0077CC"/>
            <w:position w:val="0"/>
            <w:sz w:val="20"/>
            <w:u w:val="single"/>
            <w:vertAlign w:val="baseline"/>
          </w:rPr>
          <w:t>, 898 F.3d 726, 738 (7th Cir. 2018)</w:t>
        </w:r>
      </w:hyperlink>
      <w:r>
        <w:rPr>
          <w:rFonts w:ascii="arial" w:eastAsia="arial" w:hAnsi="arial" w:cs="arial"/>
          <w:b w:val="0"/>
          <w:i w:val="0"/>
          <w:strike w:val="0"/>
          <w:noProof w:val="0"/>
          <w:color w:val="000000"/>
          <w:position w:val="0"/>
          <w:sz w:val="20"/>
          <w:u w:val="none"/>
          <w:vertAlign w:val="baseline"/>
        </w:rPr>
        <w:t xml:space="preserve">. To file an amended complaint, he needs to write this cause number on a </w:t>
      </w:r>
      <w:r>
        <w:rPr>
          <w:rFonts w:ascii="arial" w:eastAsia="arial" w:hAnsi="arial" w:cs="arial"/>
          <w:b/>
          <w:i w:val="0"/>
          <w:strike w:val="0"/>
          <w:noProof w:val="0"/>
          <w:color w:val="000000"/>
          <w:position w:val="0"/>
          <w:sz w:val="20"/>
          <w:u w:val="single"/>
          <w:vertAlign w:val="baseline"/>
        </w:rPr>
        <w:t>Pro Se 14 (INND Rev. 2/20) Prisoner Complaint</w:t>
      </w:r>
      <w:r>
        <w:rPr>
          <w:rFonts w:ascii="arial" w:eastAsia="arial" w:hAnsi="arial" w:cs="arial"/>
          <w:b w:val="0"/>
          <w:i w:val="0"/>
          <w:strike w:val="0"/>
          <w:noProof w:val="0"/>
          <w:color w:val="000000"/>
          <w:position w:val="0"/>
          <w:sz w:val="20"/>
          <w:u w:val="none"/>
          <w:vertAlign w:val="baseline"/>
        </w:rPr>
        <w:t xml:space="preserve"> form which is available from his law library. After he properly completes that form addressing the issues raised in this order, he needs to send it to the court.</w:t>
      </w:r>
    </w:p>
    <w:p>
      <w:pPr>
        <w:keepNext w:val="0"/>
        <w:spacing w:before="200" w:after="0" w:line="260" w:lineRule="atLeast"/>
        <w:ind w:left="0" w:right="0" w:firstLine="0"/>
        <w:jc w:val="both"/>
      </w:pPr>
      <w:bookmarkStart w:id="55" w:name="Bookmark_para_15"/>
      <w:bookmarkEnd w:id="55"/>
      <w:r>
        <w:rPr>
          <w:rFonts w:ascii="arial" w:eastAsia="arial" w:hAnsi="arial" w:cs="arial"/>
          <w:b w:val="0"/>
          <w:i w:val="0"/>
          <w:strike w:val="0"/>
          <w:noProof w:val="0"/>
          <w:color w:val="000000"/>
          <w:position w:val="0"/>
          <w:sz w:val="20"/>
          <w:u w:val="none"/>
          <w:vertAlign w:val="baseline"/>
        </w:rPr>
        <w:t>For these reasons, the court:</w:t>
      </w:r>
    </w:p>
    <w:p>
      <w:pPr>
        <w:keepNext w:val="0"/>
        <w:spacing w:before="200" w:after="0" w:line="260" w:lineRule="atLeast"/>
        <w:ind w:left="0" w:right="0" w:firstLine="0"/>
        <w:jc w:val="both"/>
      </w:pPr>
      <w:bookmarkStart w:id="56" w:name="Bookmark_para_16"/>
      <w:bookmarkEnd w:id="56"/>
      <w:r>
        <w:rPr>
          <w:rFonts w:ascii="arial" w:eastAsia="arial" w:hAnsi="arial" w:cs="arial"/>
          <w:b w:val="0"/>
          <w:i w:val="0"/>
          <w:strike w:val="0"/>
          <w:noProof w:val="0"/>
          <w:color w:val="000000"/>
          <w:position w:val="0"/>
          <w:sz w:val="20"/>
          <w:u w:val="none"/>
          <w:vertAlign w:val="baseline"/>
        </w:rPr>
        <w:t xml:space="preserve">(1) </w:t>
      </w:r>
      <w:r>
        <w:rPr>
          <w:rFonts w:ascii="arial" w:eastAsia="arial" w:hAnsi="arial" w:cs="arial"/>
          <w:b/>
          <w:i w:val="0"/>
          <w:strike w:val="0"/>
          <w:noProof w:val="0"/>
          <w:color w:val="000000"/>
          <w:position w:val="0"/>
          <w:sz w:val="20"/>
          <w:u w:val="none"/>
          <w:vertAlign w:val="baseline"/>
        </w:rPr>
        <w:t>GRANTS</w:t>
      </w:r>
      <w:r>
        <w:rPr>
          <w:rFonts w:ascii="arial" w:eastAsia="arial" w:hAnsi="arial" w:cs="arial"/>
          <w:b w:val="0"/>
          <w:i w:val="0"/>
          <w:strike w:val="0"/>
          <w:noProof w:val="0"/>
          <w:color w:val="000000"/>
          <w:position w:val="0"/>
          <w:sz w:val="20"/>
          <w:u w:val="none"/>
          <w:vertAlign w:val="baseline"/>
        </w:rPr>
        <w:t xml:space="preserve"> James Eric Mondragon until </w:t>
      </w:r>
      <w:r>
        <w:rPr>
          <w:rFonts w:ascii="arial" w:eastAsia="arial" w:hAnsi="arial" w:cs="arial"/>
          <w:b/>
          <w:i w:val="0"/>
          <w:strike w:val="0"/>
          <w:noProof w:val="0"/>
          <w:color w:val="000000"/>
          <w:position w:val="0"/>
          <w:sz w:val="20"/>
          <w:u w:val="single"/>
          <w:vertAlign w:val="baseline"/>
        </w:rPr>
        <w:t>February 10, 2023</w:t>
      </w:r>
      <w:r>
        <w:rPr>
          <w:rFonts w:ascii="arial" w:eastAsia="arial" w:hAnsi="arial" w:cs="arial"/>
          <w:b w:val="0"/>
          <w:i w:val="0"/>
          <w:strike w:val="0"/>
          <w:noProof w:val="0"/>
          <w:color w:val="000000"/>
          <w:position w:val="0"/>
          <w:sz w:val="20"/>
          <w:u w:val="none"/>
          <w:vertAlign w:val="baseline"/>
        </w:rPr>
        <w:t>, to file an amended complaint; and</w:t>
      </w:r>
    </w:p>
    <w:p>
      <w:pPr>
        <w:keepNext w:val="0"/>
        <w:spacing w:before="240" w:after="0" w:line="260" w:lineRule="atLeast"/>
        <w:ind w:left="0" w:right="0" w:firstLine="0"/>
        <w:jc w:val="both"/>
      </w:pPr>
      <w:bookmarkStart w:id="57" w:name="Bookmark_para_17"/>
      <w:bookmarkEnd w:id="57"/>
      <w:r>
        <w:rPr>
          <w:rFonts w:ascii="arial" w:eastAsia="arial" w:hAnsi="arial" w:cs="arial"/>
          <w:b w:val="0"/>
          <w:i w:val="0"/>
          <w:strike w:val="0"/>
          <w:noProof w:val="0"/>
          <w:color w:val="000000"/>
          <w:position w:val="0"/>
          <w:sz w:val="20"/>
          <w:u w:val="none"/>
          <w:vertAlign w:val="baseline"/>
        </w:rPr>
        <w:t xml:space="preserve">(2) </w:t>
      </w:r>
      <w:r>
        <w:rPr>
          <w:rFonts w:ascii="arial" w:eastAsia="arial" w:hAnsi="arial" w:cs="arial"/>
          <w:b/>
          <w:i w:val="0"/>
          <w:strike w:val="0"/>
          <w:noProof w:val="0"/>
          <w:color w:val="000000"/>
          <w:position w:val="0"/>
          <w:sz w:val="20"/>
          <w:u w:val="none"/>
          <w:vertAlign w:val="baseline"/>
        </w:rPr>
        <w:t>CAUTIONS</w:t>
      </w:r>
      <w:r>
        <w:rPr>
          <w:rFonts w:ascii="arial" w:eastAsia="arial" w:hAnsi="arial" w:cs="arial"/>
          <w:b w:val="0"/>
          <w:i w:val="0"/>
          <w:strike w:val="0"/>
          <w:noProof w:val="0"/>
          <w:color w:val="000000"/>
          <w:position w:val="0"/>
          <w:sz w:val="20"/>
          <w:u w:val="none"/>
          <w:vertAlign w:val="baseline"/>
        </w:rPr>
        <w:t xml:space="preserve"> James Eric Mondragon if he does not respond by the deadline, this case will be dismissed under </w:t>
      </w:r>
      <w:hyperlink r:id="rId10" w:history="1">
        <w:r>
          <w:rPr>
            <w:rFonts w:ascii="arial" w:eastAsia="arial" w:hAnsi="arial" w:cs="arial"/>
            <w:b w:val="0"/>
            <w:i/>
            <w:strike w:val="0"/>
            <w:noProof w:val="0"/>
            <w:color w:val="0077CC"/>
            <w:position w:val="0"/>
            <w:sz w:val="20"/>
            <w:u w:val="single"/>
            <w:vertAlign w:val="baseline"/>
          </w:rPr>
          <w:t>28 U.S.C. § 1915A</w:t>
        </w:r>
      </w:hyperlink>
      <w:r>
        <w:rPr>
          <w:rFonts w:ascii="arial" w:eastAsia="arial" w:hAnsi="arial" w:cs="arial"/>
          <w:b w:val="0"/>
          <w:i w:val="0"/>
          <w:strike w:val="0"/>
          <w:noProof w:val="0"/>
          <w:color w:val="000000"/>
          <w:position w:val="0"/>
          <w:sz w:val="20"/>
          <w:u w:val="none"/>
          <w:vertAlign w:val="baseline"/>
        </w:rPr>
        <w:t xml:space="preserve"> without further notice because the current complaint does not state a claim for which relief can be granted.</w:t>
      </w:r>
    </w:p>
    <w:p>
      <w:pPr>
        <w:keepNext w:val="0"/>
        <w:spacing w:before="200" w:after="0" w:line="260" w:lineRule="atLeast"/>
        <w:ind w:left="0" w:right="0" w:firstLine="0"/>
        <w:jc w:val="both"/>
      </w:pPr>
      <w:bookmarkStart w:id="58" w:name="Bookmark_para_18"/>
      <w:bookmarkEnd w:id="58"/>
      <w:r>
        <w:rPr>
          <w:rFonts w:ascii="arial" w:eastAsia="arial" w:hAnsi="arial" w:cs="arial"/>
          <w:b/>
          <w:i w:val="0"/>
          <w:strike w:val="0"/>
          <w:noProof w:val="0"/>
          <w:color w:val="000000"/>
          <w:position w:val="0"/>
          <w:sz w:val="20"/>
          <w:u w:val="none"/>
          <w:vertAlign w:val="baseline"/>
        </w:rPr>
        <w:t>SO ORDERED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9" w:name="Bookmark_para_19"/>
      <w:bookmarkEnd w:id="59"/>
      <w:r>
        <w:rPr>
          <w:rFonts w:ascii="arial" w:eastAsia="arial" w:hAnsi="arial" w:cs="arial"/>
          <w:b w:val="0"/>
          <w:i w:val="0"/>
          <w:strike w:val="0"/>
          <w:noProof w:val="0"/>
          <w:color w:val="000000"/>
          <w:position w:val="0"/>
          <w:sz w:val="20"/>
          <w:u w:val="none"/>
          <w:vertAlign w:val="baseline"/>
        </w:rPr>
        <w:t>Date: January 10, 2023</w:t>
      </w:r>
    </w:p>
    <w:p>
      <w:pPr>
        <w:keepNext w:val="0"/>
        <w:spacing w:before="200" w:after="0" w:line="260" w:lineRule="atLeast"/>
        <w:ind w:left="0" w:right="0" w:firstLine="0"/>
        <w:jc w:val="both"/>
      </w:pPr>
      <w:bookmarkStart w:id="60" w:name="Bookmark_para_20"/>
      <w:bookmarkEnd w:id="60"/>
      <w:r>
        <w:rPr>
          <w:rFonts w:ascii="arial" w:eastAsia="arial" w:hAnsi="arial" w:cs="arial"/>
          <w:b w:val="0"/>
          <w:i w:val="0"/>
          <w:strike w:val="0"/>
          <w:noProof w:val="0"/>
          <w:color w:val="000000"/>
          <w:position w:val="0"/>
          <w:sz w:val="20"/>
          <w:u w:val="none"/>
          <w:vertAlign w:val="baseline"/>
        </w:rPr>
        <w:t>/s/ James T. Moody</w:t>
      </w:r>
    </w:p>
    <w:p>
      <w:pPr>
        <w:keepNext w:val="0"/>
        <w:spacing w:before="200" w:after="0" w:line="260" w:lineRule="atLeast"/>
        <w:ind w:left="0" w:right="0" w:firstLine="0"/>
        <w:jc w:val="both"/>
      </w:pPr>
      <w:bookmarkStart w:id="61" w:name="Bookmark_para_21"/>
      <w:bookmarkEnd w:id="61"/>
      <w:r>
        <w:rPr>
          <w:rFonts w:ascii="arial" w:eastAsia="arial" w:hAnsi="arial" w:cs="arial"/>
          <w:b w:val="0"/>
          <w:i w:val="0"/>
          <w:strike w:val="0"/>
          <w:noProof w:val="0"/>
          <w:color w:val="000000"/>
          <w:position w:val="0"/>
          <w:sz w:val="20"/>
          <w:u w:val="none"/>
          <w:vertAlign w:val="baseline"/>
        </w:rPr>
        <w:t>JUDGE JAMES T. MOODY</w:t>
      </w:r>
    </w:p>
    <w:p>
      <w:pPr>
        <w:keepNext w:val="0"/>
        <w:spacing w:before="200" w:after="0" w:line="260" w:lineRule="atLeast"/>
        <w:ind w:left="0" w:right="0" w:firstLine="0"/>
        <w:jc w:val="both"/>
      </w:pPr>
      <w:bookmarkStart w:id="62" w:name="Bookmark_para_22"/>
      <w:bookmarkEnd w:id="62"/>
      <w:r>
        <w:rPr>
          <w:rFonts w:ascii="arial" w:eastAsia="arial" w:hAnsi="arial" w:cs="arial"/>
          <w:b w:val="0"/>
          <w:i w:val="0"/>
          <w:strike w:val="0"/>
          <w:noProof w:val="0"/>
          <w:color w:val="000000"/>
          <w:position w:val="0"/>
          <w:sz w:val="20"/>
          <w:u w:val="none"/>
          <w:vertAlign w:val="baseline"/>
        </w:rPr>
        <w:t>UNITED STATES DISTRICT COURT</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Mondragon v. Zenk, 2023 U.S. Dist. LEXIS 4171</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statutes-legislation&amp;id=urn:contentItem:8SG9-5HW2-D6RV-H0RM-00000-00&amp;context=1519360" TargetMode="External" /><Relationship Id="rId11" Type="http://schemas.openxmlformats.org/officeDocument/2006/relationships/hyperlink" Target="https://advance.lexis.com/api/document?collection=cases&amp;id=urn:contentItem:64WH-T4K1-JJ6S-649P-00000-00&amp;context=1519360" TargetMode="External" /><Relationship Id="rId12" Type="http://schemas.openxmlformats.org/officeDocument/2006/relationships/hyperlink" Target="https://advance.lexis.com/api/document?collection=cases&amp;id=urn:contentItem:3S65-JVR0-003B-R0HN-00000-00&amp;context=1519360" TargetMode="External" /><Relationship Id="rId13" Type="http://schemas.openxmlformats.org/officeDocument/2006/relationships/hyperlink" Target="https://advance.lexis.com/api/document?collection=statutes-legislation&amp;id=urn:contentItem:8T9R-T5M2-D6RV-H38C-00000-00&amp;context=1519360" TargetMode="External" /><Relationship Id="rId14" Type="http://schemas.openxmlformats.org/officeDocument/2006/relationships/hyperlink" Target="https://advance.lexis.com/api/document?collection=cases&amp;id=urn:contentItem:5G8K-M9B1-F04K-F008-00000-00&amp;context=1519360" TargetMode="External" /><Relationship Id="rId15" Type="http://schemas.openxmlformats.org/officeDocument/2006/relationships/hyperlink" Target="https://advance.lexis.com/api/document?collection=cases&amp;id=urn:contentItem:5WT2-PVK1-F900-G25J-00000-00&amp;context=1519360" TargetMode="External" /><Relationship Id="rId16" Type="http://schemas.openxmlformats.org/officeDocument/2006/relationships/hyperlink" Target="https://advance.lexis.com/api/document?collection=cases&amp;id=urn:contentItem:5KG5-VRD1-F04K-V33C-00000-00&amp;context=1519360" TargetMode="External" /><Relationship Id="rId17" Type="http://schemas.openxmlformats.org/officeDocument/2006/relationships/hyperlink" Target="https://advance.lexis.com/api/document?collection=cases&amp;id=urn:contentItem:4FH1-6K60-0038-X0CG-00000-00&amp;context=1519360" TargetMode="External" /><Relationship Id="rId18" Type="http://schemas.openxmlformats.org/officeDocument/2006/relationships/hyperlink" Target="https://advance.lexis.com/api/document?collection=cases&amp;id=urn:contentItem:60C4-HCV1-JC0G-60WD-00000-00&amp;context=1519360" TargetMode="External" /><Relationship Id="rId19" Type="http://schemas.openxmlformats.org/officeDocument/2006/relationships/hyperlink" Target="https://advance.lexis.com/api/document?collection=statutes-legislation&amp;id=urn:contentItem:8SHT-0712-D6RV-H526-00000-00&amp;context=1519360" TargetMode="External" /><Relationship Id="rId2" Type="http://schemas.openxmlformats.org/officeDocument/2006/relationships/webSettings" Target="webSettings.xml" /><Relationship Id="rId20" Type="http://schemas.openxmlformats.org/officeDocument/2006/relationships/hyperlink" Target="https://advance.lexis.com/api/document?collection=cases&amp;id=urn:contentItem:48GX-8Y40-0038-X284-00000-00&amp;context=1519360" TargetMode="External" /><Relationship Id="rId21" Type="http://schemas.openxmlformats.org/officeDocument/2006/relationships/hyperlink" Target="https://advance.lexis.com/api/document?collection=cases&amp;id=urn:contentItem:4VK8-TB40-TXFX-92M6-00000-00&amp;context=1519360" TargetMode="External" /><Relationship Id="rId22" Type="http://schemas.openxmlformats.org/officeDocument/2006/relationships/hyperlink" Target="https://advance.lexis.com/api/document?collection=cases&amp;id=urn:contentItem:5YX4-CX91-FFTT-X209-00000-00&amp;context=1519360" TargetMode="External" /><Relationship Id="rId23" Type="http://schemas.openxmlformats.org/officeDocument/2006/relationships/hyperlink" Target="https://advance.lexis.com/api/document?collection=cases&amp;id=urn:contentItem:5SXN-K5D1-JFSV-G1DR-00000-00&amp;context=1519360" TargetMode="External" /><Relationship Id="rId24" Type="http://schemas.openxmlformats.org/officeDocument/2006/relationships/theme" Target="theme/theme1.xml" /><Relationship Id="rId25"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cases&amp;id=urn:contentItem:6793-56C1-JJK6-S332-00000-00&amp;context=1519360" TargetMode="External" /><Relationship Id="rId9" Type="http://schemas.openxmlformats.org/officeDocument/2006/relationships/hyperlink" Target="https://advance.lexis.com/api/document?collection=cases&amp;id=urn:contentItem:4NWM-S330-004B-Y00V-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Mondragon v. Zenk, 2023 U.S. Dist. LEXIS 4171</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24</vt:lpwstr>
  </property>
  <property fmtid="{D5CDD505-2E9C-101B-9397-08002B2CF9AE}" pid="3" name="LADocCount">
    <vt:lpwstr>1</vt:lpwstr>
  </property>
  <property fmtid="{D5CDD505-2E9C-101B-9397-08002B2CF9AE}" pid="4" name="LADocumentID:24">
    <vt:lpwstr>Doc::urn:hlct:5|contextualFeaturePermID::1519360</vt:lpwstr>
  </property>
  <property fmtid="{D5CDD505-2E9C-101B-9397-08002B2CF9AE}" pid="5" name="UserPermID">
    <vt:lpwstr>urn:user:PA186186283</vt:lpwstr>
  </property>
</Properties>
</file>