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Smith v. Acting Inspector Goostrey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23-1025</w:t>
      </w:r>
    </w:p>
    <w:p>
      <w:pPr>
        <w:keepNext w:val="0"/>
        <w:spacing w:after="0" w:line="240" w:lineRule="atLeast"/>
        <w:ind w:right="0"/>
        <w:jc w:val="both"/>
      </w:pPr>
      <w:bookmarkStart w:id="0" w:name="Bookmark_5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20179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5024659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BOBBY J. SMITH, Plaintiff-Appellant, v. ACTING INSPECTOR GOOSTREY, et al., Defendants-Appellees.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WESTERN DISTRICT OF MICHIGAN.</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segregation, retaliation claim, grievance, transferred, prison, magistrate judge, adverse action, allegations, retaliation, retaliatory, rights</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BOBBY J. SMITH, Plaintiff - Appellant, Pro se, Jackson, MI.</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COLE, McKEAGUE, and NALBANDIAN,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Bobby J. Smith, a pro se Michigan prisoner, appeals the district court's judgment dismissing his civil rights complaint. This case has been referred to a panel of the court that, upon examination, unanimously agrees that oral argument is not needed.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34(a)</w:t>
      </w:r>
      <w:r>
        <w:rPr>
          <w:rFonts w:ascii="arial" w:eastAsia="arial" w:hAnsi="arial" w:cs="arial"/>
          <w:b w:val="0"/>
          <w:i w:val="0"/>
          <w:strike w:val="0"/>
          <w:noProof w:val="0"/>
          <w:color w:val="000000"/>
          <w:position w:val="0"/>
          <w:sz w:val="20"/>
          <w:u w:val="none"/>
          <w:vertAlign w:val="baseline"/>
        </w:rPr>
        <w:t>. We affirm in part, vacate in part, and remand for further proceedings consistent with this order.</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In August 2022, Smith filed this action under </w:t>
      </w:r>
      <w:hyperlink r:id="rId9"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six employees of the Michigan Department of Corrections. Smith claimed that the defendants retaliated against him, limited his access to the courts, interfered with his legal mail, subjected him to cruel and unusual punishment, and violated his due process rights while he was housed at the Earnest C. Brooks Correctional Facility (LRF). Smith also claimed that the defendants violated state laws and policies. Smith's claims primarily derive from his allegations that other inmates assaulted and robbed him after the defendants transferred him to a different housing unit within LRF. Smith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alleged that this transfer was a result of his filing a grievance and refusing to inform on other inmates. Smith also alleged that the defendants kept him in a segregation unit longer than they should have. Smith consented to proceed before a magistrate judge, who sua sponte dismissed the federal-law claims for failing to state a claim and declined to exercise supplemental jurisdiction over the state-law claims.</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On appeal, Smith challenges the dismissal of his federal claims. </w:t>
      </w:r>
      <w:bookmarkStart w:id="13" w:name="Bookmark_I68WNK7T28T4XS0020000400"/>
      <w:bookmarkEnd w:id="13"/>
      <w:r>
        <w:rPr>
          <w:rFonts w:ascii="arial" w:eastAsia="arial" w:hAnsi="arial" w:cs="arial"/>
          <w:b w:val="0"/>
          <w:i w:val="0"/>
          <w:strike w:val="0"/>
          <w:noProof w:val="0"/>
          <w:color w:val="000000"/>
          <w:position w:val="0"/>
          <w:sz w:val="20"/>
          <w:u w:val="none"/>
          <w:vertAlign w:val="baseline"/>
        </w:rPr>
        <w:t xml:space="preserve">Smith does not challenge the magistrate judge's dismissal without prejudice of his state-law claims. Those claims are therefore abandoned. </w:t>
      </w:r>
      <w:r>
        <w:rPr>
          <w:rFonts w:ascii="arial" w:eastAsia="arial" w:hAnsi="arial" w:cs="arial"/>
          <w:b w:val="0"/>
          <w:i/>
          <w:strike w:val="0"/>
          <w:noProof w:val="0"/>
          <w:color w:val="000000"/>
          <w:position w:val="0"/>
          <w:sz w:val="20"/>
          <w:u w:val="none"/>
          <w:vertAlign w:val="baseline"/>
        </w:rPr>
        <w:t xml:space="preserve">See </w:t>
      </w:r>
      <w:bookmarkStart w:id="14" w:name="Bookmark_I68WNK7T28T4XS0010000400"/>
      <w:bookmarkEnd w:id="14"/>
      <w:hyperlink r:id="rId10" w:history="1">
        <w:r>
          <w:rPr>
            <w:rFonts w:ascii="arial" w:eastAsia="arial" w:hAnsi="arial" w:cs="arial"/>
            <w:b w:val="0"/>
            <w:i/>
            <w:strike w:val="0"/>
            <w:noProof w:val="0"/>
            <w:color w:val="0077CC"/>
            <w:position w:val="0"/>
            <w:sz w:val="20"/>
            <w:u w:val="single"/>
            <w:vertAlign w:val="baseline"/>
          </w:rPr>
          <w:t>Geboy v. Brigano</w:t>
        </w:r>
      </w:hyperlink>
      <w:hyperlink r:id="rId10" w:history="1">
        <w:r>
          <w:rPr>
            <w:rFonts w:ascii="arial" w:eastAsia="arial" w:hAnsi="arial" w:cs="arial"/>
            <w:b w:val="0"/>
            <w:i/>
            <w:strike w:val="0"/>
            <w:noProof w:val="0"/>
            <w:color w:val="0077CC"/>
            <w:position w:val="0"/>
            <w:sz w:val="20"/>
            <w:u w:val="single"/>
            <w:vertAlign w:val="baseline"/>
          </w:rPr>
          <w:t>, 489 F.3d 752, 766-67 (6th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6"/>
      <w:bookmarkEnd w:id="15"/>
      <w:bookmarkStart w:id="16" w:name="Bookmark_I68WNK7T28T4XS0040000400"/>
      <w:bookmarkEnd w:id="16"/>
      <w:bookmarkStart w:id="17" w:name="Bookmark_I68WNK7V2N1PYS0030000400"/>
      <w:bookmarkEnd w:id="17"/>
      <w:bookmarkStart w:id="18" w:name="Bookmark_I68WNK7V2N1PYS0050000400"/>
      <w:bookmarkEnd w:id="18"/>
      <w:r>
        <w:rPr>
          <w:rFonts w:ascii="arial" w:eastAsia="arial" w:hAnsi="arial" w:cs="arial"/>
          <w:b w:val="0"/>
          <w:i w:val="0"/>
          <w:strike w:val="0"/>
          <w:noProof w:val="0"/>
          <w:color w:val="000000"/>
          <w:position w:val="0"/>
          <w:sz w:val="20"/>
          <w:u w:val="none"/>
          <w:vertAlign w:val="baseline"/>
        </w:rPr>
        <w:t xml:space="preserve">"We review a district court's decision to dismiss under </w:t>
      </w:r>
      <w:hyperlink r:id="rId11"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1997e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19" w:name="Bookmark_I68WNK7T28T4XS0030000400"/>
      <w:bookmarkEnd w:id="19"/>
      <w:hyperlink r:id="rId14" w:history="1">
        <w:r>
          <w:rPr>
            <w:rFonts w:ascii="arial" w:eastAsia="arial" w:hAnsi="arial" w:cs="arial"/>
            <w:b w:val="0"/>
            <w:i/>
            <w:strike w:val="0"/>
            <w:noProof w:val="0"/>
            <w:color w:val="0077CC"/>
            <w:position w:val="0"/>
            <w:sz w:val="20"/>
            <w:u w:val="single"/>
            <w:vertAlign w:val="baseline"/>
          </w:rPr>
          <w:t>Wershe v. Combs</w:t>
        </w:r>
      </w:hyperlink>
      <w:hyperlink r:id="rId14" w:history="1">
        <w:r>
          <w:rPr>
            <w:rFonts w:ascii="arial" w:eastAsia="arial" w:hAnsi="arial" w:cs="arial"/>
            <w:b w:val="0"/>
            <w:i/>
            <w:strike w:val="0"/>
            <w:noProof w:val="0"/>
            <w:color w:val="0077CC"/>
            <w:position w:val="0"/>
            <w:sz w:val="20"/>
            <w:u w:val="single"/>
            <w:vertAlign w:val="baseline"/>
          </w:rPr>
          <w:t>, 763 F.3d 500, 505 (6th Cir. 2014)</w:t>
        </w:r>
      </w:hyperlink>
      <w:r>
        <w:rPr>
          <w:rFonts w:ascii="arial" w:eastAsia="arial" w:hAnsi="arial" w:cs="arial"/>
          <w:b w:val="0"/>
          <w:i w:val="0"/>
          <w:strike w:val="0"/>
          <w:noProof w:val="0"/>
          <w:color w:val="000000"/>
          <w:position w:val="0"/>
          <w:sz w:val="20"/>
          <w:u w:val="none"/>
          <w:vertAlign w:val="baseline"/>
        </w:rPr>
        <w:t xml:space="preserve"> (quoting </w:t>
      </w:r>
      <w:bookmarkStart w:id="20" w:name="Bookmark_I68WNK7T28T4XS0050000400"/>
      <w:bookmarkEnd w:id="20"/>
      <w:hyperlink r:id="rId15" w:history="1">
        <w:r>
          <w:rPr>
            <w:rFonts w:ascii="arial" w:eastAsia="arial" w:hAnsi="arial" w:cs="arial"/>
            <w:b w:val="0"/>
            <w:i/>
            <w:strike w:val="0"/>
            <w:noProof w:val="0"/>
            <w:color w:val="0077CC"/>
            <w:position w:val="0"/>
            <w:sz w:val="20"/>
            <w:u w:val="single"/>
            <w:vertAlign w:val="baseline"/>
          </w:rPr>
          <w:t>Grinter v. Knight</w:t>
        </w:r>
      </w:hyperlink>
      <w:hyperlink r:id="rId15" w:history="1">
        <w:r>
          <w:rPr>
            <w:rFonts w:ascii="arial" w:eastAsia="arial" w:hAnsi="arial" w:cs="arial"/>
            <w:b w:val="0"/>
            <w:i/>
            <w:strike w:val="0"/>
            <w:noProof w:val="0"/>
            <w:color w:val="0077CC"/>
            <w:position w:val="0"/>
            <w:sz w:val="20"/>
            <w:u w:val="single"/>
            <w:vertAlign w:val="baseline"/>
          </w:rPr>
          <w:t>, 532 F.3d 567, 571-72 (6th Cir. 2008)</w:t>
        </w:r>
      </w:hyperlink>
      <w:r>
        <w:rPr>
          <w:rFonts w:ascii="arial" w:eastAsia="arial" w:hAnsi="arial" w:cs="arial"/>
          <w:b w:val="0"/>
          <w:i w:val="0"/>
          <w:strike w:val="0"/>
          <w:noProof w:val="0"/>
          <w:color w:val="000000"/>
          <w:position w:val="0"/>
          <w:sz w:val="20"/>
          <w:u w:val="none"/>
          <w:vertAlign w:val="baseline"/>
        </w:rPr>
        <w:t xml:space="preserve">). </w:t>
      </w:r>
      <w:bookmarkStart w:id="21" w:name="Bookmark_I68WNK7V2HM63V0040000400"/>
      <w:bookmarkEnd w:id="21"/>
      <w:r>
        <w:rPr>
          <w:rFonts w:ascii="arial" w:eastAsia="arial" w:hAnsi="arial" w:cs="arial"/>
          <w:b w:val="0"/>
          <w:i w:val="0"/>
          <w:strike w:val="0"/>
          <w:noProof w:val="0"/>
          <w:color w:val="000000"/>
          <w:position w:val="0"/>
          <w:sz w:val="20"/>
          <w:u w:val="none"/>
          <w:vertAlign w:val="baseline"/>
        </w:rPr>
        <w:t xml:space="preserve">"The Prison Litigation Reform Act (PLRA) requires district courts to screen and dismiss complaints that are frivolous or malicious, that fail to state a claim upon which relief may be granted, or that seek monetary relief from a defendant who is immune from such relief." </w:t>
      </w:r>
      <w:bookmarkStart w:id="22" w:name="Bookmark_I68WNK7V2N1PYS0020000400"/>
      <w:bookmarkEnd w:id="22"/>
      <w:hyperlink r:id="rId15" w:history="1">
        <w:r>
          <w:rPr>
            <w:rFonts w:ascii="arial" w:eastAsia="arial" w:hAnsi="arial" w:cs="arial"/>
            <w:b w:val="0"/>
            <w:i/>
            <w:strike w:val="0"/>
            <w:noProof w:val="0"/>
            <w:color w:val="0077CC"/>
            <w:position w:val="0"/>
            <w:sz w:val="20"/>
            <w:u w:val="single"/>
            <w:vertAlign w:val="baseline"/>
          </w:rPr>
          <w:t>Grinter</w:t>
        </w:r>
      </w:hyperlink>
      <w:hyperlink r:id="rId15" w:history="1">
        <w:r>
          <w:rPr>
            <w:rFonts w:ascii="arial" w:eastAsia="arial" w:hAnsi="arial" w:cs="arial"/>
            <w:b w:val="0"/>
            <w:i/>
            <w:strike w:val="0"/>
            <w:noProof w:val="0"/>
            <w:color w:val="0077CC"/>
            <w:position w:val="0"/>
            <w:sz w:val="20"/>
            <w:u w:val="single"/>
            <w:vertAlign w:val="baseline"/>
          </w:rPr>
          <w:t xml:space="preserve"> 532 F.3d at 572</w:t>
        </w:r>
      </w:hyperlink>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28 U.S.C. § 1915A(b)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29 U.S.C. § 1915(e)(2)(B); </w:t>
      </w:r>
      <w:hyperlink r:id="rId13"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To avoid dismissal, "a complaint must contain sufficient factual matter, accepted as true, to 'state a claim to relief that is plausible on its face.'" </w:t>
      </w:r>
      <w:bookmarkStart w:id="23" w:name="Bookmark_I68WNK7V2N1PYS0040000400"/>
      <w:bookmarkEnd w:id="23"/>
      <w:hyperlink r:id="rId16" w:history="1">
        <w:r>
          <w:rPr>
            <w:rFonts w:ascii="arial" w:eastAsia="arial" w:hAnsi="arial" w:cs="arial"/>
            <w:b w:val="0"/>
            <w:i/>
            <w:strike w:val="0"/>
            <w:noProof w:val="0"/>
            <w:color w:val="0077CC"/>
            <w:position w:val="0"/>
            <w:sz w:val="20"/>
            <w:u w:val="single"/>
            <w:vertAlign w:val="baseline"/>
          </w:rPr>
          <w:t>Ashcroft v. Iqbal</w:t>
        </w:r>
      </w:hyperlink>
      <w:hyperlink r:id="rId16"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24" w:name="Bookmark_I68WNK7V2HM63V0010000400"/>
      <w:bookmarkEnd w:id="24"/>
      <w:hyperlink r:id="rId17" w:history="1">
        <w:r>
          <w:rPr>
            <w:rFonts w:ascii="arial" w:eastAsia="arial" w:hAnsi="arial" w:cs="arial"/>
            <w:b w:val="0"/>
            <w:i/>
            <w:strike w:val="0"/>
            <w:noProof w:val="0"/>
            <w:color w:val="0077CC"/>
            <w:position w:val="0"/>
            <w:sz w:val="20"/>
            <w:u w:val="single"/>
            <w:vertAlign w:val="baseline"/>
          </w:rPr>
          <w:t>Bell Atl. Corp. v. Twombly</w:t>
        </w:r>
      </w:hyperlink>
      <w:hyperlink r:id="rId17"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25" w:name="Bookmark_I68WNK7V2HM63V0040000400_2"/>
      <w:bookmarkEnd w:id="25"/>
      <w:r>
        <w:rPr>
          <w:rFonts w:ascii="arial" w:eastAsia="arial" w:hAnsi="arial" w:cs="arial"/>
          <w:b w:val="0"/>
          <w:i w:val="0"/>
          <w:strike w:val="0"/>
          <w:noProof w:val="0"/>
          <w:color w:val="000000"/>
          <w:position w:val="0"/>
          <w:sz w:val="20"/>
          <w:u w:val="none"/>
          <w:vertAlign w:val="baseline"/>
        </w:rPr>
        <w:t>At this stage, we construe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complaint in the light most favorable to Smith and accept his factual allegations as true. </w:t>
      </w:r>
      <w:bookmarkStart w:id="26" w:name="Bookmark_I68WNK7V2HM63V0030000400"/>
      <w:bookmarkEnd w:id="26"/>
      <w:hyperlink r:id="rId18" w:history="1">
        <w:r>
          <w:rPr>
            <w:rFonts w:ascii="arial" w:eastAsia="arial" w:hAnsi="arial" w:cs="arial"/>
            <w:b w:val="0"/>
            <w:i/>
            <w:strike w:val="0"/>
            <w:noProof w:val="0"/>
            <w:color w:val="0077CC"/>
            <w:position w:val="0"/>
            <w:sz w:val="20"/>
            <w:u w:val="single"/>
            <w:vertAlign w:val="baseline"/>
          </w:rPr>
          <w:t>McGlone v. Bell</w:t>
        </w:r>
      </w:hyperlink>
      <w:hyperlink r:id="rId18" w:history="1">
        <w:r>
          <w:rPr>
            <w:rFonts w:ascii="arial" w:eastAsia="arial" w:hAnsi="arial" w:cs="arial"/>
            <w:b w:val="0"/>
            <w:i/>
            <w:strike w:val="0"/>
            <w:noProof w:val="0"/>
            <w:color w:val="0077CC"/>
            <w:position w:val="0"/>
            <w:sz w:val="20"/>
            <w:u w:val="single"/>
            <w:vertAlign w:val="baseline"/>
          </w:rPr>
          <w:t>, 681 F.3d 718, 731 (6th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7"/>
      <w:bookmarkEnd w:id="27"/>
      <w:bookmarkStart w:id="28" w:name="Bookmark_I2FPXKNC8FJ0000473T00007"/>
      <w:bookmarkEnd w:id="28"/>
      <w:bookmarkStart w:id="29" w:name="Bookmark_I2FPXKNCB8D0000473T00008"/>
      <w:bookmarkEnd w:id="29"/>
      <w:bookmarkStart w:id="30" w:name="Bookmark_I68WNK7V2D6N4V0010000400"/>
      <w:bookmarkEnd w:id="30"/>
      <w:r>
        <w:rPr>
          <w:rFonts w:ascii="arial" w:eastAsia="arial" w:hAnsi="arial" w:cs="arial"/>
          <w:b w:val="0"/>
          <w:i w:val="0"/>
          <w:strike w:val="0"/>
          <w:noProof w:val="0"/>
          <w:color w:val="000000"/>
          <w:position w:val="0"/>
          <w:sz w:val="20"/>
          <w:u w:val="none"/>
          <w:vertAlign w:val="baseline"/>
        </w:rPr>
        <w:t xml:space="preserve">We begin with Smith's retaliation claims. In order to state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Smith must allege facts showing "that (1) he engaged in protected conduct; (2) the defendant took an adverse action against him 'that would deter a person of ordinary firmness from continuing to engage in that conduct'; and (3) that the adverse action was taken (at least in part) because of the protected conduct." </w:t>
      </w:r>
      <w:bookmarkStart w:id="31" w:name="Bookmark_I68WNK7V2HM63V0050000400"/>
      <w:bookmarkEnd w:id="31"/>
      <w:hyperlink r:id="rId20" w:history="1">
        <w:r>
          <w:rPr>
            <w:rFonts w:ascii="arial" w:eastAsia="arial" w:hAnsi="arial" w:cs="arial"/>
            <w:b w:val="0"/>
            <w:i/>
            <w:strike w:val="0"/>
            <w:noProof w:val="0"/>
            <w:color w:val="0077CC"/>
            <w:position w:val="0"/>
            <w:sz w:val="20"/>
            <w:u w:val="single"/>
            <w:vertAlign w:val="baseline"/>
          </w:rPr>
          <w:t>Thomas v. Eby</w:t>
        </w:r>
      </w:hyperlink>
      <w:hyperlink r:id="rId20" w:history="1">
        <w:r>
          <w:rPr>
            <w:rFonts w:ascii="arial" w:eastAsia="arial" w:hAnsi="arial" w:cs="arial"/>
            <w:b w:val="0"/>
            <w:i/>
            <w:strike w:val="0"/>
            <w:noProof w:val="0"/>
            <w:color w:val="0077CC"/>
            <w:position w:val="0"/>
            <w:sz w:val="20"/>
            <w:u w:val="single"/>
            <w:vertAlign w:val="baseline"/>
          </w:rPr>
          <w:t>, 481 F.3d 434, 440 (6th Cir. 2007)</w:t>
        </w:r>
      </w:hyperlink>
      <w:r>
        <w:rPr>
          <w:rFonts w:ascii="arial" w:eastAsia="arial" w:hAnsi="arial" w:cs="arial"/>
          <w:b w:val="0"/>
          <w:i w:val="0"/>
          <w:strike w:val="0"/>
          <w:noProof w:val="0"/>
          <w:color w:val="000000"/>
          <w:position w:val="0"/>
          <w:sz w:val="20"/>
          <w:u w:val="none"/>
          <w:vertAlign w:val="baseline"/>
        </w:rPr>
        <w:t xml:space="preserve"> (quoting </w:t>
      </w:r>
      <w:bookmarkStart w:id="32" w:name="Bookmark_I68WNK7V2D6N4V0020000400"/>
      <w:bookmarkEnd w:id="32"/>
      <w:hyperlink r:id="rId21" w:history="1">
        <w:r>
          <w:rPr>
            <w:rFonts w:ascii="arial" w:eastAsia="arial" w:hAnsi="arial" w:cs="arial"/>
            <w:b w:val="0"/>
            <w:i/>
            <w:strike w:val="0"/>
            <w:noProof w:val="0"/>
            <w:color w:val="0077CC"/>
            <w:position w:val="0"/>
            <w:sz w:val="20"/>
            <w:u w:val="single"/>
            <w:vertAlign w:val="baseline"/>
          </w:rPr>
          <w:t>Thaddeus-X v. Blatter</w:t>
        </w:r>
      </w:hyperlink>
      <w:hyperlink r:id="rId21" w:history="1">
        <w:r>
          <w:rPr>
            <w:rFonts w:ascii="arial" w:eastAsia="arial" w:hAnsi="arial" w:cs="arial"/>
            <w:b w:val="0"/>
            <w:i/>
            <w:strike w:val="0"/>
            <w:noProof w:val="0"/>
            <w:color w:val="0077CC"/>
            <w:position w:val="0"/>
            <w:sz w:val="20"/>
            <w:u w:val="single"/>
            <w:vertAlign w:val="baseline"/>
          </w:rPr>
          <w:t>, 175 F.3d 378, 394 (1999)</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 xml:space="preserve">Smith raises two distinct retaliation claims. First, he claims that some of the defendants retaliated against him for filing a grievance. On October 5, 2021, Smith filed a grievance accusing Acting Inspector Goostrey of tampering with his legal mail. Smith alleged that, in retaliation for the grievance, Goostrey and Inspector Johnson moved Smith to a different housing unit at LRF on December 8, 2021, despite knowing that another inmate stabbed Smith in October and that Smith requested a transfer to another facility. Shortly after his move, other inmates attacked Smith and stole his property. </w:t>
      </w:r>
      <w:bookmarkStart w:id="34" w:name="Bookmark_I68WNK7V2D6N4V0050000400"/>
      <w:bookmarkEnd w:id="34"/>
      <w:r>
        <w:rPr>
          <w:rFonts w:ascii="arial" w:eastAsia="arial" w:hAnsi="arial" w:cs="arial"/>
          <w:b w:val="0"/>
          <w:i w:val="0"/>
          <w:strike w:val="0"/>
          <w:noProof w:val="0"/>
          <w:color w:val="000000"/>
          <w:position w:val="0"/>
          <w:sz w:val="20"/>
          <w:u w:val="none"/>
          <w:vertAlign w:val="baseline"/>
        </w:rPr>
        <w:t>The magistrate judge correctly dismissed this retaliation claim. Even reading the complaint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liberally, there are no factual allegations showing that the defendants' decision to move Smith was motivated by the October grievance, and conclusory allegations of a retaliatory motive are insufficient to state a claim. </w:t>
      </w:r>
      <w:bookmarkStart w:id="35" w:name="Bookmark_I68WNK7W2SF8T60020000400"/>
      <w:bookmarkEnd w:id="35"/>
      <w:r>
        <w:rPr>
          <w:rFonts w:ascii="arial" w:eastAsia="arial" w:hAnsi="arial" w:cs="arial"/>
          <w:b w:val="0"/>
          <w:i/>
          <w:strike w:val="0"/>
          <w:noProof w:val="0"/>
          <w:color w:val="000000"/>
          <w:position w:val="0"/>
          <w:sz w:val="20"/>
          <w:u w:val="none"/>
          <w:vertAlign w:val="baseline"/>
        </w:rPr>
        <w:t xml:space="preserve">See </w:t>
      </w:r>
      <w:bookmarkStart w:id="36" w:name="Bookmark_I68WNK7V2D6N4V0040000400"/>
      <w:bookmarkEnd w:id="36"/>
      <w:hyperlink r:id="rId22" w:history="1">
        <w:r>
          <w:rPr>
            <w:rFonts w:ascii="arial" w:eastAsia="arial" w:hAnsi="arial" w:cs="arial"/>
            <w:b w:val="0"/>
            <w:i/>
            <w:strike w:val="0"/>
            <w:noProof w:val="0"/>
            <w:color w:val="0077CC"/>
            <w:position w:val="0"/>
            <w:sz w:val="20"/>
            <w:u w:val="single"/>
            <w:vertAlign w:val="baseline"/>
          </w:rPr>
          <w:t>Harbin-Bey v. Rutter</w:t>
        </w:r>
      </w:hyperlink>
      <w:hyperlink r:id="rId22" w:history="1">
        <w:r>
          <w:rPr>
            <w:rFonts w:ascii="arial" w:eastAsia="arial" w:hAnsi="arial" w:cs="arial"/>
            <w:b w:val="0"/>
            <w:i/>
            <w:strike w:val="0"/>
            <w:noProof w:val="0"/>
            <w:color w:val="0077CC"/>
            <w:position w:val="0"/>
            <w:sz w:val="20"/>
            <w:u w:val="single"/>
            <w:vertAlign w:val="baseline"/>
          </w:rPr>
          <w:t>, 420 F.3d 571, 580 (6th Cir. 2005)</w:t>
        </w:r>
      </w:hyperlink>
      <w:r>
        <w:rPr>
          <w:rFonts w:ascii="arial" w:eastAsia="arial" w:hAnsi="arial" w:cs="arial"/>
          <w:b w:val="0"/>
          <w:i w:val="0"/>
          <w:strike w:val="0"/>
          <w:noProof w:val="0"/>
          <w:color w:val="000000"/>
          <w:position w:val="0"/>
          <w:sz w:val="20"/>
          <w:u w:val="none"/>
          <w:vertAlign w:val="baseline"/>
        </w:rPr>
        <w:t xml:space="preserve">. </w:t>
      </w:r>
      <w:bookmarkStart w:id="37" w:name="Bookmark_I68WNK7W2SF8T60020000400_2"/>
      <w:bookmarkEnd w:id="37"/>
      <w:r>
        <w:rPr>
          <w:rFonts w:ascii="arial" w:eastAsia="arial" w:hAnsi="arial" w:cs="arial"/>
          <w:b w:val="0"/>
          <w:i w:val="0"/>
          <w:strike w:val="0"/>
          <w:noProof w:val="0"/>
          <w:color w:val="000000"/>
          <w:position w:val="0"/>
          <w:sz w:val="20"/>
          <w:u w:val="none"/>
          <w:vertAlign w:val="baseline"/>
        </w:rPr>
        <w:t xml:space="preserve">Smith argues that the causal connection can be established by temporal proximity, but temporal proximity by itself is generally insufficient to show a retaliatory motive. </w:t>
      </w:r>
      <w:r>
        <w:rPr>
          <w:rFonts w:ascii="arial" w:eastAsia="arial" w:hAnsi="arial" w:cs="arial"/>
          <w:b w:val="0"/>
          <w:i/>
          <w:strike w:val="0"/>
          <w:noProof w:val="0"/>
          <w:color w:val="000000"/>
          <w:position w:val="0"/>
          <w:sz w:val="20"/>
          <w:u w:val="none"/>
          <w:vertAlign w:val="baseline"/>
        </w:rPr>
        <w:t xml:space="preserve">See </w:t>
      </w:r>
      <w:bookmarkStart w:id="38" w:name="Bookmark_I68WNK7W2SF8T60010000400"/>
      <w:bookmarkEnd w:id="38"/>
      <w:hyperlink r:id="rId23" w:history="1">
        <w:r>
          <w:rPr>
            <w:rFonts w:ascii="arial" w:eastAsia="arial" w:hAnsi="arial" w:cs="arial"/>
            <w:b w:val="0"/>
            <w:i/>
            <w:strike w:val="0"/>
            <w:noProof w:val="0"/>
            <w:color w:val="0077CC"/>
            <w:position w:val="0"/>
            <w:sz w:val="20"/>
            <w:u w:val="single"/>
            <w:vertAlign w:val="baseline"/>
          </w:rPr>
          <w:t>Holzemer v. City of Memphis</w:t>
        </w:r>
      </w:hyperlink>
      <w:hyperlink r:id="rId23" w:history="1">
        <w:r>
          <w:rPr>
            <w:rFonts w:ascii="arial" w:eastAsia="arial" w:hAnsi="arial" w:cs="arial"/>
            <w:b w:val="0"/>
            <w:i/>
            <w:strike w:val="0"/>
            <w:noProof w:val="0"/>
            <w:color w:val="0077CC"/>
            <w:position w:val="0"/>
            <w:sz w:val="20"/>
            <w:u w:val="single"/>
            <w:vertAlign w:val="baseline"/>
          </w:rPr>
          <w:t>, 621 F.3d 512, 526 (6th Cir. 2010)</w:t>
        </w:r>
      </w:hyperlink>
      <w:r>
        <w:rPr>
          <w:rFonts w:ascii="arial" w:eastAsia="arial" w:hAnsi="arial" w:cs="arial"/>
          <w:b w:val="0"/>
          <w:i w:val="0"/>
          <w:strike w:val="0"/>
          <w:noProof w:val="0"/>
          <w:color w:val="000000"/>
          <w:position w:val="0"/>
          <w:sz w:val="20"/>
          <w:u w:val="none"/>
          <w:vertAlign w:val="baseline"/>
        </w:rPr>
        <w:t xml:space="preserve"> (citing </w:t>
      </w:r>
      <w:bookmarkStart w:id="39" w:name="Bookmark_I68WNK7W2SF8T60030000400"/>
      <w:bookmarkEnd w:id="39"/>
      <w:hyperlink r:id="rId24" w:history="1">
        <w:r>
          <w:rPr>
            <w:rFonts w:ascii="arial" w:eastAsia="arial" w:hAnsi="arial" w:cs="arial"/>
            <w:b w:val="0"/>
            <w:i/>
            <w:strike w:val="0"/>
            <w:noProof w:val="0"/>
            <w:color w:val="0077CC"/>
            <w:position w:val="0"/>
            <w:sz w:val="20"/>
            <w:u w:val="single"/>
            <w:vertAlign w:val="baseline"/>
          </w:rPr>
          <w:t>Smith v. Campbell</w:t>
        </w:r>
      </w:hyperlink>
      <w:hyperlink r:id="rId24" w:history="1">
        <w:r>
          <w:rPr>
            <w:rFonts w:ascii="arial" w:eastAsia="arial" w:hAnsi="arial" w:cs="arial"/>
            <w:b w:val="0"/>
            <w:i/>
            <w:strike w:val="0"/>
            <w:noProof w:val="0"/>
            <w:color w:val="0077CC"/>
            <w:position w:val="0"/>
            <w:sz w:val="20"/>
            <w:u w:val="single"/>
            <w:vertAlign w:val="baseline"/>
          </w:rPr>
          <w:t>, 250 F.3d 1032, 1038 (6th Cir. 2001)</w:t>
        </w:r>
      </w:hyperlink>
      <w:r>
        <w:rPr>
          <w:rFonts w:ascii="arial" w:eastAsia="arial" w:hAnsi="arial" w:cs="arial"/>
          <w:b w:val="0"/>
          <w:i w:val="0"/>
          <w:strike w:val="0"/>
          <w:noProof w:val="0"/>
          <w:color w:val="000000"/>
          <w:position w:val="0"/>
          <w:sz w:val="20"/>
          <w:u w:val="none"/>
          <w:vertAlign w:val="baseline"/>
        </w:rPr>
        <w:t>). In any case, more than two months passed between the grievance and the alleged retaliatory act.</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 xml:space="preserve">Now to Smith's second retaliation claim, argued in the alternative to the first. He says that he was transferred from one housing unit to another because he declined to give any information to Johnson regarding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happening in the prison. And after the transfer, Smith says, he was assaulted and then placed in segregation. Smith alleges that while he was in segregation, Assistant Deputy Wardens Brege and Page informed Smith that he would be detained there until he agreed to drop his claims of retaliation and cooperate as an informant.</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In dismissing this claim, the magistrate judge doubted that informing on fellow inmates could be protected activity but concluded that even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if it were, Smith failed to plead an adverse action or a retaliatory motive.</w:t>
      </w:r>
    </w:p>
    <w:p>
      <w:pPr>
        <w:keepNext w:val="0"/>
        <w:spacing w:before="240" w:after="0" w:line="260" w:lineRule="atLeast"/>
        <w:ind w:left="0" w:right="0" w:firstLine="0"/>
        <w:jc w:val="both"/>
      </w:pPr>
      <w:bookmarkStart w:id="42" w:name="Bookmark_para_11"/>
      <w:bookmarkEnd w:id="42"/>
      <w:bookmarkStart w:id="43" w:name="Bookmark_I68WNK7W28T4YB0010000400"/>
      <w:bookmarkEnd w:id="43"/>
      <w:r>
        <w:rPr>
          <w:rFonts w:ascii="arial" w:eastAsia="arial" w:hAnsi="arial" w:cs="arial"/>
          <w:b w:val="0"/>
          <w:i w:val="0"/>
          <w:strike w:val="0"/>
          <w:noProof w:val="0"/>
          <w:color w:val="000000"/>
          <w:position w:val="0"/>
          <w:sz w:val="20"/>
          <w:u w:val="none"/>
          <w:vertAlign w:val="baseline"/>
        </w:rPr>
        <w:t xml:space="preserve">As for the initial transfer, Smith alleged that, following the October stabbing, he expressed his safety concerns to his prison counselor, and his counselor passed those concerns along to Johnson—asking for a transfer to another facility. Although Johnson initially refused to help Smith, Smith alleged, Johnson eventually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transfer him to a different unit. </w:t>
      </w:r>
      <w:r>
        <w:rPr>
          <w:rFonts w:ascii="arial" w:eastAsia="arial" w:hAnsi="arial" w:cs="arial"/>
          <w:b w:val="0"/>
          <w:i/>
          <w:strike w:val="0"/>
          <w:noProof w:val="0"/>
          <w:color w:val="000000"/>
          <w:position w:val="0"/>
          <w:sz w:val="20"/>
          <w:u w:val="none"/>
          <w:vertAlign w:val="baseline"/>
        </w:rPr>
        <w:t xml:space="preserve">See </w:t>
      </w:r>
      <w:bookmarkStart w:id="44" w:name="Bookmark_I68WNK7W2SF8T60050000400"/>
      <w:bookmarkEnd w:id="44"/>
      <w:hyperlink r:id="rId21" w:history="1">
        <w:r>
          <w:rPr>
            <w:rFonts w:ascii="arial" w:eastAsia="arial" w:hAnsi="arial" w:cs="arial"/>
            <w:b w:val="0"/>
            <w:i/>
            <w:strike w:val="0"/>
            <w:noProof w:val="0"/>
            <w:color w:val="0077CC"/>
            <w:position w:val="0"/>
            <w:sz w:val="20"/>
            <w:u w:val="single"/>
            <w:vertAlign w:val="baseline"/>
          </w:rPr>
          <w:t>Thaddeus-X</w:t>
        </w:r>
      </w:hyperlink>
      <w:hyperlink r:id="rId21" w:history="1">
        <w:r>
          <w:rPr>
            <w:rFonts w:ascii="arial" w:eastAsia="arial" w:hAnsi="arial" w:cs="arial"/>
            <w:b w:val="0"/>
            <w:i/>
            <w:strike w:val="0"/>
            <w:noProof w:val="0"/>
            <w:color w:val="0077CC"/>
            <w:position w:val="0"/>
            <w:sz w:val="20"/>
            <w:u w:val="single"/>
            <w:vertAlign w:val="baseline"/>
          </w:rPr>
          <w:t>, 175 F.3d at 394</w:t>
        </w:r>
      </w:hyperlink>
      <w:r>
        <w:rPr>
          <w:rFonts w:ascii="arial" w:eastAsia="arial" w:hAnsi="arial" w:cs="arial"/>
          <w:b w:val="0"/>
          <w:i w:val="0"/>
          <w:strike w:val="0"/>
          <w:noProof w:val="0"/>
          <w:color w:val="000000"/>
          <w:position w:val="0"/>
          <w:sz w:val="20"/>
          <w:u w:val="none"/>
          <w:vertAlign w:val="baseline"/>
        </w:rPr>
        <w:t>. The transfer—though to a different unit rather than to a different facility—is what Smith had asked for—not an adverse action.</w:t>
      </w:r>
    </w:p>
    <w:p>
      <w:pPr>
        <w:keepNext w:val="0"/>
        <w:spacing w:before="240" w:after="0" w:line="260" w:lineRule="atLeast"/>
        <w:ind w:left="0" w:right="0" w:firstLine="0"/>
        <w:jc w:val="both"/>
      </w:pPr>
      <w:bookmarkStart w:id="45" w:name="Bookmark_para_12"/>
      <w:bookmarkEnd w:id="45"/>
      <w:bookmarkStart w:id="46" w:name="Bookmark_I68WNK7W28T4YB0030000400"/>
      <w:bookmarkEnd w:id="46"/>
      <w:r>
        <w:rPr>
          <w:rFonts w:ascii="arial" w:eastAsia="arial" w:hAnsi="arial" w:cs="arial"/>
          <w:b w:val="0"/>
          <w:i w:val="0"/>
          <w:strike w:val="0"/>
          <w:noProof w:val="0"/>
          <w:color w:val="000000"/>
          <w:position w:val="0"/>
          <w:sz w:val="20"/>
          <w:u w:val="none"/>
          <w:vertAlign w:val="baseline"/>
        </w:rPr>
        <w:t xml:space="preserve">Turning to the segregation aspect of the claim, detaining an inmate in administrative segregation can constitute an adverse action. </w:t>
      </w:r>
      <w:r>
        <w:rPr>
          <w:rFonts w:ascii="arial" w:eastAsia="arial" w:hAnsi="arial" w:cs="arial"/>
          <w:b w:val="0"/>
          <w:i/>
          <w:strike w:val="0"/>
          <w:noProof w:val="0"/>
          <w:color w:val="000000"/>
          <w:position w:val="0"/>
          <w:sz w:val="20"/>
          <w:u w:val="none"/>
          <w:vertAlign w:val="baseline"/>
        </w:rPr>
        <w:t xml:space="preserve">See </w:t>
      </w:r>
      <w:bookmarkStart w:id="47" w:name="Bookmark_I68WNK7W28T4YB0020000400"/>
      <w:bookmarkEnd w:id="47"/>
      <w:hyperlink r:id="rId25" w:history="1">
        <w:r>
          <w:rPr>
            <w:rFonts w:ascii="arial" w:eastAsia="arial" w:hAnsi="arial" w:cs="arial"/>
            <w:b w:val="0"/>
            <w:i/>
            <w:strike w:val="0"/>
            <w:noProof w:val="0"/>
            <w:color w:val="0077CC"/>
            <w:position w:val="0"/>
            <w:sz w:val="20"/>
            <w:u w:val="single"/>
            <w:vertAlign w:val="baseline"/>
          </w:rPr>
          <w:t>Hill v. Lappin</w:t>
        </w:r>
      </w:hyperlink>
      <w:hyperlink r:id="rId25" w:history="1">
        <w:r>
          <w:rPr>
            <w:rFonts w:ascii="arial" w:eastAsia="arial" w:hAnsi="arial" w:cs="arial"/>
            <w:b w:val="0"/>
            <w:i/>
            <w:strike w:val="0"/>
            <w:noProof w:val="0"/>
            <w:color w:val="0077CC"/>
            <w:position w:val="0"/>
            <w:sz w:val="20"/>
            <w:u w:val="single"/>
            <w:vertAlign w:val="baseline"/>
          </w:rPr>
          <w:t>, 630 F.3d 468, 474 (6th Cir. 2010)</w:t>
        </w:r>
      </w:hyperlink>
      <w:r>
        <w:rPr>
          <w:rFonts w:ascii="arial" w:eastAsia="arial" w:hAnsi="arial" w:cs="arial"/>
          <w:b w:val="0"/>
          <w:i w:val="0"/>
          <w:strike w:val="0"/>
          <w:noProof w:val="0"/>
          <w:color w:val="000000"/>
          <w:position w:val="0"/>
          <w:sz w:val="20"/>
          <w:u w:val="none"/>
          <w:vertAlign w:val="baseline"/>
        </w:rPr>
        <w:t xml:space="preserve"> (collecting cases). Smith alleged that Goostrey, Johnson, Page, and Brege all threatened to keep him in segregation until he either dropped his grievances or provided information on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thus supporting a retaliatory motive. </w:t>
      </w:r>
      <w:bookmarkStart w:id="48" w:name="Bookmark_I68WNK7W28T4YB0050000400"/>
      <w:bookmarkEnd w:id="48"/>
      <w:r>
        <w:rPr>
          <w:rFonts w:ascii="arial" w:eastAsia="arial" w:hAnsi="arial" w:cs="arial"/>
          <w:b w:val="0"/>
          <w:i w:val="0"/>
          <w:strike w:val="0"/>
          <w:noProof w:val="0"/>
          <w:color w:val="000000"/>
          <w:position w:val="0"/>
          <w:sz w:val="20"/>
          <w:u w:val="none"/>
          <w:vertAlign w:val="baseline"/>
        </w:rPr>
        <w:t>So he has stated a claim against these defendants based on this segregation. It's worth noting that Smith attached the grievance-procedure reports, and they indicate that Smith remained in segregation voluntarily. But resolution of that kind of factual dispute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 not appropriate for us to resolve now. </w:t>
      </w:r>
      <w:r>
        <w:rPr>
          <w:rFonts w:ascii="arial" w:eastAsia="arial" w:hAnsi="arial" w:cs="arial"/>
          <w:b w:val="0"/>
          <w:i/>
          <w:strike w:val="0"/>
          <w:noProof w:val="0"/>
          <w:color w:val="000000"/>
          <w:position w:val="0"/>
          <w:sz w:val="20"/>
          <w:u w:val="none"/>
          <w:vertAlign w:val="baseline"/>
        </w:rPr>
        <w:t xml:space="preserve">See </w:t>
      </w:r>
      <w:bookmarkStart w:id="49" w:name="Bookmark_I68WNK7W28T4YB0040000400"/>
      <w:bookmarkEnd w:id="49"/>
      <w:hyperlink r:id="rId26" w:history="1">
        <w:r>
          <w:rPr>
            <w:rFonts w:ascii="arial" w:eastAsia="arial" w:hAnsi="arial" w:cs="arial"/>
            <w:b w:val="0"/>
            <w:i/>
            <w:strike w:val="0"/>
            <w:noProof w:val="0"/>
            <w:color w:val="0077CC"/>
            <w:position w:val="0"/>
            <w:sz w:val="20"/>
            <w:u w:val="single"/>
            <w:vertAlign w:val="baseline"/>
          </w:rPr>
          <w:t>Elam v. Menzies</w:t>
        </w:r>
      </w:hyperlink>
      <w:hyperlink r:id="rId26" w:history="1">
        <w:r>
          <w:rPr>
            <w:rFonts w:ascii="arial" w:eastAsia="arial" w:hAnsi="arial" w:cs="arial"/>
            <w:b w:val="0"/>
            <w:i/>
            <w:strike w:val="0"/>
            <w:noProof w:val="0"/>
            <w:color w:val="0077CC"/>
            <w:position w:val="0"/>
            <w:sz w:val="20"/>
            <w:u w:val="single"/>
            <w:vertAlign w:val="baseline"/>
          </w:rPr>
          <w:t>, 594 F.3d 463, 465, (6th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3"/>
      <w:bookmarkEnd w:id="50"/>
      <w:r>
        <w:rPr>
          <w:rFonts w:ascii="arial" w:eastAsia="arial" w:hAnsi="arial" w:cs="arial"/>
          <w:b w:val="0"/>
          <w:i w:val="0"/>
          <w:strike w:val="0"/>
          <w:noProof w:val="0"/>
          <w:color w:val="000000"/>
          <w:position w:val="0"/>
          <w:sz w:val="20"/>
          <w:u w:val="none"/>
          <w:vertAlign w:val="baseline"/>
        </w:rPr>
        <w:t>As noted by the magistrate judge, we have not decided whether refusing to inform on other inmates qualifies as protected conduct for purposes of a retaliation claim. Smith's allegation is at least sufficient to survive the screening stage. The resolution of that question will also be aided by adversarial briefing once the defendants are served. We therefore vacate the dismissal of Smith's claim of retaliation based on his segregation as to defendants Goostrey, Johnson, Page, and Brege, and remand for further proceedings. We affirm the dismissal of the retaliation claim against Ward and Shine.</w:t>
      </w:r>
    </w:p>
    <w:p>
      <w:pPr>
        <w:keepNext w:val="0"/>
        <w:spacing w:before="240" w:after="0" w:line="260" w:lineRule="atLeast"/>
        <w:ind w:left="0" w:right="0" w:firstLine="0"/>
        <w:jc w:val="both"/>
      </w:pPr>
      <w:bookmarkStart w:id="51" w:name="Bookmark_para_14"/>
      <w:bookmarkEnd w:id="51"/>
      <w:r>
        <w:rPr>
          <w:rFonts w:ascii="arial" w:eastAsia="arial" w:hAnsi="arial" w:cs="arial"/>
          <w:b w:val="0"/>
          <w:i w:val="0"/>
          <w:strike w:val="0"/>
          <w:noProof w:val="0"/>
          <w:color w:val="000000"/>
          <w:position w:val="0"/>
          <w:sz w:val="20"/>
          <w:u w:val="none"/>
          <w:vertAlign w:val="baseline"/>
        </w:rPr>
        <w:t xml:space="preserve">We next turn to Smith's access-to-the-courts and tampering-with-legal-mail claims. </w:t>
      </w:r>
      <w:bookmarkStart w:id="52" w:name="Bookmark_I68WNK7X28T4YD0020000400"/>
      <w:bookmarkEnd w:id="52"/>
      <w:r>
        <w:rPr>
          <w:rFonts w:ascii="arial" w:eastAsia="arial" w:hAnsi="arial" w:cs="arial"/>
          <w:b w:val="0"/>
          <w:i w:val="0"/>
          <w:strike w:val="0"/>
          <w:noProof w:val="0"/>
          <w:color w:val="000000"/>
          <w:position w:val="0"/>
          <w:sz w:val="20"/>
          <w:u w:val="none"/>
          <w:vertAlign w:val="baseline"/>
        </w:rPr>
        <w:t>Smith alleged that Goostrey opened Smith's legal mail outside of his presence in September 2021, and that Goostrey and Johnson went through his legal mail after someone found it in the unit shower following the December 2021 assault. The magistrate judge correctly determined that Smith's access-to-the-courts claim could not succeed because he did not allege any facts showing that he suffered an actual injury, i.e., that the defendants hindered his efforts to pursue 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non-frivolous legal claim. </w:t>
      </w:r>
      <w:r>
        <w:rPr>
          <w:rFonts w:ascii="arial" w:eastAsia="arial" w:hAnsi="arial" w:cs="arial"/>
          <w:b w:val="0"/>
          <w:i/>
          <w:strike w:val="0"/>
          <w:noProof w:val="0"/>
          <w:color w:val="000000"/>
          <w:position w:val="0"/>
          <w:sz w:val="20"/>
          <w:u w:val="none"/>
          <w:vertAlign w:val="baseline"/>
        </w:rPr>
        <w:t xml:space="preserve">See </w:t>
      </w:r>
      <w:bookmarkStart w:id="53" w:name="Bookmark_I68WNK7X28T4YD0010000400"/>
      <w:bookmarkEnd w:id="53"/>
      <w:hyperlink r:id="rId27" w:history="1">
        <w:r>
          <w:rPr>
            <w:rFonts w:ascii="arial" w:eastAsia="arial" w:hAnsi="arial" w:cs="arial"/>
            <w:b w:val="0"/>
            <w:i/>
            <w:strike w:val="0"/>
            <w:noProof w:val="0"/>
            <w:color w:val="0077CC"/>
            <w:position w:val="0"/>
            <w:sz w:val="20"/>
            <w:u w:val="single"/>
            <w:vertAlign w:val="baseline"/>
          </w:rPr>
          <w:t>Lewis v. Casey</w:t>
        </w:r>
      </w:hyperlink>
      <w:hyperlink r:id="rId27" w:history="1">
        <w:r>
          <w:rPr>
            <w:rFonts w:ascii="arial" w:eastAsia="arial" w:hAnsi="arial" w:cs="arial"/>
            <w:b w:val="0"/>
            <w:i/>
            <w:strike w:val="0"/>
            <w:noProof w:val="0"/>
            <w:color w:val="0077CC"/>
            <w:position w:val="0"/>
            <w:sz w:val="20"/>
            <w:u w:val="single"/>
            <w:vertAlign w:val="baseline"/>
          </w:rPr>
          <w:t>, 518 U.S. 343, 351-53, 116 S. Ct. 2174, 135 L. Ed. 2d 606 (1996)</w:t>
        </w:r>
      </w:hyperlink>
      <w:r>
        <w:rPr>
          <w:rFonts w:ascii="arial" w:eastAsia="arial" w:hAnsi="arial" w:cs="arial"/>
          <w:b w:val="0"/>
          <w:i w:val="0"/>
          <w:strike w:val="0"/>
          <w:noProof w:val="0"/>
          <w:color w:val="000000"/>
          <w:position w:val="0"/>
          <w:sz w:val="20"/>
          <w:u w:val="none"/>
          <w:vertAlign w:val="baseline"/>
        </w:rPr>
        <w:t>. Smith provides no further information on appeal, and this claim was correctly dismissed.</w:t>
      </w:r>
    </w:p>
    <w:p>
      <w:pPr>
        <w:keepNext w:val="0"/>
        <w:spacing w:before="240" w:after="0" w:line="260" w:lineRule="atLeast"/>
        <w:ind w:left="0" w:right="0" w:firstLine="0"/>
        <w:jc w:val="both"/>
      </w:pPr>
      <w:bookmarkStart w:id="54" w:name="Bookmark_para_15"/>
      <w:bookmarkEnd w:id="54"/>
      <w:bookmarkStart w:id="55" w:name="Bookmark_I68WNK7X28T4YD0040000400"/>
      <w:bookmarkEnd w:id="55"/>
      <w:r>
        <w:rPr>
          <w:rFonts w:ascii="arial" w:eastAsia="arial" w:hAnsi="arial" w:cs="arial"/>
          <w:b w:val="0"/>
          <w:i w:val="0"/>
          <w:strike w:val="0"/>
          <w:noProof w:val="0"/>
          <w:color w:val="000000"/>
          <w:position w:val="0"/>
          <w:sz w:val="20"/>
          <w:u w:val="none"/>
          <w:vertAlign w:val="baseline"/>
        </w:rPr>
        <w:t xml:space="preserve">Smith clarifies on appeal that his tampering-with-legal-mail claim is limited to the single incident in September 2021. Such a limited and isolated event does not rise to the level of a constitutional violation, however. </w:t>
      </w:r>
      <w:r>
        <w:rPr>
          <w:rFonts w:ascii="arial" w:eastAsia="arial" w:hAnsi="arial" w:cs="arial"/>
          <w:b w:val="0"/>
          <w:i/>
          <w:strike w:val="0"/>
          <w:noProof w:val="0"/>
          <w:color w:val="000000"/>
          <w:position w:val="0"/>
          <w:sz w:val="20"/>
          <w:u w:val="none"/>
          <w:vertAlign w:val="baseline"/>
        </w:rPr>
        <w:t xml:space="preserve">See generally </w:t>
      </w:r>
      <w:bookmarkStart w:id="56" w:name="Bookmark_I68WNK7X28T4YD0030000400"/>
      <w:bookmarkEnd w:id="56"/>
      <w:hyperlink r:id="rId28" w:history="1">
        <w:r>
          <w:rPr>
            <w:rFonts w:ascii="arial" w:eastAsia="arial" w:hAnsi="arial" w:cs="arial"/>
            <w:b w:val="0"/>
            <w:i/>
            <w:strike w:val="0"/>
            <w:noProof w:val="0"/>
            <w:color w:val="0077CC"/>
            <w:position w:val="0"/>
            <w:sz w:val="20"/>
            <w:u w:val="single"/>
            <w:vertAlign w:val="baseline"/>
          </w:rPr>
          <w:t>Colvin v. Caruso</w:t>
        </w:r>
      </w:hyperlink>
      <w:hyperlink r:id="rId28" w:history="1">
        <w:r>
          <w:rPr>
            <w:rFonts w:ascii="arial" w:eastAsia="arial" w:hAnsi="arial" w:cs="arial"/>
            <w:b w:val="0"/>
            <w:i/>
            <w:strike w:val="0"/>
            <w:noProof w:val="0"/>
            <w:color w:val="0077CC"/>
            <w:position w:val="0"/>
            <w:sz w:val="20"/>
            <w:u w:val="single"/>
            <w:vertAlign w:val="baseline"/>
          </w:rPr>
          <w:t>, 605 F.3d 282, 293 (6th Cir. 2010)</w:t>
        </w:r>
      </w:hyperlink>
      <w:r>
        <w:rPr>
          <w:rFonts w:ascii="arial" w:eastAsia="arial" w:hAnsi="arial" w:cs="arial"/>
          <w:b w:val="0"/>
          <w:i w:val="0"/>
          <w:strike w:val="0"/>
          <w:noProof w:val="0"/>
          <w:color w:val="000000"/>
          <w:position w:val="0"/>
          <w:sz w:val="20"/>
          <w:u w:val="none"/>
          <w:vertAlign w:val="baseline"/>
        </w:rPr>
        <w:t xml:space="preserve"> (holding that limited and isolated events do not rise to the level of violating the Constitution).</w:t>
      </w:r>
    </w:p>
    <w:p>
      <w:pPr>
        <w:keepNext w:val="0"/>
        <w:spacing w:before="240" w:after="0" w:line="260" w:lineRule="atLeast"/>
        <w:ind w:left="0" w:right="0" w:firstLine="0"/>
        <w:jc w:val="both"/>
      </w:pPr>
      <w:bookmarkStart w:id="57" w:name="Bookmark_para_16"/>
      <w:bookmarkEnd w:id="57"/>
      <w:bookmarkStart w:id="58" w:name="Bookmark_I68WNK7X2N1R0B0010000400"/>
      <w:bookmarkEnd w:id="58"/>
      <w:r>
        <w:rPr>
          <w:rFonts w:ascii="arial" w:eastAsia="arial" w:hAnsi="arial" w:cs="arial"/>
          <w:b w:val="0"/>
          <w:i w:val="0"/>
          <w:strike w:val="0"/>
          <w:noProof w:val="0"/>
          <w:color w:val="000000"/>
          <w:position w:val="0"/>
          <w:sz w:val="20"/>
          <w:u w:val="none"/>
          <w:vertAlign w:val="baseline"/>
        </w:rPr>
        <w:t xml:space="preserve">We next address Smith's claims that the defendants violated his </w:t>
      </w:r>
      <w:hyperlink r:id="rId2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t>
      </w:r>
      <w:bookmarkStart w:id="59" w:name="Bookmark_I2FPXKNBWH40000473T00003"/>
      <w:bookmarkEnd w:id="59"/>
      <w:bookmarkStart w:id="60" w:name="Bookmark_I2FPXKNC2570000473T00005"/>
      <w:bookmarkEnd w:id="60"/>
      <w:bookmarkStart w:id="61" w:name="Bookmark_I68WNK7X2N1R0B0030000400"/>
      <w:bookmarkEnd w:id="61"/>
      <w:r>
        <w:rPr>
          <w:rFonts w:ascii="arial" w:eastAsia="arial" w:hAnsi="arial" w:cs="arial"/>
          <w:b w:val="0"/>
          <w:i w:val="0"/>
          <w:strike w:val="0"/>
          <w:noProof w:val="0"/>
          <w:color w:val="000000"/>
          <w:position w:val="0"/>
          <w:sz w:val="20"/>
          <w:u w:val="none"/>
          <w:vertAlign w:val="baseline"/>
        </w:rPr>
        <w:t xml:space="preserve">Under the </w:t>
      </w:r>
      <w:hyperlink r:id="rId2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Supreme Court has assumed that prison officials have a duty to protect inmates from the violent acts of other inmates. </w:t>
      </w:r>
      <w:bookmarkStart w:id="62" w:name="Bookmark_I68WNK8028T4YX0020000400"/>
      <w:bookmarkEnd w:id="62"/>
      <w:bookmarkStart w:id="63" w:name="Bookmark_I68WNK7X28T4YD0050000400"/>
      <w:bookmarkEnd w:id="63"/>
      <w:hyperlink r:id="rId30" w:history="1">
        <w:r>
          <w:rPr>
            <w:rFonts w:ascii="arial" w:eastAsia="arial" w:hAnsi="arial" w:cs="arial"/>
            <w:b w:val="0"/>
            <w:i/>
            <w:strike w:val="0"/>
            <w:noProof w:val="0"/>
            <w:color w:val="0077CC"/>
            <w:position w:val="0"/>
            <w:sz w:val="20"/>
            <w:u w:val="single"/>
            <w:vertAlign w:val="baseline"/>
          </w:rPr>
          <w:t>Farmer v. Brennan</w:t>
        </w:r>
      </w:hyperlink>
      <w:hyperlink r:id="rId30" w:history="1">
        <w:r>
          <w:rPr>
            <w:rFonts w:ascii="arial" w:eastAsia="arial" w:hAnsi="arial" w:cs="arial"/>
            <w:b w:val="0"/>
            <w:i/>
            <w:strike w:val="0"/>
            <w:noProof w:val="0"/>
            <w:color w:val="0077CC"/>
            <w:position w:val="0"/>
            <w:sz w:val="20"/>
            <w:u w:val="single"/>
            <w:vertAlign w:val="baseline"/>
          </w:rPr>
          <w:t>, 511 U.S. 825, 833,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64" w:name="Bookmark_I68WNK8028T4YX0020000400_2"/>
      <w:bookmarkEnd w:id="64"/>
      <w:bookmarkStart w:id="65" w:name="Bookmark_I68WNK7X2N1R0B0030000400_2"/>
      <w:bookmarkEnd w:id="65"/>
      <w:bookmarkStart w:id="66" w:name="Bookmark_I68WNK8028T4YX0040000400"/>
      <w:bookmarkEnd w:id="66"/>
      <w:r>
        <w:rPr>
          <w:rFonts w:ascii="arial" w:eastAsia="arial" w:hAnsi="arial" w:cs="arial"/>
          <w:b w:val="0"/>
          <w:i w:val="0"/>
          <w:strike w:val="0"/>
          <w:noProof w:val="0"/>
          <w:color w:val="000000"/>
          <w:position w:val="0"/>
          <w:sz w:val="20"/>
          <w:u w:val="none"/>
          <w:vertAlign w:val="baseline"/>
        </w:rPr>
        <w:t xml:space="preserve">To establish a constitutional violation based on a failure to protect, an inmate must establish that: (1) "the failure to protect from risk of harm is objectively 'sufficiently serious'"; and (2) "prison officials acted with 'deliberate indifference' to inmate health or safety." </w:t>
      </w:r>
      <w:bookmarkStart w:id="67" w:name="Bookmark_I68WNK7X2N1R0B0020000400"/>
      <w:bookmarkEnd w:id="67"/>
      <w:hyperlink r:id="rId31" w:history="1">
        <w:r>
          <w:rPr>
            <w:rFonts w:ascii="arial" w:eastAsia="arial" w:hAnsi="arial" w:cs="arial"/>
            <w:b w:val="0"/>
            <w:i/>
            <w:strike w:val="0"/>
            <w:noProof w:val="0"/>
            <w:color w:val="0077CC"/>
            <w:position w:val="0"/>
            <w:sz w:val="20"/>
            <w:u w:val="single"/>
            <w:vertAlign w:val="baseline"/>
          </w:rPr>
          <w:t>Bishop v. Hackel</w:t>
        </w:r>
      </w:hyperlink>
      <w:hyperlink r:id="rId31" w:history="1">
        <w:r>
          <w:rPr>
            <w:rFonts w:ascii="arial" w:eastAsia="arial" w:hAnsi="arial" w:cs="arial"/>
            <w:b w:val="0"/>
            <w:i/>
            <w:strike w:val="0"/>
            <w:noProof w:val="0"/>
            <w:color w:val="0077CC"/>
            <w:position w:val="0"/>
            <w:sz w:val="20"/>
            <w:u w:val="single"/>
            <w:vertAlign w:val="baseline"/>
          </w:rPr>
          <w:t>, 636 F.3d 757, 766 (6th Cir. 2011)</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68WNK7X2N1R0B0040000400"/>
      <w:bookmarkEnd w:id="68"/>
      <w:hyperlink r:id="rId30" w:history="1">
        <w:r>
          <w:rPr>
            <w:rFonts w:ascii="arial" w:eastAsia="arial" w:hAnsi="arial" w:cs="arial"/>
            <w:b w:val="0"/>
            <w:i/>
            <w:strike w:val="0"/>
            <w:noProof w:val="0"/>
            <w:color w:val="0077CC"/>
            <w:position w:val="0"/>
            <w:sz w:val="20"/>
            <w:u w:val="single"/>
            <w:vertAlign w:val="baseline"/>
          </w:rPr>
          <w:t>Farmer</w:t>
        </w:r>
      </w:hyperlink>
      <w:hyperlink r:id="rId30" w:history="1">
        <w:r>
          <w:rPr>
            <w:rFonts w:ascii="arial" w:eastAsia="arial" w:hAnsi="arial" w:cs="arial"/>
            <w:b w:val="0"/>
            <w:i/>
            <w:strike w:val="0"/>
            <w:noProof w:val="0"/>
            <w:color w:val="0077CC"/>
            <w:position w:val="0"/>
            <w:sz w:val="20"/>
            <w:u w:val="single"/>
            <w:vertAlign w:val="baseline"/>
          </w:rPr>
          <w:t>, 511 U.S. at 833, 834</w:t>
        </w:r>
      </w:hyperlink>
      <w:r>
        <w:rPr>
          <w:rFonts w:ascii="arial" w:eastAsia="arial" w:hAnsi="arial" w:cs="arial"/>
          <w:b w:val="0"/>
          <w:i w:val="0"/>
          <w:strike w:val="0"/>
          <w:noProof w:val="0"/>
          <w:color w:val="000000"/>
          <w:position w:val="0"/>
          <w:sz w:val="20"/>
          <w:u w:val="none"/>
          <w:vertAlign w:val="baseline"/>
        </w:rPr>
        <w:t xml:space="preserve">). </w:t>
      </w:r>
      <w:bookmarkStart w:id="69" w:name="Bookmark_I68WNK8028T4YX0040000400_2"/>
      <w:bookmarkEnd w:id="69"/>
      <w:r>
        <w:rPr>
          <w:rFonts w:ascii="arial" w:eastAsia="arial" w:hAnsi="arial" w:cs="arial"/>
          <w:b w:val="0"/>
          <w:i w:val="0"/>
          <w:strike w:val="0"/>
          <w:noProof w:val="0"/>
          <w:color w:val="000000"/>
          <w:position w:val="0"/>
          <w:sz w:val="20"/>
          <w:u w:val="none"/>
          <w:vertAlign w:val="baseline"/>
        </w:rPr>
        <w:t xml:space="preserve">To prove the first prong, "[t]he inmate must show that 'he is incarcerated under conditions posing a substantial risk of serious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0" w:name="Bookmark_I68WNK8028T4YX0010000400"/>
      <w:bookmarkEnd w:id="70"/>
      <w:hyperlink r:id="rId30" w:history="1">
        <w:r>
          <w:rPr>
            <w:rFonts w:ascii="arial" w:eastAsia="arial" w:hAnsi="arial" w:cs="arial"/>
            <w:b w:val="0"/>
            <w:i/>
            <w:strike w:val="0"/>
            <w:noProof w:val="0"/>
            <w:color w:val="0077CC"/>
            <w:position w:val="0"/>
            <w:sz w:val="20"/>
            <w:u w:val="single"/>
            <w:vertAlign w:val="baseline"/>
          </w:rPr>
          <w:t>Farmer</w:t>
        </w:r>
      </w:hyperlink>
      <w:hyperlink r:id="rId30" w:history="1">
        <w:r>
          <w:rPr>
            <w:rFonts w:ascii="arial" w:eastAsia="arial" w:hAnsi="arial" w:cs="arial"/>
            <w:b w:val="0"/>
            <w:i/>
            <w:strike w:val="0"/>
            <w:noProof w:val="0"/>
            <w:color w:val="0077CC"/>
            <w:position w:val="0"/>
            <w:sz w:val="20"/>
            <w:u w:val="single"/>
            <w:vertAlign w:val="baseline"/>
          </w:rPr>
          <w:t>, 511 U.S. at 833</w:t>
        </w:r>
      </w:hyperlink>
      <w:r>
        <w:rPr>
          <w:rFonts w:ascii="arial" w:eastAsia="arial" w:hAnsi="arial" w:cs="arial"/>
          <w:b w:val="0"/>
          <w:i w:val="0"/>
          <w:strike w:val="0"/>
          <w:noProof w:val="0"/>
          <w:color w:val="000000"/>
          <w:position w:val="0"/>
          <w:sz w:val="20"/>
          <w:u w:val="none"/>
          <w:vertAlign w:val="baseline"/>
        </w:rPr>
        <w:t xml:space="preserve">). </w:t>
      </w:r>
      <w:bookmarkStart w:id="71" w:name="Bookmark_I68WNK8028T4YX0040000400_3"/>
      <w:bookmarkEnd w:id="71"/>
      <w:r>
        <w:rPr>
          <w:rFonts w:ascii="arial" w:eastAsia="arial" w:hAnsi="arial" w:cs="arial"/>
          <w:b w:val="0"/>
          <w:i w:val="0"/>
          <w:strike w:val="0"/>
          <w:noProof w:val="0"/>
          <w:color w:val="000000"/>
          <w:position w:val="0"/>
          <w:sz w:val="20"/>
          <w:u w:val="none"/>
          <w:vertAlign w:val="baseline"/>
        </w:rPr>
        <w:t>With respect to the second prong, "[a]n official is deliberately indifferent if he or she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'knows of and disregards an excessive risk to inmate health or safety; the official must both be aware of the facts from which the inference could be drawn that a substantial risk of harm exists, and he must also draw the inference.'" </w:t>
      </w:r>
      <w:bookmarkStart w:id="72" w:name="Bookmark_I68WNK8028T4YX0030000400"/>
      <w:bookmarkEnd w:id="72"/>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766-67</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8WNK8028T4YX0050000400"/>
      <w:bookmarkEnd w:id="73"/>
      <w:hyperlink r:id="rId30" w:history="1">
        <w:r>
          <w:rPr>
            <w:rFonts w:ascii="arial" w:eastAsia="arial" w:hAnsi="arial" w:cs="arial"/>
            <w:b w:val="0"/>
            <w:i/>
            <w:strike w:val="0"/>
            <w:noProof w:val="0"/>
            <w:color w:val="0077CC"/>
            <w:position w:val="0"/>
            <w:sz w:val="20"/>
            <w:u w:val="single"/>
            <w:vertAlign w:val="baseline"/>
          </w:rPr>
          <w:t>Farmer</w:t>
        </w:r>
      </w:hyperlink>
      <w:hyperlink r:id="rId30"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17"/>
      <w:bookmarkEnd w:id="74"/>
      <w:r>
        <w:rPr>
          <w:rFonts w:ascii="arial" w:eastAsia="arial" w:hAnsi="arial" w:cs="arial"/>
          <w:b w:val="0"/>
          <w:i w:val="0"/>
          <w:strike w:val="0"/>
          <w:noProof w:val="0"/>
          <w:color w:val="000000"/>
          <w:position w:val="0"/>
          <w:sz w:val="20"/>
          <w:u w:val="none"/>
          <w:vertAlign w:val="baseline"/>
        </w:rPr>
        <w:t xml:space="preserve">We begin with Smith's </w:t>
      </w:r>
      <w:hyperlink r:id="rId2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concerning the December 2021 housing transfer and assault. He alleged that, following the October stabbing, he expressed his concerns for his safety to his prison counselor, and his counselor passed those concerns along to Johnson. The reason for passing along those concerns was so that Smith could be transferred to another facility. Ultimately, Smith was transferred to a different unit. Even though Smith didn't get all of what he asked for—i.e., he got transferred to another unit rather than to another facility—Johnson's action to move Smith at all undermines a finding of deliberate indifference.</w:t>
      </w:r>
    </w:p>
    <w:p>
      <w:pPr>
        <w:keepNext w:val="0"/>
        <w:spacing w:before="200" w:after="0" w:line="260" w:lineRule="atLeast"/>
        <w:ind w:left="0" w:right="0" w:firstLine="0"/>
        <w:jc w:val="both"/>
      </w:pPr>
      <w:bookmarkStart w:id="75" w:name="Bookmark_para_18"/>
      <w:bookmarkEnd w:id="75"/>
      <w:r>
        <w:rPr>
          <w:rFonts w:ascii="arial" w:eastAsia="arial" w:hAnsi="arial" w:cs="arial"/>
          <w:b w:val="0"/>
          <w:i w:val="0"/>
          <w:strike w:val="0"/>
          <w:noProof w:val="0"/>
          <w:color w:val="000000"/>
          <w:position w:val="0"/>
          <w:sz w:val="20"/>
          <w:u w:val="none"/>
          <w:vertAlign w:val="baseline"/>
        </w:rPr>
        <w:t>Smith counters this by saying that when he was transferred to another unit, he was no longer under the watchful eye of the prison counselor. So, he says, that is proof that Johnson was being deliberately indifferent to the harm he could face in the prison. But that argument neglects the fact that Smith was asking for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transfer. And whether that transfer was to another unit or another facility, a transfer would mean that he was no longer under the eye of his prison counselor. So that argument fails.</w:t>
      </w:r>
    </w:p>
    <w:p>
      <w:pPr>
        <w:keepNext w:val="0"/>
        <w:spacing w:before="240" w:after="0" w:line="260" w:lineRule="atLeast"/>
        <w:ind w:left="0" w:right="0" w:firstLine="0"/>
        <w:jc w:val="both"/>
      </w:pPr>
      <w:bookmarkStart w:id="76" w:name="Bookmark_para_19"/>
      <w:bookmarkEnd w:id="76"/>
      <w:bookmarkStart w:id="77" w:name="Bookmark_I68WNK802D6N5N0030000400"/>
      <w:bookmarkEnd w:id="77"/>
      <w:r>
        <w:rPr>
          <w:rFonts w:ascii="arial" w:eastAsia="arial" w:hAnsi="arial" w:cs="arial"/>
          <w:b w:val="0"/>
          <w:i w:val="0"/>
          <w:strike w:val="0"/>
          <w:noProof w:val="0"/>
          <w:color w:val="000000"/>
          <w:position w:val="0"/>
          <w:sz w:val="20"/>
          <w:u w:val="none"/>
          <w:vertAlign w:val="baseline"/>
        </w:rPr>
        <w:t xml:space="preserve">Finally, Smith contends that his several week stint in segregation violated his rights to due process and against cruel and unusual punishment. But initial placement in segregation, without more, does not give rise to an </w:t>
      </w:r>
      <w:hyperlink r:id="rId2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bookmarkStart w:id="78" w:name="Bookmark_I68WNK802D6N5N0050000400"/>
      <w:bookmarkEnd w:id="78"/>
      <w:r>
        <w:rPr>
          <w:rFonts w:ascii="arial" w:eastAsia="arial" w:hAnsi="arial" w:cs="arial"/>
          <w:b w:val="0"/>
          <w:i/>
          <w:strike w:val="0"/>
          <w:noProof w:val="0"/>
          <w:color w:val="000000"/>
          <w:position w:val="0"/>
          <w:sz w:val="20"/>
          <w:u w:val="none"/>
          <w:vertAlign w:val="baseline"/>
        </w:rPr>
        <w:t xml:space="preserve">See </w:t>
      </w:r>
      <w:bookmarkStart w:id="79" w:name="Bookmark_I68WNK802D6N5N0020000400"/>
      <w:bookmarkEnd w:id="79"/>
      <w:hyperlink r:id="rId32" w:history="1">
        <w:r>
          <w:rPr>
            <w:rFonts w:ascii="arial" w:eastAsia="arial" w:hAnsi="arial" w:cs="arial"/>
            <w:b w:val="0"/>
            <w:i/>
            <w:strike w:val="0"/>
            <w:noProof w:val="0"/>
            <w:color w:val="0077CC"/>
            <w:position w:val="0"/>
            <w:sz w:val="20"/>
            <w:u w:val="single"/>
            <w:vertAlign w:val="baseline"/>
          </w:rPr>
          <w:t>Harden-Bey v. Rutter</w:t>
        </w:r>
      </w:hyperlink>
      <w:hyperlink r:id="rId32" w:history="1">
        <w:r>
          <w:rPr>
            <w:rFonts w:ascii="arial" w:eastAsia="arial" w:hAnsi="arial" w:cs="arial"/>
            <w:b w:val="0"/>
            <w:i/>
            <w:strike w:val="0"/>
            <w:noProof w:val="0"/>
            <w:color w:val="0077CC"/>
            <w:position w:val="0"/>
            <w:sz w:val="20"/>
            <w:u w:val="single"/>
            <w:vertAlign w:val="baseline"/>
          </w:rPr>
          <w:t>, 524 F.3d 789, 795 (6th Cir. 2008)</w:t>
        </w:r>
      </w:hyperlink>
      <w:r>
        <w:rPr>
          <w:rFonts w:ascii="arial" w:eastAsia="arial" w:hAnsi="arial" w:cs="arial"/>
          <w:b w:val="0"/>
          <w:i w:val="0"/>
          <w:strike w:val="0"/>
          <w:noProof w:val="0"/>
          <w:color w:val="000000"/>
          <w:position w:val="0"/>
          <w:sz w:val="20"/>
          <w:u w:val="none"/>
          <w:vertAlign w:val="baseline"/>
        </w:rPr>
        <w:t xml:space="preserve">. </w:t>
      </w:r>
      <w:bookmarkStart w:id="80" w:name="Bookmark_I68WNK802D6N5N0050000400_2"/>
      <w:bookmarkEnd w:id="80"/>
      <w:r>
        <w:rPr>
          <w:rFonts w:ascii="arial" w:eastAsia="arial" w:hAnsi="arial" w:cs="arial"/>
          <w:b w:val="0"/>
          <w:i w:val="0"/>
          <w:strike w:val="0"/>
          <w:noProof w:val="0"/>
          <w:color w:val="000000"/>
          <w:position w:val="0"/>
          <w:sz w:val="20"/>
          <w:u w:val="none"/>
          <w:vertAlign w:val="baseline"/>
        </w:rPr>
        <w:t xml:space="preserve">And such a short stint in segregation does not implicate Smith's due process rights. </w:t>
      </w:r>
      <w:r>
        <w:rPr>
          <w:rFonts w:ascii="arial" w:eastAsia="arial" w:hAnsi="arial" w:cs="arial"/>
          <w:b w:val="0"/>
          <w:i/>
          <w:strike w:val="0"/>
          <w:noProof w:val="0"/>
          <w:color w:val="000000"/>
          <w:position w:val="0"/>
          <w:sz w:val="20"/>
          <w:u w:val="none"/>
          <w:vertAlign w:val="baseline"/>
        </w:rPr>
        <w:t xml:space="preserve">See </w:t>
      </w:r>
      <w:bookmarkStart w:id="81" w:name="Bookmark_I68WNK802D6N5N0040000400"/>
      <w:bookmarkEnd w:id="81"/>
      <w:hyperlink r:id="rId33" w:history="1">
        <w:r>
          <w:rPr>
            <w:rFonts w:ascii="arial" w:eastAsia="arial" w:hAnsi="arial" w:cs="arial"/>
            <w:b w:val="0"/>
            <w:i/>
            <w:strike w:val="0"/>
            <w:noProof w:val="0"/>
            <w:color w:val="0077CC"/>
            <w:position w:val="0"/>
            <w:sz w:val="20"/>
            <w:u w:val="single"/>
            <w:vertAlign w:val="baseline"/>
          </w:rPr>
          <w:t>Sandin v. Conner</w:t>
        </w:r>
      </w:hyperlink>
      <w:hyperlink r:id="rId33" w:history="1">
        <w:r>
          <w:rPr>
            <w:rFonts w:ascii="arial" w:eastAsia="arial" w:hAnsi="arial" w:cs="arial"/>
            <w:b w:val="0"/>
            <w:i/>
            <w:strike w:val="0"/>
            <w:noProof w:val="0"/>
            <w:color w:val="0077CC"/>
            <w:position w:val="0"/>
            <w:sz w:val="20"/>
            <w:u w:val="single"/>
            <w:vertAlign w:val="baseline"/>
          </w:rPr>
          <w:t>, 515 U.S. 472, 486-87, 115 S. Ct. 2293, 132 L. Ed. 2d 418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20"/>
      <w:bookmarkEnd w:id="82"/>
      <w:r>
        <w:rPr>
          <w:rFonts w:ascii="arial" w:eastAsia="arial" w:hAnsi="arial" w:cs="arial"/>
          <w:b w:val="0"/>
          <w:i w:val="0"/>
          <w:strike w:val="0"/>
          <w:noProof w:val="0"/>
          <w:color w:val="000000"/>
          <w:position w:val="0"/>
          <w:sz w:val="20"/>
          <w:u w:val="none"/>
          <w:vertAlign w:val="baseline"/>
        </w:rPr>
        <w:t xml:space="preserve">For the foregoing reasons,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judgment in part,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the judgment in part, and </w:t>
      </w:r>
      <w:r>
        <w:rPr>
          <w:rFonts w:ascii="arial" w:eastAsia="arial" w:hAnsi="arial" w:cs="arial"/>
          <w:b/>
          <w:i w:val="0"/>
          <w:strike w:val="0"/>
          <w:noProof w:val="0"/>
          <w:color w:val="000000"/>
          <w:position w:val="0"/>
          <w:sz w:val="20"/>
          <w:u w:val="none"/>
          <w:vertAlign w:val="baseline"/>
        </w:rPr>
        <w:t>REMAND</w:t>
      </w:r>
      <w:r>
        <w:rPr>
          <w:rFonts w:ascii="arial" w:eastAsia="arial" w:hAnsi="arial" w:cs="arial"/>
          <w:b w:val="0"/>
          <w:i w:val="0"/>
          <w:strike w:val="0"/>
          <w:noProof w:val="0"/>
          <w:color w:val="000000"/>
          <w:position w:val="0"/>
          <w:sz w:val="20"/>
          <w:u w:val="none"/>
          <w:vertAlign w:val="baseline"/>
        </w:rPr>
        <w:t xml:space="preserve"> to the district court for further proceedings consistent with this order.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Acting Inspector Goostrey, 2023 U.S. App. LEXIS 20179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4NY6-JD30-0038-X2YM-00000-00&amp;context=1519360" TargetMode="External" /><Relationship Id="rId11" Type="http://schemas.openxmlformats.org/officeDocument/2006/relationships/hyperlink" Target="https://advance.lexis.com/api/document?collection=statutes-legislation&amp;id=urn:contentItem:8SG9-5HW2-D6RV-H0RK-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hyperlink" Target="https://advance.lexis.com/api/document?collection=statutes-legislation&amp;id=urn:contentItem:8SHT-0712-D6RV-H531-00000-00&amp;context=1519360" TargetMode="External" /><Relationship Id="rId14" Type="http://schemas.openxmlformats.org/officeDocument/2006/relationships/hyperlink" Target="https://advance.lexis.com/api/document?collection=cases&amp;id=urn:contentItem:5CWW-3B51-F04K-P00D-00000-00&amp;context=1519360" TargetMode="External" /><Relationship Id="rId15" Type="http://schemas.openxmlformats.org/officeDocument/2006/relationships/hyperlink" Target="https://advance.lexis.com/api/document?collection=cases&amp;id=urn:contentItem:4SSY-6MN0-TXFX-81W4-00000-00&amp;context=1519360" TargetMode="External" /><Relationship Id="rId16" Type="http://schemas.openxmlformats.org/officeDocument/2006/relationships/hyperlink" Target="https://advance.lexis.com/api/document?collection=cases&amp;id=urn:contentItem:4W9Y-4KS0-TXFX-1325-00000-00&amp;context=1519360" TargetMode="External" /><Relationship Id="rId17" Type="http://schemas.openxmlformats.org/officeDocument/2006/relationships/hyperlink" Target="https://advance.lexis.com/api/document?collection=cases&amp;id=urn:contentItem:4NSN-8840-004C-002M-00000-00&amp;context=1519360" TargetMode="External" /><Relationship Id="rId18" Type="http://schemas.openxmlformats.org/officeDocument/2006/relationships/hyperlink" Target="https://advance.lexis.com/api/document?collection=cases&amp;id=urn:contentItem:55SM-6W01-F04K-P0M3-00000-00&amp;context=1519360" TargetMode="External" /><Relationship Id="rId19" Type="http://schemas.openxmlformats.org/officeDocument/2006/relationships/hyperlink" Target="https://advance.lexis.com/api/document?collection=statutes-legislation&amp;id=urn:contentItem:8T9R-T2X2-D6RV-H374-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NCM-PF00-0038-X392-00000-00&amp;context=1519360" TargetMode="External" /><Relationship Id="rId21" Type="http://schemas.openxmlformats.org/officeDocument/2006/relationships/hyperlink" Target="https://advance.lexis.com/api/document?collection=cases&amp;id=urn:contentItem:3VYT-J460-0038-X3J3-00000-00&amp;context=1519360" TargetMode="External" /><Relationship Id="rId22" Type="http://schemas.openxmlformats.org/officeDocument/2006/relationships/hyperlink" Target="https://advance.lexis.com/api/document?collection=cases&amp;id=urn:contentItem:4GX1-WDP0-0038-X2CT-00000-00&amp;context=1519360" TargetMode="External" /><Relationship Id="rId23" Type="http://schemas.openxmlformats.org/officeDocument/2006/relationships/hyperlink" Target="https://advance.lexis.com/api/document?collection=cases&amp;id=urn:contentItem:511B-GWC1-652R-4003-00000-00&amp;context=1519360" TargetMode="External" /><Relationship Id="rId24" Type="http://schemas.openxmlformats.org/officeDocument/2006/relationships/hyperlink" Target="https://advance.lexis.com/api/document?collection=cases&amp;id=urn:contentItem:4344-1NH0-0038-X03D-00000-00&amp;context=1519360" TargetMode="External" /><Relationship Id="rId25" Type="http://schemas.openxmlformats.org/officeDocument/2006/relationships/hyperlink" Target="https://advance.lexis.com/api/document?collection=cases&amp;id=urn:contentItem:51TH-F6M1-652R-4001-00000-00&amp;context=1519360" TargetMode="External" /><Relationship Id="rId26" Type="http://schemas.openxmlformats.org/officeDocument/2006/relationships/hyperlink" Target="https://advance.lexis.com/api/document?collection=cases&amp;id=urn:contentItem:7XPV-9HJ0-YB0V-J003-00000-00&amp;context=1519360" TargetMode="External" /><Relationship Id="rId27" Type="http://schemas.openxmlformats.org/officeDocument/2006/relationships/hyperlink" Target="https://advance.lexis.com/api/document?collection=cases&amp;id=urn:contentItem:3S04-RP80-003B-R23X-00000-00&amp;context=1519360" TargetMode="External" /><Relationship Id="rId28" Type="http://schemas.openxmlformats.org/officeDocument/2006/relationships/hyperlink" Target="https://advance.lexis.com/api/document?collection=cases&amp;id=urn:contentItem:7YFR-18C1-2RHS-V006-00000-00&amp;context=1519360" TargetMode="External" /><Relationship Id="rId29" Type="http://schemas.openxmlformats.org/officeDocument/2006/relationships/hyperlink" Target="https://advance.lexis.com/api/document?collection=statutes-legislation&amp;id=urn:contentItem:8T9R-T502-8T6X-7323-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65-JVR0-003B-R0HN-00000-00&amp;context=1519360" TargetMode="External" /><Relationship Id="rId31" Type="http://schemas.openxmlformats.org/officeDocument/2006/relationships/hyperlink" Target="https://advance.lexis.com/api/document?collection=cases&amp;id=urn:contentItem:5230-DMP1-652R-403S-00000-00&amp;context=1519360" TargetMode="External" /><Relationship Id="rId32" Type="http://schemas.openxmlformats.org/officeDocument/2006/relationships/hyperlink" Target="https://advance.lexis.com/api/document?collection=cases&amp;id=urn:contentItem:4SGV-4MF0-TXFX-83DY-00000-00&amp;context=1519360" TargetMode="External" /><Relationship Id="rId33" Type="http://schemas.openxmlformats.org/officeDocument/2006/relationships/hyperlink" Target="https://advance.lexis.com/api/document?collection=cases&amp;id=urn:contentItem:3S0D-H4X0-003B-R24N-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VX-1PY1-F4GK-M0TK-00000-00&amp;context=1519360" TargetMode="External" /><Relationship Id="rId9"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Acting Inspector Goostrey, 2023 U.S. App. LEXIS 20179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urn:user:PA186186283</vt:lpwstr>
  </property>
</Properties>
</file>